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D63A2" w14:textId="282F3DF0" w:rsidR="00A1428B" w:rsidRPr="003643AB" w:rsidRDefault="000E2E5A" w:rsidP="008D50E6">
      <w:pPr>
        <w:autoSpaceDE w:val="0"/>
        <w:autoSpaceDN w:val="0"/>
        <w:adjustRightInd w:val="0"/>
        <w:spacing w:before="30"/>
        <w:ind w:right="-421"/>
        <w:rPr>
          <w:rFonts w:ascii="Arial" w:hAnsi="Arial" w:cs="Arial"/>
          <w:spacing w:val="-2"/>
          <w:kern w:val="1"/>
          <w:sz w:val="20"/>
          <w:szCs w:val="20"/>
          <w:lang w:val="en-GB"/>
        </w:rPr>
      </w:pPr>
      <w:r w:rsidRPr="003643AB">
        <w:rPr>
          <w:rFonts w:ascii="Arial" w:eastAsia="Times New Roman" w:hAnsi="Arial" w:cs="Arial"/>
          <w:b/>
          <w:bCs/>
          <w:color w:val="111111"/>
          <w:kern w:val="36"/>
          <w:sz w:val="84"/>
          <w:szCs w:val="84"/>
          <w:lang w:eastAsia="en-AU"/>
        </w:rPr>
        <w:t>Strategic Plan</w:t>
      </w:r>
      <w:r w:rsidR="00A1428B" w:rsidRPr="003643AB">
        <w:rPr>
          <w:rFonts w:ascii="Arial" w:eastAsia="Times New Roman" w:hAnsi="Arial" w:cs="Arial"/>
          <w:b/>
          <w:bCs/>
          <w:color w:val="111111"/>
          <w:kern w:val="36"/>
          <w:sz w:val="84"/>
          <w:szCs w:val="84"/>
          <w:lang w:eastAsia="en-AU"/>
        </w:rPr>
        <w:t xml:space="preserve"> </w:t>
      </w:r>
      <w:r w:rsidR="00B42DCC" w:rsidRPr="003643AB">
        <w:rPr>
          <w:rFonts w:ascii="Arial" w:eastAsia="Times New Roman" w:hAnsi="Arial" w:cs="Arial"/>
          <w:b/>
          <w:bCs/>
          <w:color w:val="111111"/>
          <w:kern w:val="36"/>
          <w:sz w:val="84"/>
          <w:szCs w:val="84"/>
          <w:lang w:eastAsia="en-AU"/>
        </w:rPr>
        <w:br/>
      </w:r>
      <w:r w:rsidR="00A1428B" w:rsidRPr="003643AB">
        <w:rPr>
          <w:rFonts w:ascii="Arial" w:eastAsia="Times New Roman" w:hAnsi="Arial" w:cs="Arial"/>
          <w:b/>
          <w:bCs/>
          <w:color w:val="111111"/>
          <w:kern w:val="36"/>
          <w:sz w:val="84"/>
          <w:szCs w:val="84"/>
          <w:lang w:eastAsia="en-AU"/>
        </w:rPr>
        <w:t>2022-27</w:t>
      </w:r>
      <w:r w:rsidR="00ED3D54" w:rsidRPr="003643AB">
        <w:rPr>
          <w:rFonts w:ascii="Arial" w:eastAsia="Times New Roman" w:hAnsi="Arial" w:cs="Arial"/>
          <w:b/>
          <w:bCs/>
          <w:color w:val="111111"/>
          <w:kern w:val="36"/>
          <w:sz w:val="84"/>
          <w:szCs w:val="84"/>
          <w:lang w:eastAsia="en-AU"/>
        </w:rPr>
        <w:br/>
      </w:r>
      <w:r w:rsidR="001E3C00">
        <w:rPr>
          <w:rFonts w:ascii="Arial" w:hAnsi="Arial" w:cs="Arial"/>
          <w:kern w:val="1"/>
          <w:sz w:val="36"/>
          <w:szCs w:val="36"/>
          <w:lang w:val="en-GB"/>
        </w:rPr>
        <w:br/>
      </w:r>
      <w:r w:rsidR="00ED3D54" w:rsidRPr="00E23455">
        <w:rPr>
          <w:rFonts w:ascii="Arial" w:hAnsi="Arial" w:cs="Arial"/>
          <w:b/>
          <w:bCs/>
          <w:kern w:val="1"/>
          <w:sz w:val="30"/>
          <w:szCs w:val="30"/>
          <w:lang w:val="en-GB"/>
        </w:rPr>
        <w:t>Environment</w:t>
      </w:r>
      <w:r w:rsidR="00ED3D54" w:rsidRPr="00E23455">
        <w:rPr>
          <w:rFonts w:ascii="Arial" w:hAnsi="Arial" w:cs="Arial"/>
          <w:b/>
          <w:bCs/>
          <w:spacing w:val="-11"/>
          <w:kern w:val="1"/>
          <w:sz w:val="30"/>
          <w:szCs w:val="30"/>
          <w:lang w:val="en-GB"/>
        </w:rPr>
        <w:t xml:space="preserve"> </w:t>
      </w:r>
      <w:r w:rsidR="00ED3D54" w:rsidRPr="00E23455">
        <w:rPr>
          <w:rFonts w:ascii="Arial" w:hAnsi="Arial" w:cs="Arial"/>
          <w:b/>
          <w:bCs/>
          <w:kern w:val="1"/>
          <w:sz w:val="30"/>
          <w:szCs w:val="30"/>
          <w:lang w:val="en-GB"/>
        </w:rPr>
        <w:t>Protection</w:t>
      </w:r>
      <w:r w:rsidR="00ED3D54" w:rsidRPr="00E23455">
        <w:rPr>
          <w:rFonts w:ascii="Arial" w:hAnsi="Arial" w:cs="Arial"/>
          <w:b/>
          <w:bCs/>
          <w:spacing w:val="-9"/>
          <w:kern w:val="1"/>
          <w:sz w:val="30"/>
          <w:szCs w:val="30"/>
          <w:lang w:val="en-GB"/>
        </w:rPr>
        <w:t xml:space="preserve"> </w:t>
      </w:r>
      <w:r w:rsidR="00ED3D54" w:rsidRPr="00E23455">
        <w:rPr>
          <w:rFonts w:ascii="Arial" w:hAnsi="Arial" w:cs="Arial"/>
          <w:b/>
          <w:bCs/>
          <w:kern w:val="1"/>
          <w:sz w:val="30"/>
          <w:szCs w:val="30"/>
          <w:lang w:val="en-GB"/>
        </w:rPr>
        <w:t>Authority</w:t>
      </w:r>
      <w:r w:rsidR="00ED3D54" w:rsidRPr="00E23455">
        <w:rPr>
          <w:rFonts w:ascii="Arial" w:hAnsi="Arial" w:cs="Arial"/>
          <w:b/>
          <w:bCs/>
          <w:spacing w:val="-8"/>
          <w:kern w:val="1"/>
          <w:sz w:val="30"/>
          <w:szCs w:val="30"/>
          <w:lang w:val="en-GB"/>
        </w:rPr>
        <w:t xml:space="preserve"> </w:t>
      </w:r>
      <w:r w:rsidR="00ED3D54" w:rsidRPr="00E23455">
        <w:rPr>
          <w:rFonts w:ascii="Arial" w:hAnsi="Arial" w:cs="Arial"/>
          <w:b/>
          <w:bCs/>
          <w:spacing w:val="-2"/>
          <w:kern w:val="1"/>
          <w:sz w:val="30"/>
          <w:szCs w:val="30"/>
          <w:lang w:val="en-GB"/>
        </w:rPr>
        <w:t>Victoria</w:t>
      </w:r>
      <w:r w:rsidR="00ED3D54" w:rsidRPr="003643AB">
        <w:rPr>
          <w:rFonts w:ascii="Arial" w:hAnsi="Arial" w:cs="Arial"/>
          <w:spacing w:val="-2"/>
          <w:kern w:val="1"/>
          <w:sz w:val="36"/>
          <w:szCs w:val="36"/>
          <w:lang w:val="en-GB"/>
        </w:rPr>
        <w:br/>
      </w:r>
      <w:r w:rsidR="00ED3D54" w:rsidRPr="003643AB">
        <w:rPr>
          <w:rFonts w:ascii="Arial" w:hAnsi="Arial" w:cs="Arial"/>
          <w:spacing w:val="-2"/>
          <w:kern w:val="1"/>
          <w:sz w:val="24"/>
          <w:szCs w:val="24"/>
          <w:lang w:val="en-GB"/>
        </w:rPr>
        <w:br/>
      </w:r>
      <w:r w:rsidR="00ED3D54" w:rsidRPr="003643AB">
        <w:rPr>
          <w:rFonts w:ascii="Arial" w:hAnsi="Arial" w:cs="Arial"/>
          <w:spacing w:val="-2"/>
          <w:kern w:val="1"/>
          <w:sz w:val="20"/>
          <w:szCs w:val="20"/>
          <w:lang w:val="en-GB"/>
        </w:rPr>
        <w:t>1 July, 2022</w:t>
      </w:r>
      <w:r w:rsidR="00ED3D54" w:rsidRPr="003643AB">
        <w:rPr>
          <w:rFonts w:ascii="Arial" w:hAnsi="Arial" w:cs="Arial"/>
          <w:spacing w:val="-2"/>
          <w:kern w:val="1"/>
          <w:sz w:val="20"/>
          <w:szCs w:val="20"/>
          <w:lang w:val="en-GB"/>
        </w:rPr>
        <w:br/>
      </w:r>
    </w:p>
    <w:p w14:paraId="312403D6" w14:textId="77777777" w:rsidR="00A1428B" w:rsidRPr="003643AB" w:rsidRDefault="00000000" w:rsidP="00A1428B">
      <w:pPr>
        <w:numPr>
          <w:ilvl w:val="0"/>
          <w:numId w:val="1"/>
        </w:numPr>
        <w:spacing w:after="0" w:line="240" w:lineRule="auto"/>
        <w:rPr>
          <w:rFonts w:ascii="Arial" w:eastAsia="Times New Roman" w:hAnsi="Arial" w:cs="Arial"/>
          <w:color w:val="333333"/>
          <w:sz w:val="20"/>
          <w:szCs w:val="20"/>
          <w:lang w:eastAsia="en-AU"/>
        </w:rPr>
      </w:pPr>
      <w:hyperlink r:id="rId7" w:anchor="about-this-plan" w:history="1">
        <w:r w:rsidR="00A1428B" w:rsidRPr="003643AB">
          <w:rPr>
            <w:rFonts w:ascii="Arial" w:eastAsia="Times New Roman" w:hAnsi="Arial" w:cs="Arial"/>
            <w:b/>
            <w:bCs/>
            <w:color w:val="0A3C73"/>
            <w:sz w:val="20"/>
            <w:szCs w:val="20"/>
            <w:u w:val="single"/>
            <w:lang w:eastAsia="en-AU"/>
          </w:rPr>
          <w:t>About this plan</w:t>
        </w:r>
      </w:hyperlink>
    </w:p>
    <w:p w14:paraId="4DB3F53E" w14:textId="77777777" w:rsidR="00A1428B" w:rsidRPr="003643AB" w:rsidRDefault="00000000" w:rsidP="00A1428B">
      <w:pPr>
        <w:numPr>
          <w:ilvl w:val="0"/>
          <w:numId w:val="1"/>
        </w:numPr>
        <w:spacing w:after="0" w:line="240" w:lineRule="auto"/>
        <w:rPr>
          <w:rFonts w:ascii="Arial" w:eastAsia="Times New Roman" w:hAnsi="Arial" w:cs="Arial"/>
          <w:color w:val="333333"/>
          <w:sz w:val="20"/>
          <w:szCs w:val="20"/>
          <w:lang w:eastAsia="en-AU"/>
        </w:rPr>
      </w:pPr>
      <w:hyperlink r:id="rId8" w:anchor="about-us" w:history="1">
        <w:r w:rsidR="00A1428B" w:rsidRPr="003643AB">
          <w:rPr>
            <w:rFonts w:ascii="Arial" w:eastAsia="Times New Roman" w:hAnsi="Arial" w:cs="Arial"/>
            <w:b/>
            <w:bCs/>
            <w:color w:val="0A3C73"/>
            <w:sz w:val="20"/>
            <w:szCs w:val="20"/>
            <w:u w:val="single"/>
            <w:lang w:eastAsia="en-AU"/>
          </w:rPr>
          <w:t>About us</w:t>
        </w:r>
      </w:hyperlink>
    </w:p>
    <w:p w14:paraId="0BD436D3" w14:textId="77777777" w:rsidR="00A1428B" w:rsidRPr="003643AB" w:rsidRDefault="00000000" w:rsidP="00A1428B">
      <w:pPr>
        <w:numPr>
          <w:ilvl w:val="0"/>
          <w:numId w:val="1"/>
        </w:numPr>
        <w:spacing w:after="0" w:line="240" w:lineRule="auto"/>
        <w:rPr>
          <w:rFonts w:ascii="Arial" w:eastAsia="Times New Roman" w:hAnsi="Arial" w:cs="Arial"/>
          <w:color w:val="333333"/>
          <w:sz w:val="20"/>
          <w:szCs w:val="20"/>
          <w:lang w:eastAsia="en-AU"/>
        </w:rPr>
      </w:pPr>
      <w:hyperlink r:id="rId9" w:anchor="our-operating-context" w:history="1">
        <w:r w:rsidR="00A1428B" w:rsidRPr="003643AB">
          <w:rPr>
            <w:rFonts w:ascii="Arial" w:eastAsia="Times New Roman" w:hAnsi="Arial" w:cs="Arial"/>
            <w:b/>
            <w:bCs/>
            <w:color w:val="0A3C73"/>
            <w:sz w:val="20"/>
            <w:szCs w:val="20"/>
            <w:u w:val="single"/>
            <w:lang w:eastAsia="en-AU"/>
          </w:rPr>
          <w:t>Our operating context</w:t>
        </w:r>
      </w:hyperlink>
    </w:p>
    <w:p w14:paraId="6747F452" w14:textId="77777777" w:rsidR="00A1428B" w:rsidRPr="003643AB" w:rsidRDefault="00000000" w:rsidP="00A1428B">
      <w:pPr>
        <w:numPr>
          <w:ilvl w:val="0"/>
          <w:numId w:val="1"/>
        </w:numPr>
        <w:spacing w:after="0" w:line="240" w:lineRule="auto"/>
        <w:rPr>
          <w:rFonts w:ascii="Arial" w:eastAsia="Times New Roman" w:hAnsi="Arial" w:cs="Arial"/>
          <w:color w:val="333333"/>
          <w:sz w:val="20"/>
          <w:szCs w:val="20"/>
          <w:lang w:eastAsia="en-AU"/>
        </w:rPr>
      </w:pPr>
      <w:hyperlink r:id="rId10" w:anchor="the-outcomes-we-want-to-see" w:history="1">
        <w:r w:rsidR="00A1428B" w:rsidRPr="003643AB">
          <w:rPr>
            <w:rFonts w:ascii="Arial" w:eastAsia="Times New Roman" w:hAnsi="Arial" w:cs="Arial"/>
            <w:b/>
            <w:bCs/>
            <w:color w:val="0A3C73"/>
            <w:sz w:val="20"/>
            <w:szCs w:val="20"/>
            <w:u w:val="single"/>
            <w:lang w:eastAsia="en-AU"/>
          </w:rPr>
          <w:t>The outcomes we want to see</w:t>
        </w:r>
      </w:hyperlink>
    </w:p>
    <w:p w14:paraId="4E74EC6B" w14:textId="77777777" w:rsidR="00A1428B" w:rsidRPr="003643AB" w:rsidRDefault="00000000" w:rsidP="00A1428B">
      <w:pPr>
        <w:numPr>
          <w:ilvl w:val="0"/>
          <w:numId w:val="1"/>
        </w:numPr>
        <w:spacing w:after="0" w:line="240" w:lineRule="auto"/>
        <w:rPr>
          <w:rFonts w:ascii="Arial" w:eastAsia="Times New Roman" w:hAnsi="Arial" w:cs="Arial"/>
          <w:color w:val="333333"/>
          <w:sz w:val="20"/>
          <w:szCs w:val="20"/>
          <w:lang w:eastAsia="en-AU"/>
        </w:rPr>
      </w:pPr>
      <w:hyperlink r:id="rId11" w:anchor="the-choices-weve-made" w:history="1">
        <w:r w:rsidR="00A1428B" w:rsidRPr="003643AB">
          <w:rPr>
            <w:rFonts w:ascii="Arial" w:eastAsia="Times New Roman" w:hAnsi="Arial" w:cs="Arial"/>
            <w:b/>
            <w:bCs/>
            <w:color w:val="0A3C73"/>
            <w:sz w:val="20"/>
            <w:szCs w:val="20"/>
            <w:u w:val="single"/>
            <w:lang w:eastAsia="en-AU"/>
          </w:rPr>
          <w:t>The choices we’ve made</w:t>
        </w:r>
      </w:hyperlink>
    </w:p>
    <w:p w14:paraId="769E9DA8" w14:textId="77777777" w:rsidR="00A1428B" w:rsidRPr="003643AB" w:rsidRDefault="00000000" w:rsidP="00A1428B">
      <w:pPr>
        <w:numPr>
          <w:ilvl w:val="0"/>
          <w:numId w:val="1"/>
        </w:numPr>
        <w:spacing w:after="0" w:line="240" w:lineRule="auto"/>
        <w:rPr>
          <w:rFonts w:ascii="Arial" w:eastAsia="Times New Roman" w:hAnsi="Arial" w:cs="Arial"/>
          <w:color w:val="333333"/>
          <w:sz w:val="20"/>
          <w:szCs w:val="20"/>
          <w:lang w:eastAsia="en-AU"/>
        </w:rPr>
      </w:pPr>
      <w:hyperlink r:id="rId12" w:anchor="what-were-aiming-to-achieve" w:history="1">
        <w:r w:rsidR="00A1428B" w:rsidRPr="003643AB">
          <w:rPr>
            <w:rFonts w:ascii="Arial" w:eastAsia="Times New Roman" w:hAnsi="Arial" w:cs="Arial"/>
            <w:b/>
            <w:bCs/>
            <w:color w:val="0A3C73"/>
            <w:sz w:val="20"/>
            <w:szCs w:val="20"/>
            <w:u w:val="single"/>
            <w:lang w:eastAsia="en-AU"/>
          </w:rPr>
          <w:t>What we’re aiming to achieve</w:t>
        </w:r>
      </w:hyperlink>
    </w:p>
    <w:p w14:paraId="3E133F9A" w14:textId="77777777" w:rsidR="00A1428B" w:rsidRPr="003643AB" w:rsidRDefault="00000000" w:rsidP="00A1428B">
      <w:pPr>
        <w:numPr>
          <w:ilvl w:val="0"/>
          <w:numId w:val="1"/>
        </w:numPr>
        <w:spacing w:after="0" w:line="240" w:lineRule="auto"/>
        <w:rPr>
          <w:rFonts w:ascii="Arial" w:eastAsia="Times New Roman" w:hAnsi="Arial" w:cs="Arial"/>
          <w:color w:val="333333"/>
          <w:sz w:val="20"/>
          <w:szCs w:val="20"/>
          <w:lang w:eastAsia="en-AU"/>
        </w:rPr>
      </w:pPr>
      <w:hyperlink r:id="rId13" w:anchor="the-drivers-of-our-success" w:history="1">
        <w:r w:rsidR="00A1428B" w:rsidRPr="003643AB">
          <w:rPr>
            <w:rFonts w:ascii="Arial" w:eastAsia="Times New Roman" w:hAnsi="Arial" w:cs="Arial"/>
            <w:b/>
            <w:bCs/>
            <w:color w:val="0A3C73"/>
            <w:sz w:val="20"/>
            <w:szCs w:val="20"/>
            <w:u w:val="single"/>
            <w:lang w:eastAsia="en-AU"/>
          </w:rPr>
          <w:t>The drivers of our success</w:t>
        </w:r>
      </w:hyperlink>
    </w:p>
    <w:p w14:paraId="037BBD4F" w14:textId="77777777" w:rsidR="00A1428B" w:rsidRPr="003643AB" w:rsidRDefault="00000000" w:rsidP="00A1428B">
      <w:pPr>
        <w:numPr>
          <w:ilvl w:val="0"/>
          <w:numId w:val="1"/>
        </w:numPr>
        <w:spacing w:after="0" w:line="240" w:lineRule="auto"/>
        <w:rPr>
          <w:rFonts w:ascii="Arial" w:eastAsia="Times New Roman" w:hAnsi="Arial" w:cs="Arial"/>
          <w:color w:val="333333"/>
          <w:sz w:val="20"/>
          <w:szCs w:val="20"/>
          <w:lang w:eastAsia="en-AU"/>
        </w:rPr>
      </w:pPr>
      <w:hyperlink r:id="rId14" w:anchor="our-performance-measures-and-targets" w:history="1">
        <w:r w:rsidR="00A1428B" w:rsidRPr="003643AB">
          <w:rPr>
            <w:rFonts w:ascii="Arial" w:eastAsia="Times New Roman" w:hAnsi="Arial" w:cs="Arial"/>
            <w:b/>
            <w:bCs/>
            <w:color w:val="0A3C73"/>
            <w:sz w:val="20"/>
            <w:szCs w:val="20"/>
            <w:u w:val="single"/>
            <w:lang w:eastAsia="en-AU"/>
          </w:rPr>
          <w:t>Our performance measures and targets</w:t>
        </w:r>
      </w:hyperlink>
    </w:p>
    <w:p w14:paraId="3D1A2251" w14:textId="77777777" w:rsidR="00A1428B" w:rsidRPr="003643AB" w:rsidRDefault="00000000" w:rsidP="00A1428B">
      <w:pPr>
        <w:numPr>
          <w:ilvl w:val="0"/>
          <w:numId w:val="1"/>
        </w:numPr>
        <w:spacing w:after="0" w:line="240" w:lineRule="auto"/>
        <w:rPr>
          <w:rFonts w:ascii="Arial" w:eastAsia="Times New Roman" w:hAnsi="Arial" w:cs="Arial"/>
          <w:color w:val="333333"/>
          <w:sz w:val="20"/>
          <w:szCs w:val="20"/>
          <w:lang w:eastAsia="en-AU"/>
        </w:rPr>
      </w:pPr>
      <w:hyperlink r:id="rId15" w:anchor="how-well-implement-our-strategic-plan-" w:history="1">
        <w:r w:rsidR="00A1428B" w:rsidRPr="003643AB">
          <w:rPr>
            <w:rFonts w:ascii="Arial" w:eastAsia="Times New Roman" w:hAnsi="Arial" w:cs="Arial"/>
            <w:b/>
            <w:bCs/>
            <w:color w:val="0A3C73"/>
            <w:sz w:val="20"/>
            <w:szCs w:val="20"/>
            <w:u w:val="single"/>
            <w:lang w:eastAsia="en-AU"/>
          </w:rPr>
          <w:t>How we’ll implement our Strategic Plan </w:t>
        </w:r>
      </w:hyperlink>
    </w:p>
    <w:p w14:paraId="2EA3541F" w14:textId="20DC05B0" w:rsidR="00A1428B" w:rsidRPr="003643AB" w:rsidRDefault="00A1428B" w:rsidP="00A1428B">
      <w:pPr>
        <w:spacing w:after="210" w:line="240" w:lineRule="auto"/>
        <w:rPr>
          <w:rFonts w:ascii="Arial" w:eastAsia="Times New Roman" w:hAnsi="Arial" w:cs="Arial"/>
          <w:color w:val="333333"/>
          <w:sz w:val="24"/>
          <w:szCs w:val="24"/>
          <w:lang w:eastAsia="en-AU"/>
        </w:rPr>
      </w:pPr>
    </w:p>
    <w:p w14:paraId="4ADEE2CE" w14:textId="77777777" w:rsidR="00A1428B" w:rsidRPr="00E23455" w:rsidRDefault="00A1428B" w:rsidP="00A1428B">
      <w:pPr>
        <w:spacing w:before="600" w:after="225" w:line="540" w:lineRule="atLeast"/>
        <w:outlineLvl w:val="2"/>
        <w:rPr>
          <w:rFonts w:ascii="Arial" w:eastAsia="Times New Roman" w:hAnsi="Arial" w:cs="Arial"/>
          <w:b/>
          <w:bCs/>
          <w:color w:val="111111"/>
          <w:sz w:val="30"/>
          <w:szCs w:val="30"/>
          <w:lang w:eastAsia="en-AU"/>
        </w:rPr>
      </w:pPr>
      <w:r w:rsidRPr="00E23455">
        <w:rPr>
          <w:rFonts w:ascii="Arial" w:eastAsia="Times New Roman" w:hAnsi="Arial" w:cs="Arial"/>
          <w:b/>
          <w:bCs/>
          <w:color w:val="111111"/>
          <w:sz w:val="30"/>
          <w:szCs w:val="30"/>
          <w:lang w:eastAsia="en-AU"/>
        </w:rPr>
        <w:t>Acknowledgment of Country</w:t>
      </w:r>
    </w:p>
    <w:p w14:paraId="63AFE5DB"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The Environment Protection Authority (EPA) acknowledges Aboriginal people as the First Peoples and Traditional custodians of the land and water on which we live, work, and depend. We pay respect to Aboriginal Elders past and present.</w:t>
      </w:r>
    </w:p>
    <w:p w14:paraId="6E11E769"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As Victoria’s environmental regulator, we pay respect to how Country has been protected and cared for by Aboriginal people over many tens of thousands of years.</w:t>
      </w:r>
    </w:p>
    <w:p w14:paraId="3FE793B7"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We recognise the unique spiritual and cultural significance of land, water and all that is in the environment and the continuing connection and aspirations for Country of Aboriginal people and Traditional custodians.</w:t>
      </w:r>
    </w:p>
    <w:p w14:paraId="321AB4F7" w14:textId="77777777" w:rsidR="00A1428B" w:rsidRPr="003643AB" w:rsidRDefault="00A1428B" w:rsidP="00A1428B">
      <w:pPr>
        <w:spacing w:before="600" w:after="390" w:line="690" w:lineRule="atLeast"/>
        <w:outlineLvl w:val="1"/>
        <w:rPr>
          <w:rFonts w:ascii="Arial" w:eastAsia="Times New Roman" w:hAnsi="Arial" w:cs="Arial"/>
          <w:b/>
          <w:bCs/>
          <w:color w:val="111111"/>
          <w:sz w:val="57"/>
          <w:szCs w:val="57"/>
          <w:lang w:eastAsia="en-AU"/>
        </w:rPr>
      </w:pPr>
      <w:r w:rsidRPr="003643AB">
        <w:rPr>
          <w:rFonts w:ascii="Arial" w:eastAsia="Times New Roman" w:hAnsi="Arial" w:cs="Arial"/>
          <w:b/>
          <w:bCs/>
          <w:color w:val="111111"/>
          <w:sz w:val="57"/>
          <w:szCs w:val="57"/>
          <w:lang w:eastAsia="en-AU"/>
        </w:rPr>
        <w:t>About this plan</w:t>
      </w:r>
    </w:p>
    <w:p w14:paraId="459D2745" w14:textId="77777777" w:rsidR="00A1428B" w:rsidRPr="003643AB" w:rsidRDefault="00A1428B" w:rsidP="00A1428B">
      <w:pPr>
        <w:spacing w:after="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Our </w:t>
      </w:r>
      <w:hyperlink r:id="rId16" w:anchor="pdfwordview" w:history="1">
        <w:r w:rsidRPr="003643AB">
          <w:rPr>
            <w:rFonts w:ascii="Arial" w:eastAsia="Times New Roman" w:hAnsi="Arial" w:cs="Arial"/>
            <w:b/>
            <w:bCs/>
            <w:color w:val="0A3C73"/>
            <w:sz w:val="20"/>
            <w:szCs w:val="20"/>
            <w:u w:val="single"/>
            <w:lang w:eastAsia="en-AU"/>
          </w:rPr>
          <w:t>Strategic Plan 2022-27</w:t>
        </w:r>
      </w:hyperlink>
      <w:r w:rsidRPr="003643AB">
        <w:rPr>
          <w:rFonts w:ascii="Arial" w:eastAsia="Times New Roman" w:hAnsi="Arial" w:cs="Arial"/>
          <w:color w:val="333333"/>
          <w:sz w:val="20"/>
          <w:szCs w:val="20"/>
          <w:lang w:eastAsia="en-AU"/>
        </w:rPr>
        <w:t> defines our purpose and the outcomes we want to see in this period. The plan describes the strategic choices we’ve made to secure those outcomes, what we aim to achieve and how we’ll measure our performance. </w:t>
      </w:r>
    </w:p>
    <w:p w14:paraId="38F85D1B" w14:textId="10B6563A" w:rsidR="00A1428B" w:rsidRDefault="00A1428B" w:rsidP="00A1428B">
      <w:pPr>
        <w:spacing w:before="210" w:after="210" w:line="240" w:lineRule="auto"/>
        <w:rPr>
          <w:rFonts w:ascii="Arial" w:eastAsia="Times New Roman" w:hAnsi="Arial" w:cs="Arial"/>
          <w:color w:val="333333"/>
          <w:sz w:val="24"/>
          <w:szCs w:val="24"/>
          <w:lang w:eastAsia="en-AU"/>
        </w:rPr>
      </w:pPr>
      <w:r w:rsidRPr="003643AB">
        <w:rPr>
          <w:rFonts w:ascii="Arial" w:eastAsia="Times New Roman" w:hAnsi="Arial" w:cs="Arial"/>
          <w:color w:val="333333"/>
          <w:sz w:val="24"/>
          <w:szCs w:val="24"/>
          <w:lang w:eastAsia="en-AU"/>
        </w:rPr>
        <w:t> </w:t>
      </w:r>
    </w:p>
    <w:p w14:paraId="3E16B07C" w14:textId="77777777" w:rsidR="00E23455" w:rsidRPr="003643AB" w:rsidRDefault="00E23455" w:rsidP="00A1428B">
      <w:pPr>
        <w:spacing w:before="210" w:after="210" w:line="240" w:lineRule="auto"/>
        <w:rPr>
          <w:rFonts w:ascii="Arial" w:eastAsia="Times New Roman" w:hAnsi="Arial" w:cs="Arial"/>
          <w:color w:val="333333"/>
          <w:sz w:val="24"/>
          <w:szCs w:val="24"/>
          <w:lang w:eastAsia="en-AU"/>
        </w:rPr>
      </w:pPr>
    </w:p>
    <w:p w14:paraId="2B18A2E3" w14:textId="008BD59C" w:rsidR="00A1428B" w:rsidRPr="003643AB" w:rsidRDefault="00A1428B" w:rsidP="00A1428B">
      <w:pPr>
        <w:spacing w:before="600" w:after="390" w:line="690" w:lineRule="atLeast"/>
        <w:outlineLvl w:val="1"/>
        <w:rPr>
          <w:rFonts w:ascii="Arial" w:eastAsia="Times New Roman" w:hAnsi="Arial" w:cs="Arial"/>
          <w:b/>
          <w:bCs/>
          <w:color w:val="111111"/>
          <w:sz w:val="57"/>
          <w:szCs w:val="57"/>
          <w:lang w:eastAsia="en-AU"/>
        </w:rPr>
      </w:pPr>
      <w:r w:rsidRPr="003643AB">
        <w:rPr>
          <w:rFonts w:ascii="Arial" w:eastAsia="Times New Roman" w:hAnsi="Arial" w:cs="Arial"/>
          <w:b/>
          <w:bCs/>
          <w:color w:val="111111"/>
          <w:sz w:val="57"/>
          <w:szCs w:val="57"/>
          <w:lang w:eastAsia="en-AU"/>
        </w:rPr>
        <w:lastRenderedPageBreak/>
        <w:t>About us</w:t>
      </w:r>
    </w:p>
    <w:p w14:paraId="6B2D9C47"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Environment Protection Authority Victoria (EPA) was established in 1971 as Victoria’s environmental regulator. EPA is an independent statutory authority, with a Governing Board appointed by the Governor-in-Council on the recommendation of the Minister for Environment and Climate Action. EPA’s role is to prevent and reduce the harmful effects of pollution and waste on Victorians and the environment.</w:t>
      </w:r>
    </w:p>
    <w:p w14:paraId="4FD14A60" w14:textId="77777777" w:rsidR="00A1428B" w:rsidRPr="003643AB" w:rsidRDefault="00A1428B" w:rsidP="00A1428B">
      <w:pPr>
        <w:spacing w:before="600" w:after="225" w:line="540" w:lineRule="atLeast"/>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t>Our purpose</w:t>
      </w:r>
    </w:p>
    <w:p w14:paraId="2B1F2502"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Protecting the health of our communities and environment.</w:t>
      </w:r>
    </w:p>
    <w:p w14:paraId="64DB9949" w14:textId="77777777" w:rsidR="00A1428B" w:rsidRPr="003643AB" w:rsidRDefault="00A1428B" w:rsidP="00A1428B">
      <w:pPr>
        <w:spacing w:before="600" w:after="225" w:line="540" w:lineRule="atLeast"/>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t>Our values</w:t>
      </w:r>
    </w:p>
    <w:p w14:paraId="5794845F"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Every member of the EPA team, in all aspects of our work, live the organisational values of:</w:t>
      </w:r>
    </w:p>
    <w:p w14:paraId="77A71E34" w14:textId="77777777" w:rsidR="00A1428B" w:rsidRPr="003643AB" w:rsidRDefault="00A1428B" w:rsidP="00A1428B">
      <w:pPr>
        <w:spacing w:before="600" w:after="225" w:line="540" w:lineRule="atLeast"/>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t>Integrity</w:t>
      </w:r>
    </w:p>
    <w:p w14:paraId="613EAE18"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We do the right things and encourage others to do the same.</w:t>
      </w:r>
    </w:p>
    <w:p w14:paraId="3CA9BCA4" w14:textId="77777777" w:rsidR="00A1428B" w:rsidRPr="003643AB" w:rsidRDefault="00A1428B" w:rsidP="00A1428B">
      <w:pPr>
        <w:spacing w:before="600" w:after="225" w:line="540" w:lineRule="atLeast"/>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t>Courage</w:t>
      </w:r>
    </w:p>
    <w:p w14:paraId="56B6A4F6"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We’re empowered to step up to our purpose.</w:t>
      </w:r>
    </w:p>
    <w:p w14:paraId="37E352DA" w14:textId="77777777" w:rsidR="00A1428B" w:rsidRPr="003643AB" w:rsidRDefault="00A1428B" w:rsidP="00A1428B">
      <w:pPr>
        <w:spacing w:before="600" w:after="225" w:line="540" w:lineRule="atLeast"/>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t>Connection</w:t>
      </w:r>
    </w:p>
    <w:p w14:paraId="26EE34BD"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We’re unified, inclusive, transparent and open.</w:t>
      </w:r>
    </w:p>
    <w:p w14:paraId="1B69EB56" w14:textId="77777777" w:rsidR="00A1428B" w:rsidRPr="003643AB" w:rsidRDefault="00A1428B" w:rsidP="00A1428B">
      <w:pPr>
        <w:spacing w:before="600" w:after="225" w:line="540" w:lineRule="atLeast"/>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t>Excellence</w:t>
      </w:r>
    </w:p>
    <w:p w14:paraId="49761051"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 xml:space="preserve">Doing the very best we can </w:t>
      </w:r>
      <w:proofErr w:type="gramStart"/>
      <w:r w:rsidRPr="003643AB">
        <w:rPr>
          <w:rFonts w:ascii="Arial" w:eastAsia="Times New Roman" w:hAnsi="Arial" w:cs="Arial"/>
          <w:color w:val="333333"/>
          <w:sz w:val="20"/>
          <w:szCs w:val="20"/>
          <w:lang w:eastAsia="en-AU"/>
        </w:rPr>
        <w:t>is</w:t>
      </w:r>
      <w:proofErr w:type="gramEnd"/>
      <w:r w:rsidRPr="003643AB">
        <w:rPr>
          <w:rFonts w:ascii="Arial" w:eastAsia="Times New Roman" w:hAnsi="Arial" w:cs="Arial"/>
          <w:color w:val="333333"/>
          <w:sz w:val="20"/>
          <w:szCs w:val="20"/>
          <w:lang w:eastAsia="en-AU"/>
        </w:rPr>
        <w:t xml:space="preserve"> our priority.</w:t>
      </w:r>
    </w:p>
    <w:p w14:paraId="515CD79B" w14:textId="77777777" w:rsidR="00A1428B" w:rsidRPr="003643AB" w:rsidRDefault="00A1428B" w:rsidP="00A1428B">
      <w:pPr>
        <w:spacing w:before="600" w:after="225" w:line="540" w:lineRule="atLeast"/>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t>Tenacity</w:t>
      </w:r>
    </w:p>
    <w:p w14:paraId="71C82986"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We’re focused, determined and accountable.</w:t>
      </w:r>
    </w:p>
    <w:p w14:paraId="26EE002E"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We’ll also model the Victorian Public Sector values of responsiveness, impartiality, accountability, respect, leadership and human rights.</w:t>
      </w:r>
    </w:p>
    <w:p w14:paraId="138999FD" w14:textId="5384556E" w:rsidR="00A1428B" w:rsidRPr="003643AB" w:rsidRDefault="00A1428B" w:rsidP="00A1428B">
      <w:pPr>
        <w:spacing w:before="600" w:after="225" w:line="540" w:lineRule="atLeast"/>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lastRenderedPageBreak/>
        <w:t xml:space="preserve">Alignment to </w:t>
      </w:r>
      <w:r w:rsidR="00B3770B">
        <w:rPr>
          <w:rFonts w:ascii="Arial" w:eastAsia="Times New Roman" w:hAnsi="Arial" w:cs="Arial"/>
          <w:b/>
          <w:bCs/>
          <w:color w:val="111111"/>
          <w:sz w:val="42"/>
          <w:szCs w:val="42"/>
          <w:lang w:eastAsia="en-AU"/>
        </w:rPr>
        <w:t>s</w:t>
      </w:r>
      <w:r w:rsidRPr="003643AB">
        <w:rPr>
          <w:rFonts w:ascii="Arial" w:eastAsia="Times New Roman" w:hAnsi="Arial" w:cs="Arial"/>
          <w:b/>
          <w:bCs/>
          <w:color w:val="111111"/>
          <w:sz w:val="42"/>
          <w:szCs w:val="42"/>
          <w:lang w:eastAsia="en-AU"/>
        </w:rPr>
        <w:t>ustainable</w:t>
      </w:r>
      <w:r w:rsidR="001E3C00">
        <w:rPr>
          <w:rFonts w:ascii="Arial" w:eastAsia="Times New Roman" w:hAnsi="Arial" w:cs="Arial"/>
          <w:b/>
          <w:bCs/>
          <w:color w:val="111111"/>
          <w:sz w:val="42"/>
          <w:szCs w:val="42"/>
          <w:lang w:eastAsia="en-AU"/>
        </w:rPr>
        <w:br/>
      </w:r>
      <w:r w:rsidR="00B3770B">
        <w:rPr>
          <w:rFonts w:ascii="Arial" w:eastAsia="Times New Roman" w:hAnsi="Arial" w:cs="Arial"/>
          <w:b/>
          <w:bCs/>
          <w:color w:val="111111"/>
          <w:sz w:val="42"/>
          <w:szCs w:val="42"/>
          <w:lang w:eastAsia="en-AU"/>
        </w:rPr>
        <w:t>d</w:t>
      </w:r>
      <w:r w:rsidRPr="003643AB">
        <w:rPr>
          <w:rFonts w:ascii="Arial" w:eastAsia="Times New Roman" w:hAnsi="Arial" w:cs="Arial"/>
          <w:b/>
          <w:bCs/>
          <w:color w:val="111111"/>
          <w:sz w:val="42"/>
          <w:szCs w:val="42"/>
          <w:lang w:eastAsia="en-AU"/>
        </w:rPr>
        <w:t xml:space="preserve">evelopment </w:t>
      </w:r>
      <w:r w:rsidR="00B3770B">
        <w:rPr>
          <w:rFonts w:ascii="Arial" w:eastAsia="Times New Roman" w:hAnsi="Arial" w:cs="Arial"/>
          <w:b/>
          <w:bCs/>
          <w:color w:val="111111"/>
          <w:sz w:val="42"/>
          <w:szCs w:val="42"/>
          <w:lang w:eastAsia="en-AU"/>
        </w:rPr>
        <w:t>g</w:t>
      </w:r>
      <w:r w:rsidRPr="003643AB">
        <w:rPr>
          <w:rFonts w:ascii="Arial" w:eastAsia="Times New Roman" w:hAnsi="Arial" w:cs="Arial"/>
          <w:b/>
          <w:bCs/>
          <w:color w:val="111111"/>
          <w:sz w:val="42"/>
          <w:szCs w:val="42"/>
          <w:lang w:eastAsia="en-AU"/>
        </w:rPr>
        <w:t>oals</w:t>
      </w:r>
    </w:p>
    <w:p w14:paraId="20E53802"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The Sustainable Development Goals (SDGs) were set up in 2015 by the United Nations General Assembly to provide a blueprint for achieving a better and more sustainable future for all.</w:t>
      </w:r>
    </w:p>
    <w:p w14:paraId="14A267F1" w14:textId="39F62532" w:rsidR="00A1428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While we contribute to all 17 SDGs, our work at EPA mostly aligns to the following global goals:</w:t>
      </w:r>
    </w:p>
    <w:p w14:paraId="75B8825A" w14:textId="77777777" w:rsidR="00305D74" w:rsidRPr="00305D74" w:rsidRDefault="00305D74" w:rsidP="00A1428B">
      <w:pPr>
        <w:spacing w:before="210" w:after="210" w:line="240" w:lineRule="auto"/>
        <w:rPr>
          <w:rFonts w:ascii="Arial" w:eastAsia="Times New Roman" w:hAnsi="Arial" w:cs="Arial"/>
          <w:color w:val="333333"/>
          <w:sz w:val="20"/>
          <w:szCs w:val="20"/>
          <w:lang w:eastAsia="en-AU"/>
        </w:rPr>
      </w:pPr>
      <w:r w:rsidRPr="00305D74">
        <w:rPr>
          <w:rFonts w:ascii="Arial" w:eastAsia="Times New Roman" w:hAnsi="Arial" w:cs="Arial"/>
          <w:color w:val="333333"/>
          <w:sz w:val="20"/>
          <w:szCs w:val="20"/>
          <w:lang w:eastAsia="en-AU"/>
        </w:rPr>
        <w:t xml:space="preserve">3. Good health &amp; well-being </w:t>
      </w:r>
    </w:p>
    <w:p w14:paraId="03B88235" w14:textId="77777777" w:rsidR="00305D74" w:rsidRPr="00305D74" w:rsidRDefault="00305D74" w:rsidP="00A1428B">
      <w:pPr>
        <w:spacing w:before="210" w:after="210" w:line="240" w:lineRule="auto"/>
        <w:rPr>
          <w:rFonts w:ascii="Arial" w:eastAsia="Times New Roman" w:hAnsi="Arial" w:cs="Arial"/>
          <w:color w:val="333333"/>
          <w:sz w:val="20"/>
          <w:szCs w:val="20"/>
          <w:lang w:eastAsia="en-AU"/>
        </w:rPr>
      </w:pPr>
      <w:r w:rsidRPr="00305D74">
        <w:rPr>
          <w:rFonts w:ascii="Arial" w:eastAsia="Times New Roman" w:hAnsi="Arial" w:cs="Arial"/>
          <w:color w:val="333333"/>
          <w:sz w:val="20"/>
          <w:szCs w:val="20"/>
          <w:lang w:eastAsia="en-AU"/>
        </w:rPr>
        <w:t xml:space="preserve">6. Clean water &amp; sanitation </w:t>
      </w:r>
    </w:p>
    <w:p w14:paraId="210CBDCF" w14:textId="77777777" w:rsidR="00305D74" w:rsidRPr="00305D74" w:rsidRDefault="00305D74" w:rsidP="00A1428B">
      <w:pPr>
        <w:spacing w:before="210" w:after="210" w:line="240" w:lineRule="auto"/>
        <w:rPr>
          <w:rFonts w:ascii="Arial" w:eastAsia="Times New Roman" w:hAnsi="Arial" w:cs="Arial"/>
          <w:color w:val="333333"/>
          <w:sz w:val="20"/>
          <w:szCs w:val="20"/>
          <w:lang w:eastAsia="en-AU"/>
        </w:rPr>
      </w:pPr>
      <w:r w:rsidRPr="00305D74">
        <w:rPr>
          <w:rFonts w:ascii="Arial" w:eastAsia="Times New Roman" w:hAnsi="Arial" w:cs="Arial"/>
          <w:color w:val="333333"/>
          <w:sz w:val="20"/>
          <w:szCs w:val="20"/>
          <w:lang w:eastAsia="en-AU"/>
        </w:rPr>
        <w:t xml:space="preserve">7. Affordable &amp; clean energy </w:t>
      </w:r>
    </w:p>
    <w:p w14:paraId="6A9EA2E3" w14:textId="77777777" w:rsidR="00305D74" w:rsidRDefault="00305D74" w:rsidP="00A1428B">
      <w:pPr>
        <w:spacing w:before="210" w:after="210" w:line="240" w:lineRule="auto"/>
        <w:rPr>
          <w:rFonts w:ascii="Arial" w:eastAsia="Times New Roman" w:hAnsi="Arial" w:cs="Arial"/>
          <w:color w:val="333333"/>
          <w:sz w:val="20"/>
          <w:szCs w:val="20"/>
          <w:lang w:eastAsia="en-AU"/>
        </w:rPr>
      </w:pPr>
      <w:r w:rsidRPr="00305D74">
        <w:rPr>
          <w:rFonts w:ascii="Arial" w:eastAsia="Times New Roman" w:hAnsi="Arial" w:cs="Arial"/>
          <w:color w:val="333333"/>
          <w:sz w:val="20"/>
          <w:szCs w:val="20"/>
          <w:lang w:eastAsia="en-AU"/>
        </w:rPr>
        <w:t xml:space="preserve">9. Industry, innovation &amp; infrastructure </w:t>
      </w:r>
    </w:p>
    <w:p w14:paraId="6FB973E2" w14:textId="54EB86C9" w:rsidR="00305D74" w:rsidRPr="00305D74" w:rsidRDefault="00305D74" w:rsidP="00A1428B">
      <w:pPr>
        <w:spacing w:before="210" w:after="210" w:line="240" w:lineRule="auto"/>
        <w:rPr>
          <w:rFonts w:ascii="Arial" w:eastAsia="Times New Roman" w:hAnsi="Arial" w:cs="Arial"/>
          <w:color w:val="333333"/>
          <w:sz w:val="20"/>
          <w:szCs w:val="20"/>
          <w:lang w:eastAsia="en-AU"/>
        </w:rPr>
      </w:pPr>
      <w:r w:rsidRPr="00305D74">
        <w:rPr>
          <w:rFonts w:ascii="Arial" w:eastAsia="Times New Roman" w:hAnsi="Arial" w:cs="Arial"/>
          <w:color w:val="333333"/>
          <w:sz w:val="20"/>
          <w:szCs w:val="20"/>
          <w:lang w:eastAsia="en-AU"/>
        </w:rPr>
        <w:t xml:space="preserve">11. Sustainable cities &amp; communities </w:t>
      </w:r>
    </w:p>
    <w:p w14:paraId="5E873F3D" w14:textId="77777777" w:rsidR="00305D74" w:rsidRPr="00305D74" w:rsidRDefault="00305D74" w:rsidP="00A1428B">
      <w:pPr>
        <w:spacing w:before="210" w:after="210" w:line="240" w:lineRule="auto"/>
        <w:rPr>
          <w:rFonts w:ascii="Arial" w:eastAsia="Times New Roman" w:hAnsi="Arial" w:cs="Arial"/>
          <w:color w:val="333333"/>
          <w:sz w:val="20"/>
          <w:szCs w:val="20"/>
          <w:lang w:eastAsia="en-AU"/>
        </w:rPr>
      </w:pPr>
      <w:r w:rsidRPr="00305D74">
        <w:rPr>
          <w:rFonts w:ascii="Arial" w:eastAsia="Times New Roman" w:hAnsi="Arial" w:cs="Arial"/>
          <w:color w:val="333333"/>
          <w:sz w:val="20"/>
          <w:szCs w:val="20"/>
          <w:lang w:eastAsia="en-AU"/>
        </w:rPr>
        <w:t xml:space="preserve">12. Responsible consumption &amp; production </w:t>
      </w:r>
    </w:p>
    <w:p w14:paraId="49FB5CF4" w14:textId="77777777" w:rsidR="00305D74" w:rsidRPr="00305D74" w:rsidRDefault="00305D74" w:rsidP="00A1428B">
      <w:pPr>
        <w:spacing w:before="210" w:after="210" w:line="240" w:lineRule="auto"/>
        <w:rPr>
          <w:rFonts w:ascii="Arial" w:eastAsia="Times New Roman" w:hAnsi="Arial" w:cs="Arial"/>
          <w:color w:val="333333"/>
          <w:sz w:val="20"/>
          <w:szCs w:val="20"/>
          <w:lang w:eastAsia="en-AU"/>
        </w:rPr>
      </w:pPr>
      <w:r w:rsidRPr="00305D74">
        <w:rPr>
          <w:rFonts w:ascii="Arial" w:eastAsia="Times New Roman" w:hAnsi="Arial" w:cs="Arial"/>
          <w:color w:val="333333"/>
          <w:sz w:val="20"/>
          <w:szCs w:val="20"/>
          <w:lang w:eastAsia="en-AU"/>
        </w:rPr>
        <w:t xml:space="preserve">13. Climate action </w:t>
      </w:r>
    </w:p>
    <w:p w14:paraId="20A58C62" w14:textId="77777777" w:rsidR="00305D74" w:rsidRPr="00305D74" w:rsidRDefault="00305D74" w:rsidP="00A1428B">
      <w:pPr>
        <w:spacing w:before="210" w:after="210" w:line="240" w:lineRule="auto"/>
        <w:rPr>
          <w:rFonts w:ascii="Arial" w:eastAsia="Times New Roman" w:hAnsi="Arial" w:cs="Arial"/>
          <w:color w:val="333333"/>
          <w:sz w:val="20"/>
          <w:szCs w:val="20"/>
          <w:lang w:eastAsia="en-AU"/>
        </w:rPr>
      </w:pPr>
      <w:r w:rsidRPr="00305D74">
        <w:rPr>
          <w:rFonts w:ascii="Arial" w:eastAsia="Times New Roman" w:hAnsi="Arial" w:cs="Arial"/>
          <w:color w:val="333333"/>
          <w:sz w:val="20"/>
          <w:szCs w:val="20"/>
          <w:lang w:eastAsia="en-AU"/>
        </w:rPr>
        <w:t xml:space="preserve">14. Life below water </w:t>
      </w:r>
    </w:p>
    <w:p w14:paraId="32FDC4E2" w14:textId="4B29E0E5" w:rsidR="00305D74" w:rsidRPr="003643AB" w:rsidRDefault="00305D74" w:rsidP="00A1428B">
      <w:pPr>
        <w:spacing w:before="210" w:after="210" w:line="240" w:lineRule="auto"/>
        <w:rPr>
          <w:rFonts w:ascii="Arial" w:eastAsia="Times New Roman" w:hAnsi="Arial" w:cs="Arial"/>
          <w:color w:val="333333"/>
          <w:sz w:val="20"/>
          <w:szCs w:val="20"/>
          <w:lang w:eastAsia="en-AU"/>
        </w:rPr>
      </w:pPr>
      <w:r w:rsidRPr="00305D74">
        <w:rPr>
          <w:rFonts w:ascii="Arial" w:eastAsia="Times New Roman" w:hAnsi="Arial" w:cs="Arial"/>
          <w:color w:val="333333"/>
          <w:sz w:val="20"/>
          <w:szCs w:val="20"/>
          <w:lang w:eastAsia="en-AU"/>
        </w:rPr>
        <w:t>15. Life on land</w:t>
      </w:r>
    </w:p>
    <w:p w14:paraId="357A3968" w14:textId="77777777" w:rsidR="00A1428B" w:rsidRPr="003643AB" w:rsidRDefault="00A1428B" w:rsidP="00A1428B">
      <w:pPr>
        <w:spacing w:before="600" w:after="390" w:line="690" w:lineRule="atLeast"/>
        <w:outlineLvl w:val="1"/>
        <w:rPr>
          <w:rFonts w:ascii="Arial" w:eastAsia="Times New Roman" w:hAnsi="Arial" w:cs="Arial"/>
          <w:b/>
          <w:bCs/>
          <w:color w:val="111111"/>
          <w:sz w:val="57"/>
          <w:szCs w:val="57"/>
          <w:lang w:eastAsia="en-AU"/>
        </w:rPr>
      </w:pPr>
      <w:r w:rsidRPr="003643AB">
        <w:rPr>
          <w:rFonts w:ascii="Arial" w:eastAsia="Times New Roman" w:hAnsi="Arial" w:cs="Arial"/>
          <w:b/>
          <w:bCs/>
          <w:color w:val="111111"/>
          <w:sz w:val="57"/>
          <w:szCs w:val="57"/>
          <w:lang w:eastAsia="en-AU"/>
        </w:rPr>
        <w:t>Our operating context</w:t>
      </w:r>
    </w:p>
    <w:p w14:paraId="2CF90EBE"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EPA works in a complex and ever-changing operating environment.</w:t>
      </w:r>
    </w:p>
    <w:p w14:paraId="69B75F32"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As the needs of Victorians change over the next five years, we must be equipped to adapt and respond to a range of factors.</w:t>
      </w:r>
    </w:p>
    <w:p w14:paraId="3ACBE8A4" w14:textId="77777777" w:rsidR="00A1428B" w:rsidRPr="003643AB" w:rsidRDefault="00A1428B" w:rsidP="00A1428B">
      <w:pPr>
        <w:spacing w:before="600" w:after="225" w:line="540" w:lineRule="atLeast"/>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t>Climate change</w:t>
      </w:r>
    </w:p>
    <w:p w14:paraId="3BA8AF80"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Climate change is a global challenge - with rising temperatures and more extreme weather events. In Victoria, this means a warmer and drier future with more frequent and intense heatwaves, bushfires and storms.</w:t>
      </w:r>
    </w:p>
    <w:p w14:paraId="516185C2"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These events often create significant pollution and waste issues that can also impact on the health of communities.</w:t>
      </w:r>
    </w:p>
    <w:p w14:paraId="25554F86"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The Victorian Government has legislated a long-term target of net zero emissions by 2050, and through its </w:t>
      </w:r>
      <w:hyperlink r:id="rId17" w:history="1">
        <w:r w:rsidRPr="003643AB">
          <w:rPr>
            <w:rFonts w:ascii="Arial" w:eastAsia="Times New Roman" w:hAnsi="Arial" w:cs="Arial"/>
            <w:b/>
            <w:bCs/>
            <w:color w:val="0A3C73"/>
            <w:sz w:val="20"/>
            <w:szCs w:val="20"/>
            <w:u w:val="single"/>
            <w:lang w:eastAsia="en-AU"/>
          </w:rPr>
          <w:t>Climate Change Strategy</w:t>
        </w:r>
      </w:hyperlink>
      <w:r w:rsidRPr="003643AB">
        <w:rPr>
          <w:rFonts w:ascii="Arial" w:eastAsia="Times New Roman" w:hAnsi="Arial" w:cs="Arial"/>
          <w:color w:val="333333"/>
          <w:sz w:val="20"/>
          <w:szCs w:val="20"/>
          <w:lang w:eastAsia="en-AU"/>
        </w:rPr>
        <w:t>, has set interim targets for 2025 and 2030. Achieving these targets is a shared responsibility across all sectors of the economy - governments, industry and the community.</w:t>
      </w:r>
    </w:p>
    <w:p w14:paraId="54D89EAC"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EPA expects effective action and is committed to playing its part in implementing the Victorian Government’s direction on climate change. While EPA doesn’t regulate all the sources that contribute to climate change, we have a responsibility to consider the effects in our regulatory decision making and must act to ensure the harm from industrial emissions – including greenhouse gases – is eliminated or minimised as far as reasonably practicable.</w:t>
      </w:r>
    </w:p>
    <w:p w14:paraId="0C6C2602" w14:textId="77777777" w:rsidR="001E3C00" w:rsidRDefault="001E3C00">
      <w:pPr>
        <w:rPr>
          <w:rFonts w:ascii="Arial" w:eastAsia="Times New Roman" w:hAnsi="Arial" w:cs="Arial"/>
          <w:b/>
          <w:bCs/>
          <w:color w:val="111111"/>
          <w:sz w:val="42"/>
          <w:szCs w:val="42"/>
          <w:lang w:eastAsia="en-AU"/>
        </w:rPr>
      </w:pPr>
      <w:r>
        <w:rPr>
          <w:rFonts w:ascii="Arial" w:eastAsia="Times New Roman" w:hAnsi="Arial" w:cs="Arial"/>
          <w:b/>
          <w:bCs/>
          <w:color w:val="111111"/>
          <w:sz w:val="42"/>
          <w:szCs w:val="42"/>
          <w:lang w:eastAsia="en-AU"/>
        </w:rPr>
        <w:lastRenderedPageBreak/>
        <w:br w:type="page"/>
      </w:r>
    </w:p>
    <w:p w14:paraId="154C01E8" w14:textId="171E9CA5" w:rsidR="00A1428B" w:rsidRPr="003643AB" w:rsidRDefault="00A1428B" w:rsidP="00A1428B">
      <w:pPr>
        <w:spacing w:before="600" w:after="225" w:line="540" w:lineRule="atLeast"/>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lastRenderedPageBreak/>
        <w:t>The economy</w:t>
      </w:r>
    </w:p>
    <w:p w14:paraId="1FF1D775"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A clean environment and healthy communities are critical to Victoria’s economy, and the nature and sources of environmental harm are changing as the economy evolves. Pollution and waste will increasingly arise from different sources, with the impacts of new and emerging industries and production techniques not yet fully clear.</w:t>
      </w:r>
    </w:p>
    <w:p w14:paraId="1BE3637F"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The COVID-19 pandemic has also had a significant impact on the Victorian economy since early 2020. Government investment in services and infrastructure continues to support the economy, while private spending is increasingly driving economic growth, with business investment recovering strongly.</w:t>
      </w:r>
    </w:p>
    <w:p w14:paraId="7D6CB741"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With significant investment underway, EPA’s </w:t>
      </w:r>
      <w:proofErr w:type="spellStart"/>
      <w:r w:rsidRPr="003643AB">
        <w:rPr>
          <w:rFonts w:ascii="Arial" w:eastAsia="Times New Roman" w:hAnsi="Arial" w:cs="Arial"/>
          <w:color w:val="333333"/>
          <w:sz w:val="20"/>
          <w:szCs w:val="20"/>
          <w:lang w:eastAsia="en-AU"/>
        </w:rPr>
        <w:fldChar w:fldCharType="begin"/>
      </w:r>
      <w:r w:rsidRPr="003643AB">
        <w:rPr>
          <w:rFonts w:ascii="Arial" w:eastAsia="Times New Roman" w:hAnsi="Arial" w:cs="Arial"/>
          <w:color w:val="333333"/>
          <w:sz w:val="20"/>
          <w:szCs w:val="20"/>
          <w:lang w:eastAsia="en-AU"/>
        </w:rPr>
        <w:instrText xml:space="preserve"> HYPERLINK "https://www.epa.vic.gov.au/for-business/permissions" </w:instrText>
      </w:r>
      <w:r w:rsidRPr="003643AB">
        <w:rPr>
          <w:rFonts w:ascii="Arial" w:eastAsia="Times New Roman" w:hAnsi="Arial" w:cs="Arial"/>
          <w:color w:val="333333"/>
          <w:sz w:val="20"/>
          <w:szCs w:val="20"/>
          <w:lang w:eastAsia="en-AU"/>
        </w:rPr>
        <w:fldChar w:fldCharType="separate"/>
      </w:r>
      <w:r w:rsidRPr="003643AB">
        <w:rPr>
          <w:rFonts w:ascii="Arial" w:eastAsia="Times New Roman" w:hAnsi="Arial" w:cs="Arial"/>
          <w:b/>
          <w:bCs/>
          <w:color w:val="0A3C73"/>
          <w:sz w:val="20"/>
          <w:szCs w:val="20"/>
          <w:u w:val="single"/>
          <w:lang w:eastAsia="en-AU"/>
        </w:rPr>
        <w:t>permissioning</w:t>
      </w:r>
      <w:proofErr w:type="spellEnd"/>
      <w:r w:rsidRPr="003643AB">
        <w:rPr>
          <w:rFonts w:ascii="Arial" w:eastAsia="Times New Roman" w:hAnsi="Arial" w:cs="Arial"/>
          <w:b/>
          <w:bCs/>
          <w:color w:val="0A3C73"/>
          <w:sz w:val="20"/>
          <w:szCs w:val="20"/>
          <w:u w:val="single"/>
          <w:lang w:eastAsia="en-AU"/>
        </w:rPr>
        <w:t xml:space="preserve"> processes</w:t>
      </w:r>
      <w:r w:rsidRPr="003643AB">
        <w:rPr>
          <w:rFonts w:ascii="Arial" w:eastAsia="Times New Roman" w:hAnsi="Arial" w:cs="Arial"/>
          <w:color w:val="333333"/>
          <w:sz w:val="20"/>
          <w:szCs w:val="20"/>
          <w:lang w:eastAsia="en-AU"/>
        </w:rPr>
        <w:fldChar w:fldCharType="end"/>
      </w:r>
      <w:r w:rsidRPr="003643AB">
        <w:rPr>
          <w:rFonts w:ascii="Arial" w:eastAsia="Times New Roman" w:hAnsi="Arial" w:cs="Arial"/>
          <w:color w:val="333333"/>
          <w:sz w:val="20"/>
          <w:szCs w:val="20"/>
          <w:lang w:eastAsia="en-AU"/>
        </w:rPr>
        <w:t> (the use of tools like licences and permits) must be timely and effective in supporting economic growth while preventing harm to communities and the environment. EPA’s expert and scientific advice on land use planning and developments will also be important to reducing the impacts of pollution and waste.</w:t>
      </w:r>
    </w:p>
    <w:p w14:paraId="4EBF3AB0" w14:textId="77777777" w:rsidR="00A1428B" w:rsidRPr="003643AB" w:rsidRDefault="00A1428B" w:rsidP="00A1428B">
      <w:pPr>
        <w:spacing w:before="600" w:after="225" w:line="540" w:lineRule="atLeast"/>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t>Aboriginal self-determination</w:t>
      </w:r>
    </w:p>
    <w:p w14:paraId="193B585E"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Traditional Owners are recognised in Victoria as the First Peoples, through a range of legal and policy instruments that support self- determination and their continuing responsibilities to care for Country.</w:t>
      </w:r>
    </w:p>
    <w:p w14:paraId="14B9CD3E"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The Victorian Government is working in partnership with Traditional Owners and Aboriginal Victorians to advance a treaty or treaties that will provide a foundation for a new, positive relationship, and enable true self-determination for Victoria’s First Peoples.</w:t>
      </w:r>
    </w:p>
    <w:p w14:paraId="370374C1"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EPA must continue to build partnerships with Victoria’s Traditional Owners and ensure our work is founded on the principles of self-determination. In doing so, we need to make sure that our staff are culturally competent, and that Traditional Owner cultural knowledge is part of how we protect our communities and environment from the harmful impacts of pollution and waste.</w:t>
      </w:r>
    </w:p>
    <w:p w14:paraId="1AA2D08E" w14:textId="77777777" w:rsidR="00A1428B" w:rsidRPr="003643AB" w:rsidRDefault="00A1428B" w:rsidP="00A1428B">
      <w:pPr>
        <w:spacing w:before="600" w:after="225" w:line="540" w:lineRule="atLeast"/>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t>Digital disruption and transformation</w:t>
      </w:r>
    </w:p>
    <w:p w14:paraId="73279327"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Technologies such as artificial intelligence, cloud computing, connected devices and robotics are rapidly reshaping our world.</w:t>
      </w:r>
    </w:p>
    <w:p w14:paraId="50452884"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These new technologies can impact traditional markets and the way regulation is performed, bringing both risks and opportunities for the management of pollution and waste.</w:t>
      </w:r>
    </w:p>
    <w:p w14:paraId="083038C8"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These changes will require EPA to expand our ability to investigate and manage the risks of emerging chemicals and new technologies, while effectively influencing environmental standards to keep pace with new opportunities and threats.</w:t>
      </w:r>
    </w:p>
    <w:p w14:paraId="3CFF088E"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At the same time, EPA must take advantage of new technologies to improve our reach and effectiveness, including the timeliness of our decision making and increasing our ability to monitor and communicate risks to communities and the environment.</w:t>
      </w:r>
    </w:p>
    <w:p w14:paraId="5182FE84" w14:textId="77777777" w:rsidR="001E3C00" w:rsidRDefault="001E3C00">
      <w:pPr>
        <w:rPr>
          <w:rFonts w:ascii="Arial" w:eastAsia="Times New Roman" w:hAnsi="Arial" w:cs="Arial"/>
          <w:b/>
          <w:bCs/>
          <w:color w:val="111111"/>
          <w:sz w:val="42"/>
          <w:szCs w:val="42"/>
          <w:lang w:eastAsia="en-AU"/>
        </w:rPr>
      </w:pPr>
      <w:r>
        <w:rPr>
          <w:rFonts w:ascii="Arial" w:eastAsia="Times New Roman" w:hAnsi="Arial" w:cs="Arial"/>
          <w:b/>
          <w:bCs/>
          <w:color w:val="111111"/>
          <w:sz w:val="42"/>
          <w:szCs w:val="42"/>
          <w:lang w:eastAsia="en-AU"/>
        </w:rPr>
        <w:br w:type="page"/>
      </w:r>
    </w:p>
    <w:p w14:paraId="1EF7F665" w14:textId="2BFAD9D1" w:rsidR="00A1428B" w:rsidRPr="003643AB" w:rsidRDefault="00A1428B" w:rsidP="00A1428B">
      <w:pPr>
        <w:spacing w:before="600" w:after="225" w:line="540" w:lineRule="atLeast"/>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lastRenderedPageBreak/>
        <w:t xml:space="preserve">Population </w:t>
      </w:r>
      <w:proofErr w:type="gramStart"/>
      <w:r w:rsidRPr="003643AB">
        <w:rPr>
          <w:rFonts w:ascii="Arial" w:eastAsia="Times New Roman" w:hAnsi="Arial" w:cs="Arial"/>
          <w:b/>
          <w:bCs/>
          <w:color w:val="111111"/>
          <w:sz w:val="42"/>
          <w:szCs w:val="42"/>
          <w:lang w:eastAsia="en-AU"/>
        </w:rPr>
        <w:t>change</w:t>
      </w:r>
      <w:proofErr w:type="gramEnd"/>
      <w:r w:rsidRPr="003643AB">
        <w:rPr>
          <w:rFonts w:ascii="Arial" w:eastAsia="Times New Roman" w:hAnsi="Arial" w:cs="Arial"/>
          <w:b/>
          <w:bCs/>
          <w:color w:val="111111"/>
          <w:sz w:val="42"/>
          <w:szCs w:val="42"/>
          <w:lang w:eastAsia="en-AU"/>
        </w:rPr>
        <w:t xml:space="preserve"> and urbanisation</w:t>
      </w:r>
    </w:p>
    <w:p w14:paraId="29B44D1F"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While Victoria’s population fell in 2020-21 due to the impacts of the coronavirus (COVID-19) pandemic, the state’s population is projected to reach 7.9 million people in 2032, growing by an average of 120,000 people each year - a rate of 1.6 per cent per annum.</w:t>
      </w:r>
    </w:p>
    <w:p w14:paraId="04FF5C3B"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Greater Melbourne is expected to grow by about 1 million people, with Victoria’s regions expected to grow from 1.5 million to 1.75 million by 2032.</w:t>
      </w:r>
    </w:p>
    <w:p w14:paraId="5381FF3A"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This growth will place greater pressure on our environment, as well as demand for housing, transport and consumer products that will generate higher levels of emissions and waste.</w:t>
      </w:r>
    </w:p>
    <w:p w14:paraId="3D292BF6" w14:textId="77777777" w:rsidR="00A1428B" w:rsidRPr="003643AB" w:rsidRDefault="00A1428B" w:rsidP="006D3756">
      <w:pPr>
        <w:spacing w:before="210" w:after="12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 xml:space="preserve">EPA will need to work with communities, industry, all levels of </w:t>
      </w:r>
      <w:proofErr w:type="gramStart"/>
      <w:r w:rsidRPr="003643AB">
        <w:rPr>
          <w:rFonts w:ascii="Arial" w:eastAsia="Times New Roman" w:hAnsi="Arial" w:cs="Arial"/>
          <w:color w:val="333333"/>
          <w:sz w:val="20"/>
          <w:szCs w:val="20"/>
          <w:lang w:eastAsia="en-AU"/>
        </w:rPr>
        <w:t>government ,</w:t>
      </w:r>
      <w:proofErr w:type="gramEnd"/>
      <w:r w:rsidRPr="003643AB">
        <w:rPr>
          <w:rFonts w:ascii="Arial" w:eastAsia="Times New Roman" w:hAnsi="Arial" w:cs="Arial"/>
          <w:color w:val="333333"/>
          <w:sz w:val="20"/>
          <w:szCs w:val="20"/>
          <w:lang w:eastAsia="en-AU"/>
        </w:rPr>
        <w:t xml:space="preserve"> co-regulators and other partners to ensure population growth doesn’t cause unacceptable risks, and that appropriate controls are put in place to protect communities and the environment from pollution and waste. This includes strengthening the circular economy and enabling appropriate infrastructure development.</w:t>
      </w:r>
    </w:p>
    <w:p w14:paraId="6F8858AD" w14:textId="77777777" w:rsidR="00A1428B" w:rsidRPr="003643AB" w:rsidRDefault="00A1428B" w:rsidP="006D3756">
      <w:pPr>
        <w:spacing w:before="400" w:after="390" w:line="690" w:lineRule="atLeast"/>
        <w:outlineLvl w:val="1"/>
        <w:rPr>
          <w:rFonts w:ascii="Arial" w:eastAsia="Times New Roman" w:hAnsi="Arial" w:cs="Arial"/>
          <w:b/>
          <w:bCs/>
          <w:color w:val="111111"/>
          <w:sz w:val="57"/>
          <w:szCs w:val="57"/>
          <w:lang w:eastAsia="en-AU"/>
        </w:rPr>
      </w:pPr>
      <w:r w:rsidRPr="003643AB">
        <w:rPr>
          <w:rFonts w:ascii="Arial" w:eastAsia="Times New Roman" w:hAnsi="Arial" w:cs="Arial"/>
          <w:b/>
          <w:bCs/>
          <w:color w:val="111111"/>
          <w:sz w:val="57"/>
          <w:szCs w:val="57"/>
          <w:lang w:eastAsia="en-AU"/>
        </w:rPr>
        <w:t>The outcomes we want to see</w:t>
      </w:r>
    </w:p>
    <w:p w14:paraId="5CBEDCA8"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By 2027 we want to see the following outcomes:</w:t>
      </w:r>
    </w:p>
    <w:p w14:paraId="212403F5" w14:textId="77777777" w:rsidR="00A1428B" w:rsidRPr="003643AB" w:rsidRDefault="00A1428B" w:rsidP="00A1428B">
      <w:pPr>
        <w:numPr>
          <w:ilvl w:val="0"/>
          <w:numId w:val="2"/>
        </w:numPr>
        <w:spacing w:after="100" w:afterAutospacing="1"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 xml:space="preserve">Our environment is </w:t>
      </w:r>
      <w:proofErr w:type="gramStart"/>
      <w:r w:rsidRPr="003643AB">
        <w:rPr>
          <w:rFonts w:ascii="Arial" w:eastAsia="Times New Roman" w:hAnsi="Arial" w:cs="Arial"/>
          <w:color w:val="333333"/>
          <w:sz w:val="20"/>
          <w:szCs w:val="20"/>
          <w:lang w:eastAsia="en-AU"/>
        </w:rPr>
        <w:t>cleaner</w:t>
      </w:r>
      <w:proofErr w:type="gramEnd"/>
      <w:r w:rsidRPr="003643AB">
        <w:rPr>
          <w:rFonts w:ascii="Arial" w:eastAsia="Times New Roman" w:hAnsi="Arial" w:cs="Arial"/>
          <w:color w:val="333333"/>
          <w:sz w:val="20"/>
          <w:szCs w:val="20"/>
          <w:lang w:eastAsia="en-AU"/>
        </w:rPr>
        <w:t xml:space="preserve"> and communities are healthier.</w:t>
      </w:r>
    </w:p>
    <w:p w14:paraId="7DB88932" w14:textId="77777777" w:rsidR="00A1428B" w:rsidRPr="003643AB" w:rsidRDefault="00A1428B" w:rsidP="00A1428B">
      <w:pPr>
        <w:numPr>
          <w:ilvl w:val="0"/>
          <w:numId w:val="2"/>
        </w:numPr>
        <w:spacing w:before="150" w:after="100" w:afterAutospacing="1"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All Victorians reduce their environmental risks.</w:t>
      </w:r>
    </w:p>
    <w:p w14:paraId="2B743009" w14:textId="77777777" w:rsidR="00A1428B" w:rsidRPr="003643AB" w:rsidRDefault="00A1428B" w:rsidP="00A1428B">
      <w:pPr>
        <w:numPr>
          <w:ilvl w:val="0"/>
          <w:numId w:val="2"/>
        </w:numPr>
        <w:spacing w:before="150" w:after="100" w:afterAutospacing="1"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We have impact and influence.</w:t>
      </w:r>
    </w:p>
    <w:p w14:paraId="2363A043" w14:textId="77777777" w:rsidR="00A1428B" w:rsidRPr="003643AB" w:rsidRDefault="00A1428B" w:rsidP="006D3756">
      <w:pPr>
        <w:spacing w:before="400" w:after="390" w:line="690" w:lineRule="atLeast"/>
        <w:outlineLvl w:val="1"/>
        <w:rPr>
          <w:rFonts w:ascii="Arial" w:eastAsia="Times New Roman" w:hAnsi="Arial" w:cs="Arial"/>
          <w:b/>
          <w:bCs/>
          <w:color w:val="111111"/>
          <w:sz w:val="57"/>
          <w:szCs w:val="57"/>
          <w:lang w:eastAsia="en-AU"/>
        </w:rPr>
      </w:pPr>
      <w:r w:rsidRPr="003643AB">
        <w:rPr>
          <w:rFonts w:ascii="Arial" w:eastAsia="Times New Roman" w:hAnsi="Arial" w:cs="Arial"/>
          <w:b/>
          <w:bCs/>
          <w:color w:val="111111"/>
          <w:sz w:val="57"/>
          <w:szCs w:val="57"/>
          <w:lang w:eastAsia="en-AU"/>
        </w:rPr>
        <w:t>The choices we’ve made</w:t>
      </w:r>
    </w:p>
    <w:p w14:paraId="4007FFC2"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Recognising our operating context and drawing on science and our regulatory expertise, we’ve made strategic choices to set us on the path to the outcomes we want to see:</w:t>
      </w:r>
    </w:p>
    <w:p w14:paraId="0DEB9204" w14:textId="77777777" w:rsidR="00A1428B" w:rsidRPr="003643AB" w:rsidRDefault="00A1428B" w:rsidP="00A1428B">
      <w:pPr>
        <w:numPr>
          <w:ilvl w:val="0"/>
          <w:numId w:val="3"/>
        </w:numPr>
        <w:spacing w:after="100" w:afterAutospacing="1"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We focus on air, water, land, and noise pollution that causes the greatest risk of harm and we drive meaningful improvement.</w:t>
      </w:r>
    </w:p>
    <w:p w14:paraId="214D6372" w14:textId="77777777" w:rsidR="00A1428B" w:rsidRPr="003643AB" w:rsidRDefault="00A1428B" w:rsidP="00A1428B">
      <w:pPr>
        <w:numPr>
          <w:ilvl w:val="0"/>
          <w:numId w:val="3"/>
        </w:numPr>
        <w:spacing w:before="150" w:after="100" w:afterAutospacing="1"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We work to understand and respond to current and emerging issues through science, data and intelligence.</w:t>
      </w:r>
    </w:p>
    <w:p w14:paraId="30ECC489" w14:textId="77777777" w:rsidR="00A1428B" w:rsidRPr="003643AB" w:rsidRDefault="00A1428B" w:rsidP="00A1428B">
      <w:pPr>
        <w:numPr>
          <w:ilvl w:val="0"/>
          <w:numId w:val="3"/>
        </w:numPr>
        <w:spacing w:before="150" w:after="100" w:afterAutospacing="1"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We’ll be practical and solution focused to ensure we have the right approach for each circumstance.</w:t>
      </w:r>
    </w:p>
    <w:p w14:paraId="063C977C" w14:textId="77777777" w:rsidR="00A1428B" w:rsidRPr="003643AB" w:rsidRDefault="00A1428B" w:rsidP="00A1428B">
      <w:pPr>
        <w:numPr>
          <w:ilvl w:val="0"/>
          <w:numId w:val="3"/>
        </w:numPr>
        <w:spacing w:before="150" w:after="100" w:afterAutospacing="1"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We embed the environment protection framework, ensuring the general environmental duty and other duties are widely understood and implemented.</w:t>
      </w:r>
    </w:p>
    <w:p w14:paraId="5D8C301C" w14:textId="77777777" w:rsidR="00A1428B" w:rsidRPr="003643AB" w:rsidRDefault="00A1428B" w:rsidP="00A1428B">
      <w:pPr>
        <w:numPr>
          <w:ilvl w:val="0"/>
          <w:numId w:val="3"/>
        </w:numPr>
        <w:spacing w:before="150" w:after="100" w:afterAutospacing="1"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We’re consistent, transparent and proportionate in holding polluters to account.</w:t>
      </w:r>
    </w:p>
    <w:p w14:paraId="661E879F" w14:textId="77777777" w:rsidR="00A1428B" w:rsidRPr="003643AB" w:rsidRDefault="00A1428B" w:rsidP="00A1428B">
      <w:pPr>
        <w:numPr>
          <w:ilvl w:val="0"/>
          <w:numId w:val="3"/>
        </w:numPr>
        <w:spacing w:before="150" w:after="100" w:afterAutospacing="1"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We work with communities, industry and businesses so they act to prevent harm to the environment and human health.</w:t>
      </w:r>
    </w:p>
    <w:p w14:paraId="3C45DCB7" w14:textId="77777777" w:rsidR="00A1428B" w:rsidRPr="003643AB" w:rsidRDefault="00A1428B" w:rsidP="00A1428B">
      <w:pPr>
        <w:numPr>
          <w:ilvl w:val="0"/>
          <w:numId w:val="3"/>
        </w:numPr>
        <w:spacing w:before="150" w:after="100" w:afterAutospacing="1"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We build effective partnerships that amplify our knowledge, reach and presence.</w:t>
      </w:r>
    </w:p>
    <w:p w14:paraId="5F313F48" w14:textId="77777777" w:rsidR="00A1428B" w:rsidRPr="003643AB" w:rsidRDefault="00A1428B" w:rsidP="00A1428B">
      <w:pPr>
        <w:numPr>
          <w:ilvl w:val="0"/>
          <w:numId w:val="3"/>
        </w:numPr>
        <w:spacing w:before="150" w:after="100" w:afterAutospacing="1"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We respect the knowledge and cultural values of Traditional Owners. We seek to learn from and include Traditional Owner cultural values as part of our work.</w:t>
      </w:r>
    </w:p>
    <w:p w14:paraId="7F558F16" w14:textId="77777777" w:rsidR="00A1428B" w:rsidRPr="003643AB" w:rsidRDefault="00A1428B" w:rsidP="00A1428B">
      <w:pPr>
        <w:numPr>
          <w:ilvl w:val="0"/>
          <w:numId w:val="3"/>
        </w:numPr>
        <w:spacing w:before="150" w:after="100" w:afterAutospacing="1"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We employ our full range of regulatory capabilities to prevent harm by location and sector and at scale.</w:t>
      </w:r>
    </w:p>
    <w:p w14:paraId="105F2858" w14:textId="77777777" w:rsidR="00A1428B" w:rsidRPr="003643AB" w:rsidRDefault="00A1428B" w:rsidP="00A1428B">
      <w:pPr>
        <w:spacing w:before="600" w:after="390" w:line="690" w:lineRule="atLeast"/>
        <w:outlineLvl w:val="1"/>
        <w:rPr>
          <w:rFonts w:ascii="Arial" w:eastAsia="Times New Roman" w:hAnsi="Arial" w:cs="Arial"/>
          <w:b/>
          <w:bCs/>
          <w:color w:val="111111"/>
          <w:sz w:val="57"/>
          <w:szCs w:val="57"/>
          <w:lang w:eastAsia="en-AU"/>
        </w:rPr>
      </w:pPr>
      <w:r w:rsidRPr="003643AB">
        <w:rPr>
          <w:rFonts w:ascii="Arial" w:eastAsia="Times New Roman" w:hAnsi="Arial" w:cs="Arial"/>
          <w:b/>
          <w:bCs/>
          <w:color w:val="111111"/>
          <w:sz w:val="57"/>
          <w:szCs w:val="57"/>
          <w:lang w:eastAsia="en-AU"/>
        </w:rPr>
        <w:lastRenderedPageBreak/>
        <w:t>What we’re aiming to achieve</w:t>
      </w:r>
    </w:p>
    <w:p w14:paraId="2D9B7A6E"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To see the outcomes we want by 2027, we’re aiming to achieve the following:</w:t>
      </w:r>
    </w:p>
    <w:p w14:paraId="40B4AC39" w14:textId="77777777" w:rsidR="00A1428B" w:rsidRPr="003643AB" w:rsidRDefault="00A1428B" w:rsidP="00A1428B">
      <w:pPr>
        <w:numPr>
          <w:ilvl w:val="0"/>
          <w:numId w:val="4"/>
        </w:numPr>
        <w:spacing w:after="100" w:afterAutospacing="1"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Improved air and water quality.</w:t>
      </w:r>
    </w:p>
    <w:p w14:paraId="6E3FCD83" w14:textId="77777777" w:rsidR="00A1428B" w:rsidRPr="003643AB" w:rsidRDefault="00A1428B" w:rsidP="00A1428B">
      <w:pPr>
        <w:numPr>
          <w:ilvl w:val="0"/>
          <w:numId w:val="4"/>
        </w:numPr>
        <w:spacing w:before="150" w:after="100" w:afterAutospacing="1"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Reduced land contamination and noise pollution.</w:t>
      </w:r>
    </w:p>
    <w:p w14:paraId="20BC0D62" w14:textId="77777777" w:rsidR="00A1428B" w:rsidRPr="003643AB" w:rsidRDefault="00A1428B" w:rsidP="00A1428B">
      <w:pPr>
        <w:numPr>
          <w:ilvl w:val="0"/>
          <w:numId w:val="4"/>
        </w:numPr>
        <w:spacing w:before="150" w:after="100" w:afterAutospacing="1"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Businesses have appropriate permissions in place.</w:t>
      </w:r>
    </w:p>
    <w:p w14:paraId="695A2691" w14:textId="77777777" w:rsidR="00A1428B" w:rsidRPr="003643AB" w:rsidRDefault="00A1428B" w:rsidP="00A1428B">
      <w:pPr>
        <w:numPr>
          <w:ilvl w:val="0"/>
          <w:numId w:val="4"/>
        </w:numPr>
        <w:spacing w:before="150" w:after="100" w:afterAutospacing="1"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Increased understanding among communities and businesses of their environmental obligations.</w:t>
      </w:r>
    </w:p>
    <w:p w14:paraId="42866AD5" w14:textId="77777777" w:rsidR="00A1428B" w:rsidRPr="003643AB" w:rsidRDefault="00A1428B" w:rsidP="00A1428B">
      <w:pPr>
        <w:numPr>
          <w:ilvl w:val="0"/>
          <w:numId w:val="4"/>
        </w:numPr>
        <w:spacing w:before="150" w:after="100" w:afterAutospacing="1"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Increased adoption of environmental and human health risk controls.</w:t>
      </w:r>
    </w:p>
    <w:p w14:paraId="39BD4545" w14:textId="77777777" w:rsidR="00A1428B" w:rsidRPr="003643AB" w:rsidRDefault="00A1428B" w:rsidP="00A1428B">
      <w:pPr>
        <w:numPr>
          <w:ilvl w:val="0"/>
          <w:numId w:val="4"/>
        </w:numPr>
        <w:spacing w:before="150" w:after="100" w:afterAutospacing="1"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Industrial waste disposed at a lawful place.</w:t>
      </w:r>
    </w:p>
    <w:p w14:paraId="2D174461" w14:textId="77777777" w:rsidR="00A1428B" w:rsidRPr="003643AB" w:rsidRDefault="00A1428B" w:rsidP="00A1428B">
      <w:pPr>
        <w:numPr>
          <w:ilvl w:val="0"/>
          <w:numId w:val="4"/>
        </w:numPr>
        <w:spacing w:before="150" w:after="100" w:afterAutospacing="1"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Reduction in repeat polluters.</w:t>
      </w:r>
    </w:p>
    <w:p w14:paraId="70A70EAF" w14:textId="77777777" w:rsidR="00A1428B" w:rsidRPr="003643AB" w:rsidRDefault="00A1428B" w:rsidP="00A1428B">
      <w:pPr>
        <w:numPr>
          <w:ilvl w:val="0"/>
          <w:numId w:val="4"/>
        </w:numPr>
        <w:spacing w:before="150" w:after="100" w:afterAutospacing="1"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Increased proactive detection of environmental crime.</w:t>
      </w:r>
    </w:p>
    <w:p w14:paraId="53EB3A6C" w14:textId="77777777" w:rsidR="00A1428B" w:rsidRPr="003643AB" w:rsidRDefault="00A1428B" w:rsidP="00A1428B">
      <w:pPr>
        <w:numPr>
          <w:ilvl w:val="0"/>
          <w:numId w:val="4"/>
        </w:numPr>
        <w:spacing w:before="150" w:after="100" w:afterAutospacing="1"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Effective internal review and assurance processes that drive continuous improvement.</w:t>
      </w:r>
    </w:p>
    <w:p w14:paraId="022D1BFA" w14:textId="77777777" w:rsidR="00A1428B" w:rsidRPr="003643AB" w:rsidRDefault="00A1428B" w:rsidP="00A1428B">
      <w:pPr>
        <w:spacing w:before="600" w:after="390" w:line="690" w:lineRule="atLeast"/>
        <w:outlineLvl w:val="1"/>
        <w:rPr>
          <w:rFonts w:ascii="Arial" w:eastAsia="Times New Roman" w:hAnsi="Arial" w:cs="Arial"/>
          <w:b/>
          <w:bCs/>
          <w:color w:val="111111"/>
          <w:sz w:val="57"/>
          <w:szCs w:val="57"/>
          <w:lang w:eastAsia="en-AU"/>
        </w:rPr>
      </w:pPr>
      <w:r w:rsidRPr="003643AB">
        <w:rPr>
          <w:rFonts w:ascii="Arial" w:eastAsia="Times New Roman" w:hAnsi="Arial" w:cs="Arial"/>
          <w:b/>
          <w:bCs/>
          <w:color w:val="111111"/>
          <w:sz w:val="57"/>
          <w:szCs w:val="57"/>
          <w:lang w:eastAsia="en-AU"/>
        </w:rPr>
        <w:t>The drivers of our success</w:t>
      </w:r>
    </w:p>
    <w:p w14:paraId="1796F806"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To meet our purpose and deliver for Victorians, we’ll draw on key strengths of our organisation:</w:t>
      </w:r>
    </w:p>
    <w:p w14:paraId="15B5CC7C" w14:textId="77777777" w:rsidR="00A1428B" w:rsidRPr="003643AB" w:rsidRDefault="00A1428B" w:rsidP="00A1428B">
      <w:pPr>
        <w:numPr>
          <w:ilvl w:val="0"/>
          <w:numId w:val="5"/>
        </w:numPr>
        <w:spacing w:after="100" w:afterAutospacing="1"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 xml:space="preserve">Our people are our most </w:t>
      </w:r>
      <w:proofErr w:type="gramStart"/>
      <w:r w:rsidRPr="003643AB">
        <w:rPr>
          <w:rFonts w:ascii="Arial" w:eastAsia="Times New Roman" w:hAnsi="Arial" w:cs="Arial"/>
          <w:color w:val="333333"/>
          <w:sz w:val="20"/>
          <w:szCs w:val="20"/>
          <w:lang w:eastAsia="en-AU"/>
        </w:rPr>
        <w:t>valuable asset</w:t>
      </w:r>
      <w:proofErr w:type="gramEnd"/>
      <w:r w:rsidRPr="003643AB">
        <w:rPr>
          <w:rFonts w:ascii="Arial" w:eastAsia="Times New Roman" w:hAnsi="Arial" w:cs="Arial"/>
          <w:color w:val="333333"/>
          <w:sz w:val="20"/>
          <w:szCs w:val="20"/>
          <w:lang w:eastAsia="en-AU"/>
        </w:rPr>
        <w:t>. We prioritise their safety and wellbeing, creating a positive culture and a great place to work.</w:t>
      </w:r>
    </w:p>
    <w:p w14:paraId="7A727467" w14:textId="77777777" w:rsidR="00A1428B" w:rsidRPr="003643AB" w:rsidRDefault="00A1428B" w:rsidP="00A1428B">
      <w:pPr>
        <w:numPr>
          <w:ilvl w:val="0"/>
          <w:numId w:val="5"/>
        </w:numPr>
        <w:spacing w:before="150" w:after="100" w:afterAutospacing="1"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We’re clear about our role and accountable for our actions. We use science, data and intelligence to inform our actions.</w:t>
      </w:r>
    </w:p>
    <w:p w14:paraId="13E89EF0" w14:textId="77777777" w:rsidR="00A1428B" w:rsidRPr="003643AB" w:rsidRDefault="00A1428B" w:rsidP="00A1428B">
      <w:pPr>
        <w:numPr>
          <w:ilvl w:val="0"/>
          <w:numId w:val="5"/>
        </w:numPr>
        <w:spacing w:before="150" w:after="100" w:afterAutospacing="1"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We engage early, often, and respectfully with those affected by our decisions, seeking to understand their aspirations and concerns.</w:t>
      </w:r>
    </w:p>
    <w:p w14:paraId="5E26190E" w14:textId="77777777" w:rsidR="00A1428B" w:rsidRPr="003643AB" w:rsidRDefault="00A1428B" w:rsidP="00A1428B">
      <w:pPr>
        <w:numPr>
          <w:ilvl w:val="0"/>
          <w:numId w:val="5"/>
        </w:numPr>
        <w:spacing w:before="150" w:after="100" w:afterAutospacing="1"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We’re a learning organisation, committed to continuous improvement.</w:t>
      </w:r>
    </w:p>
    <w:p w14:paraId="769C0CF1" w14:textId="77777777" w:rsidR="00A1428B" w:rsidRPr="003643AB" w:rsidRDefault="00A1428B" w:rsidP="00A1428B">
      <w:pPr>
        <w:numPr>
          <w:ilvl w:val="0"/>
          <w:numId w:val="5"/>
        </w:numPr>
        <w:spacing w:before="150" w:after="100" w:afterAutospacing="1"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We use technology to be effective and efficient in our work.</w:t>
      </w:r>
    </w:p>
    <w:p w14:paraId="5BA9781A" w14:textId="77777777" w:rsidR="00A1428B" w:rsidRPr="003643AB" w:rsidRDefault="00A1428B" w:rsidP="00A1428B">
      <w:pPr>
        <w:numPr>
          <w:ilvl w:val="0"/>
          <w:numId w:val="5"/>
        </w:numPr>
        <w:spacing w:before="150" w:after="100" w:afterAutospacing="1"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We’re agile and responsive, leaning into challenges.</w:t>
      </w:r>
    </w:p>
    <w:p w14:paraId="0F7175B5" w14:textId="77777777" w:rsidR="00A1428B" w:rsidRPr="003643AB" w:rsidRDefault="00A1428B" w:rsidP="00A1428B">
      <w:pPr>
        <w:numPr>
          <w:ilvl w:val="0"/>
          <w:numId w:val="5"/>
        </w:numPr>
        <w:spacing w:before="150" w:after="100" w:afterAutospacing="1"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We build appropriate partnerships with industry to achieve compliance with the environment protection framework.</w:t>
      </w:r>
    </w:p>
    <w:p w14:paraId="0EBD68B0" w14:textId="6110A663" w:rsidR="00A1428B" w:rsidRPr="003643AB" w:rsidRDefault="00A1428B" w:rsidP="00A1428B">
      <w:pPr>
        <w:spacing w:before="600" w:after="390" w:line="690" w:lineRule="atLeast"/>
        <w:outlineLvl w:val="1"/>
        <w:rPr>
          <w:rFonts w:ascii="Arial" w:eastAsia="Times New Roman" w:hAnsi="Arial" w:cs="Arial"/>
          <w:b/>
          <w:bCs/>
          <w:color w:val="111111"/>
          <w:sz w:val="57"/>
          <w:szCs w:val="57"/>
          <w:lang w:eastAsia="en-AU"/>
        </w:rPr>
      </w:pPr>
      <w:r w:rsidRPr="003643AB">
        <w:rPr>
          <w:rFonts w:ascii="Arial" w:eastAsia="Times New Roman" w:hAnsi="Arial" w:cs="Arial"/>
          <w:b/>
          <w:bCs/>
          <w:color w:val="111111"/>
          <w:sz w:val="57"/>
          <w:szCs w:val="57"/>
          <w:lang w:eastAsia="en-AU"/>
        </w:rPr>
        <w:t xml:space="preserve">Our performance measures </w:t>
      </w:r>
      <w:r w:rsidR="002B20EA" w:rsidRPr="003643AB">
        <w:rPr>
          <w:rFonts w:ascii="Arial" w:eastAsia="Times New Roman" w:hAnsi="Arial" w:cs="Arial"/>
          <w:b/>
          <w:bCs/>
          <w:color w:val="111111"/>
          <w:sz w:val="57"/>
          <w:szCs w:val="57"/>
          <w:lang w:eastAsia="en-AU"/>
        </w:rPr>
        <w:br/>
      </w:r>
      <w:r w:rsidRPr="003643AB">
        <w:rPr>
          <w:rFonts w:ascii="Arial" w:eastAsia="Times New Roman" w:hAnsi="Arial" w:cs="Arial"/>
          <w:b/>
          <w:bCs/>
          <w:color w:val="111111"/>
          <w:sz w:val="57"/>
          <w:szCs w:val="57"/>
          <w:lang w:eastAsia="en-AU"/>
        </w:rPr>
        <w:t>and targets</w:t>
      </w:r>
    </w:p>
    <w:p w14:paraId="1365E9CD"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To monitor our progress in achieving the outcomes we want to see, we’ve established performance measures and targets.</w:t>
      </w:r>
    </w:p>
    <w:p w14:paraId="47C72A59" w14:textId="77777777" w:rsidR="00A1428B" w:rsidRPr="003643AB" w:rsidRDefault="00A1428B" w:rsidP="00A1428B">
      <w:pPr>
        <w:spacing w:before="210" w:after="21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lastRenderedPageBreak/>
        <w:t>We’ll continue to improve these measures and targets over time. To find out more about our performance measures, read the </w:t>
      </w:r>
      <w:hyperlink r:id="rId18" w:anchor="pdfwordview" w:history="1">
        <w:r w:rsidRPr="003643AB">
          <w:rPr>
            <w:rFonts w:ascii="Arial" w:eastAsia="Times New Roman" w:hAnsi="Arial" w:cs="Arial"/>
            <w:b/>
            <w:bCs/>
            <w:color w:val="0A3C73"/>
            <w:sz w:val="20"/>
            <w:szCs w:val="20"/>
            <w:u w:val="single"/>
            <w:lang w:eastAsia="en-AU"/>
          </w:rPr>
          <w:t>Strategic Plan 2022-27</w:t>
        </w:r>
      </w:hyperlink>
      <w:r w:rsidRPr="003643AB">
        <w:rPr>
          <w:rFonts w:ascii="Arial" w:eastAsia="Times New Roman" w:hAnsi="Arial" w:cs="Arial"/>
          <w:color w:val="333333"/>
          <w:sz w:val="20"/>
          <w:szCs w:val="20"/>
          <w:lang w:eastAsia="en-AU"/>
        </w:rPr>
        <w:t>.</w:t>
      </w:r>
    </w:p>
    <w:p w14:paraId="3EB0801C" w14:textId="75B0AB5C" w:rsidR="00A1428B" w:rsidRPr="003643AB" w:rsidRDefault="00A1428B" w:rsidP="00A1428B">
      <w:pPr>
        <w:spacing w:before="600" w:after="225" w:line="420" w:lineRule="atLeast"/>
        <w:outlineLvl w:val="3"/>
        <w:rPr>
          <w:rFonts w:ascii="Arial" w:eastAsia="Times New Roman" w:hAnsi="Arial" w:cs="Arial"/>
          <w:b/>
          <w:bCs/>
          <w:color w:val="111111"/>
          <w:sz w:val="30"/>
          <w:szCs w:val="30"/>
          <w:lang w:eastAsia="en-AU"/>
        </w:rPr>
      </w:pPr>
      <w:r w:rsidRPr="003643AB">
        <w:rPr>
          <w:rFonts w:ascii="Arial" w:eastAsia="Times New Roman" w:hAnsi="Arial" w:cs="Arial"/>
          <w:b/>
          <w:bCs/>
          <w:color w:val="111111"/>
          <w:sz w:val="30"/>
          <w:szCs w:val="30"/>
          <w:lang w:eastAsia="en-AU"/>
        </w:rPr>
        <w:t>Performance measure</w:t>
      </w:r>
      <w:r w:rsidR="00F63F9E">
        <w:rPr>
          <w:rFonts w:ascii="Arial" w:eastAsia="Times New Roman" w:hAnsi="Arial" w:cs="Arial"/>
          <w:b/>
          <w:bCs/>
          <w:color w:val="111111"/>
          <w:sz w:val="30"/>
          <w:szCs w:val="30"/>
          <w:lang w:eastAsia="en-AU"/>
        </w:rPr>
        <w:t>s</w:t>
      </w:r>
      <w:r w:rsidR="00A260BA">
        <w:rPr>
          <w:rFonts w:ascii="Arial" w:eastAsia="Times New Roman" w:hAnsi="Arial" w:cs="Arial"/>
          <w:b/>
          <w:bCs/>
          <w:color w:val="111111"/>
          <w:sz w:val="30"/>
          <w:szCs w:val="30"/>
          <w:lang w:eastAsia="en-AU"/>
        </w:rPr>
        <w:br/>
      </w:r>
    </w:p>
    <w:p w14:paraId="142F7B9B" w14:textId="77777777" w:rsidR="00A1428B" w:rsidRPr="00F63F9E" w:rsidRDefault="00A1428B" w:rsidP="001A21A8">
      <w:pPr>
        <w:spacing w:after="0" w:line="240" w:lineRule="auto"/>
        <w:rPr>
          <w:rFonts w:ascii="Arial" w:eastAsia="Times New Roman" w:hAnsi="Arial" w:cs="Arial"/>
          <w:b/>
          <w:bCs/>
          <w:color w:val="333333"/>
          <w:sz w:val="20"/>
          <w:szCs w:val="20"/>
          <w:lang w:eastAsia="en-AU"/>
        </w:rPr>
      </w:pPr>
      <w:r w:rsidRPr="00F63F9E">
        <w:rPr>
          <w:rFonts w:ascii="Arial" w:eastAsia="Times New Roman" w:hAnsi="Arial" w:cs="Arial"/>
          <w:b/>
          <w:bCs/>
          <w:color w:val="333333"/>
          <w:sz w:val="20"/>
          <w:szCs w:val="20"/>
          <w:lang w:eastAsia="en-AU"/>
        </w:rPr>
        <w:t>Number of days that the maximum concentration standards for one or more of nitrogen dioxide, ozone, PM10 and PM2.5 is exceeded</w:t>
      </w:r>
      <w:r w:rsidRPr="00F63F9E">
        <w:rPr>
          <w:rFonts w:ascii="Arial" w:eastAsia="Times New Roman" w:hAnsi="Arial" w:cs="Arial"/>
          <w:b/>
          <w:bCs/>
          <w:color w:val="333333"/>
          <w:sz w:val="20"/>
          <w:szCs w:val="20"/>
          <w:vertAlign w:val="superscript"/>
          <w:lang w:eastAsia="en-AU"/>
        </w:rPr>
        <w:t>1</w:t>
      </w:r>
    </w:p>
    <w:tbl>
      <w:tblPr>
        <w:tblW w:w="8080" w:type="dxa"/>
        <w:tblCellMar>
          <w:top w:w="15" w:type="dxa"/>
          <w:left w:w="15" w:type="dxa"/>
          <w:bottom w:w="15" w:type="dxa"/>
          <w:right w:w="15" w:type="dxa"/>
        </w:tblCellMar>
        <w:tblLook w:val="04A0" w:firstRow="1" w:lastRow="0" w:firstColumn="1" w:lastColumn="0" w:noHBand="0" w:noVBand="1"/>
      </w:tblPr>
      <w:tblGrid>
        <w:gridCol w:w="2835"/>
        <w:gridCol w:w="2552"/>
        <w:gridCol w:w="2693"/>
      </w:tblGrid>
      <w:tr w:rsidR="00A1428B" w:rsidRPr="003643AB" w14:paraId="04B0A770" w14:textId="77777777" w:rsidTr="009C5865">
        <w:trPr>
          <w:trHeight w:val="280"/>
        </w:trPr>
        <w:tc>
          <w:tcPr>
            <w:tcW w:w="2835" w:type="dxa"/>
            <w:tcBorders>
              <w:top w:val="single" w:sz="2" w:space="0" w:color="FFFFFF"/>
              <w:left w:val="nil"/>
              <w:bottom w:val="single" w:sz="2" w:space="0" w:color="FFFFFF"/>
              <w:right w:val="single" w:sz="6" w:space="0" w:color="FFFFFF"/>
            </w:tcBorders>
            <w:shd w:val="clear" w:color="auto" w:fill="FFFFFF"/>
            <w:tcMar>
              <w:top w:w="390" w:type="dxa"/>
              <w:left w:w="0" w:type="dxa"/>
              <w:bottom w:w="390" w:type="dxa"/>
              <w:right w:w="750" w:type="dxa"/>
            </w:tcMar>
            <w:hideMark/>
          </w:tcPr>
          <w:p w14:paraId="78881C2C" w14:textId="237EEFE0" w:rsidR="00A1428B" w:rsidRPr="003643AB" w:rsidRDefault="00A1428B" w:rsidP="00DD022D">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 2022</w:t>
            </w:r>
            <w:r w:rsidR="00DD022D">
              <w:rPr>
                <w:rFonts w:ascii="Arial" w:eastAsia="Times New Roman" w:hAnsi="Arial" w:cs="Arial"/>
                <w:color w:val="333333"/>
                <w:sz w:val="20"/>
                <w:szCs w:val="20"/>
                <w:lang w:eastAsia="en-AU"/>
              </w:rPr>
              <w:t xml:space="preserve"> Baseline</w:t>
            </w:r>
            <w:r w:rsidR="00156AD2">
              <w:rPr>
                <w:rFonts w:ascii="Arial" w:eastAsia="Times New Roman" w:hAnsi="Arial" w:cs="Arial"/>
                <w:color w:val="333333"/>
                <w:sz w:val="20"/>
                <w:szCs w:val="20"/>
                <w:lang w:eastAsia="en-AU"/>
              </w:rPr>
              <w:t xml:space="preserve"> - 15</w:t>
            </w:r>
          </w:p>
        </w:tc>
        <w:tc>
          <w:tcPr>
            <w:tcW w:w="2552" w:type="dxa"/>
            <w:tcBorders>
              <w:top w:val="single" w:sz="2" w:space="0" w:color="FFFFFF"/>
              <w:left w:val="single" w:sz="6" w:space="0" w:color="FFFFFF"/>
              <w:bottom w:val="single" w:sz="2" w:space="0" w:color="FFFFFF"/>
              <w:right w:val="single" w:sz="6" w:space="0" w:color="FFFFFF"/>
            </w:tcBorders>
            <w:shd w:val="clear" w:color="auto" w:fill="FFFFFF"/>
            <w:tcMar>
              <w:top w:w="390" w:type="dxa"/>
              <w:left w:w="0" w:type="dxa"/>
              <w:bottom w:w="390" w:type="dxa"/>
              <w:right w:w="750" w:type="dxa"/>
            </w:tcMar>
            <w:hideMark/>
          </w:tcPr>
          <w:p w14:paraId="5AC85427" w14:textId="47A5A769" w:rsidR="00A1428B" w:rsidRPr="003643AB" w:rsidRDefault="00A1428B" w:rsidP="00DD022D">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2024</w:t>
            </w:r>
            <w:r w:rsidR="00DD022D">
              <w:rPr>
                <w:rFonts w:ascii="Arial" w:eastAsia="Times New Roman" w:hAnsi="Arial" w:cs="Arial"/>
                <w:color w:val="333333"/>
                <w:sz w:val="20"/>
                <w:szCs w:val="20"/>
                <w:lang w:eastAsia="en-AU"/>
              </w:rPr>
              <w:t xml:space="preserve"> </w:t>
            </w:r>
            <w:r w:rsidR="00DD022D" w:rsidRPr="003643AB">
              <w:rPr>
                <w:rFonts w:ascii="Arial" w:eastAsia="Times New Roman" w:hAnsi="Arial" w:cs="Arial"/>
                <w:color w:val="333333"/>
                <w:sz w:val="20"/>
                <w:szCs w:val="20"/>
                <w:lang w:eastAsia="en-AU"/>
              </w:rPr>
              <w:t>Target</w:t>
            </w:r>
            <w:r w:rsidR="00156AD2">
              <w:rPr>
                <w:rFonts w:ascii="Arial" w:eastAsia="Times New Roman" w:hAnsi="Arial" w:cs="Arial"/>
                <w:color w:val="333333"/>
                <w:sz w:val="20"/>
                <w:szCs w:val="20"/>
                <w:lang w:eastAsia="en-AU"/>
              </w:rPr>
              <w:t xml:space="preserve"> - 0</w:t>
            </w:r>
          </w:p>
        </w:tc>
        <w:tc>
          <w:tcPr>
            <w:tcW w:w="2693" w:type="dxa"/>
            <w:tcBorders>
              <w:top w:val="single" w:sz="2" w:space="0" w:color="FFFFFF"/>
              <w:left w:val="single" w:sz="6" w:space="0" w:color="FFFFFF"/>
              <w:bottom w:val="single" w:sz="2" w:space="0" w:color="FFFFFF"/>
              <w:right w:val="nil"/>
            </w:tcBorders>
            <w:shd w:val="clear" w:color="auto" w:fill="FFFFFF"/>
            <w:tcMar>
              <w:top w:w="390" w:type="dxa"/>
              <w:left w:w="0" w:type="dxa"/>
              <w:bottom w:w="390" w:type="dxa"/>
              <w:right w:w="750" w:type="dxa"/>
            </w:tcMar>
            <w:hideMark/>
          </w:tcPr>
          <w:p w14:paraId="11E7CD03" w14:textId="7E4C656C" w:rsidR="00A1428B" w:rsidRPr="003643AB" w:rsidRDefault="00A1428B" w:rsidP="00DD022D">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2027</w:t>
            </w:r>
            <w:r w:rsidR="00DD022D">
              <w:rPr>
                <w:rFonts w:ascii="Arial" w:eastAsia="Times New Roman" w:hAnsi="Arial" w:cs="Arial"/>
                <w:color w:val="333333"/>
                <w:sz w:val="20"/>
                <w:szCs w:val="20"/>
                <w:lang w:eastAsia="en-AU"/>
              </w:rPr>
              <w:t xml:space="preserve"> </w:t>
            </w:r>
            <w:r w:rsidR="00DD022D" w:rsidRPr="003643AB">
              <w:rPr>
                <w:rFonts w:ascii="Arial" w:eastAsia="Times New Roman" w:hAnsi="Arial" w:cs="Arial"/>
                <w:color w:val="333333"/>
                <w:sz w:val="20"/>
                <w:szCs w:val="20"/>
                <w:lang w:eastAsia="en-AU"/>
              </w:rPr>
              <w:t>Target</w:t>
            </w:r>
            <w:r w:rsidR="00156AD2">
              <w:rPr>
                <w:rFonts w:ascii="Arial" w:eastAsia="Times New Roman" w:hAnsi="Arial" w:cs="Arial"/>
                <w:color w:val="333333"/>
                <w:sz w:val="20"/>
                <w:szCs w:val="20"/>
                <w:lang w:eastAsia="en-AU"/>
              </w:rPr>
              <w:t xml:space="preserve"> - 0</w:t>
            </w:r>
          </w:p>
        </w:tc>
      </w:tr>
    </w:tbl>
    <w:p w14:paraId="10903DA0" w14:textId="1FE92F27" w:rsidR="00A1428B" w:rsidRDefault="00A1428B" w:rsidP="001A21A8">
      <w:pPr>
        <w:spacing w:after="0" w:line="240" w:lineRule="auto"/>
        <w:rPr>
          <w:rFonts w:ascii="Arial" w:eastAsia="Times New Roman" w:hAnsi="Arial" w:cs="Arial"/>
          <w:b/>
          <w:bCs/>
          <w:color w:val="333333"/>
          <w:sz w:val="20"/>
          <w:szCs w:val="20"/>
          <w:vertAlign w:val="superscript"/>
          <w:lang w:eastAsia="en-AU"/>
        </w:rPr>
      </w:pPr>
      <w:r w:rsidRPr="00830FD3">
        <w:rPr>
          <w:rFonts w:ascii="Arial" w:eastAsia="Times New Roman" w:hAnsi="Arial" w:cs="Arial"/>
          <w:b/>
          <w:bCs/>
          <w:color w:val="333333"/>
          <w:sz w:val="20"/>
          <w:szCs w:val="20"/>
          <w:lang w:eastAsia="en-AU"/>
        </w:rPr>
        <w:t>Percentage of monitoring sites that meet long-term microbial water quality standards</w:t>
      </w:r>
      <w:r w:rsidRPr="00830FD3">
        <w:rPr>
          <w:rFonts w:ascii="Arial" w:eastAsia="Times New Roman" w:hAnsi="Arial" w:cs="Arial"/>
          <w:b/>
          <w:bCs/>
          <w:color w:val="333333"/>
          <w:sz w:val="20"/>
          <w:szCs w:val="20"/>
          <w:vertAlign w:val="superscript"/>
          <w:lang w:eastAsia="en-AU"/>
        </w:rPr>
        <w:t>2</w:t>
      </w:r>
    </w:p>
    <w:tbl>
      <w:tblPr>
        <w:tblW w:w="8647" w:type="dxa"/>
        <w:tblCellMar>
          <w:top w:w="15" w:type="dxa"/>
          <w:left w:w="15" w:type="dxa"/>
          <w:bottom w:w="15" w:type="dxa"/>
          <w:right w:w="15" w:type="dxa"/>
        </w:tblCellMar>
        <w:tblLook w:val="04A0" w:firstRow="1" w:lastRow="0" w:firstColumn="1" w:lastColumn="0" w:noHBand="0" w:noVBand="1"/>
      </w:tblPr>
      <w:tblGrid>
        <w:gridCol w:w="2835"/>
        <w:gridCol w:w="2552"/>
        <w:gridCol w:w="3260"/>
      </w:tblGrid>
      <w:tr w:rsidR="00376686" w:rsidRPr="003643AB" w14:paraId="53F6CE71" w14:textId="77777777" w:rsidTr="009C5865">
        <w:trPr>
          <w:trHeight w:val="280"/>
        </w:trPr>
        <w:tc>
          <w:tcPr>
            <w:tcW w:w="2835" w:type="dxa"/>
            <w:tcBorders>
              <w:top w:val="single" w:sz="2" w:space="0" w:color="FFFFFF"/>
              <w:left w:val="nil"/>
              <w:bottom w:val="single" w:sz="2" w:space="0" w:color="FFFFFF"/>
              <w:right w:val="single" w:sz="6" w:space="0" w:color="FFFFFF"/>
            </w:tcBorders>
            <w:shd w:val="clear" w:color="auto" w:fill="FFFFFF"/>
            <w:tcMar>
              <w:top w:w="390" w:type="dxa"/>
              <w:left w:w="0" w:type="dxa"/>
              <w:bottom w:w="390" w:type="dxa"/>
              <w:right w:w="750" w:type="dxa"/>
            </w:tcMar>
            <w:hideMark/>
          </w:tcPr>
          <w:p w14:paraId="7D23D9DF" w14:textId="6B161F97" w:rsidR="00376686" w:rsidRPr="003643AB" w:rsidRDefault="00376686" w:rsidP="00B44F37">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 2022</w:t>
            </w:r>
            <w:r>
              <w:rPr>
                <w:rFonts w:ascii="Arial" w:eastAsia="Times New Roman" w:hAnsi="Arial" w:cs="Arial"/>
                <w:color w:val="333333"/>
                <w:sz w:val="20"/>
                <w:szCs w:val="20"/>
                <w:lang w:eastAsia="en-AU"/>
              </w:rPr>
              <w:t xml:space="preserve"> Baseline - 69%</w:t>
            </w:r>
          </w:p>
        </w:tc>
        <w:tc>
          <w:tcPr>
            <w:tcW w:w="2552" w:type="dxa"/>
            <w:tcBorders>
              <w:top w:val="single" w:sz="2" w:space="0" w:color="FFFFFF"/>
              <w:left w:val="single" w:sz="6" w:space="0" w:color="FFFFFF"/>
              <w:bottom w:val="single" w:sz="2" w:space="0" w:color="FFFFFF"/>
              <w:right w:val="single" w:sz="6" w:space="0" w:color="FFFFFF"/>
            </w:tcBorders>
            <w:shd w:val="clear" w:color="auto" w:fill="FFFFFF"/>
            <w:tcMar>
              <w:top w:w="390" w:type="dxa"/>
              <w:left w:w="0" w:type="dxa"/>
              <w:bottom w:w="390" w:type="dxa"/>
              <w:right w:w="750" w:type="dxa"/>
            </w:tcMar>
            <w:hideMark/>
          </w:tcPr>
          <w:p w14:paraId="636A344C" w14:textId="464E1D11" w:rsidR="00376686" w:rsidRPr="003643AB" w:rsidRDefault="00376686" w:rsidP="00B44F37">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2024</w:t>
            </w:r>
            <w:r>
              <w:rPr>
                <w:rFonts w:ascii="Arial" w:eastAsia="Times New Roman" w:hAnsi="Arial" w:cs="Arial"/>
                <w:color w:val="333333"/>
                <w:sz w:val="20"/>
                <w:szCs w:val="20"/>
                <w:lang w:eastAsia="en-AU"/>
              </w:rPr>
              <w:t xml:space="preserve"> </w:t>
            </w: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- 83%</w:t>
            </w:r>
          </w:p>
        </w:tc>
        <w:tc>
          <w:tcPr>
            <w:tcW w:w="3260" w:type="dxa"/>
            <w:tcBorders>
              <w:top w:val="single" w:sz="2" w:space="0" w:color="FFFFFF"/>
              <w:left w:val="single" w:sz="6" w:space="0" w:color="FFFFFF"/>
              <w:bottom w:val="single" w:sz="2" w:space="0" w:color="FFFFFF"/>
              <w:right w:val="nil"/>
            </w:tcBorders>
            <w:shd w:val="clear" w:color="auto" w:fill="FFFFFF"/>
            <w:tcMar>
              <w:top w:w="390" w:type="dxa"/>
              <w:left w:w="0" w:type="dxa"/>
              <w:bottom w:w="390" w:type="dxa"/>
              <w:right w:w="750" w:type="dxa"/>
            </w:tcMar>
            <w:hideMark/>
          </w:tcPr>
          <w:p w14:paraId="7C654436" w14:textId="5BDC6CC2" w:rsidR="00376686" w:rsidRPr="003643AB" w:rsidRDefault="00376686" w:rsidP="00B44F37">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2027</w:t>
            </w:r>
            <w:r>
              <w:rPr>
                <w:rFonts w:ascii="Arial" w:eastAsia="Times New Roman" w:hAnsi="Arial" w:cs="Arial"/>
                <w:color w:val="333333"/>
                <w:sz w:val="20"/>
                <w:szCs w:val="20"/>
                <w:lang w:eastAsia="en-AU"/>
              </w:rPr>
              <w:t xml:space="preserve"> </w:t>
            </w: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w:t>
            </w:r>
            <w:r w:rsidR="00A25D42">
              <w:rPr>
                <w:rFonts w:ascii="Arial" w:eastAsia="Times New Roman" w:hAnsi="Arial" w:cs="Arial"/>
                <w:color w:val="333333"/>
                <w:sz w:val="20"/>
                <w:szCs w:val="20"/>
                <w:lang w:eastAsia="en-AU"/>
              </w:rPr>
              <w:t>-</w:t>
            </w:r>
            <w:r>
              <w:rPr>
                <w:rFonts w:ascii="Arial" w:eastAsia="Times New Roman" w:hAnsi="Arial" w:cs="Arial"/>
                <w:color w:val="333333"/>
                <w:sz w:val="20"/>
                <w:szCs w:val="20"/>
                <w:lang w:eastAsia="en-AU"/>
              </w:rPr>
              <w:t xml:space="preserve"> 93%</w:t>
            </w:r>
          </w:p>
        </w:tc>
      </w:tr>
    </w:tbl>
    <w:p w14:paraId="276910BD" w14:textId="77777777" w:rsidR="00A1428B" w:rsidRPr="00830FD3" w:rsidRDefault="00A1428B" w:rsidP="001A21A8">
      <w:pPr>
        <w:spacing w:after="0" w:line="240" w:lineRule="auto"/>
        <w:rPr>
          <w:rFonts w:ascii="Arial" w:eastAsia="Times New Roman" w:hAnsi="Arial" w:cs="Arial"/>
          <w:b/>
          <w:bCs/>
          <w:color w:val="333333"/>
          <w:sz w:val="20"/>
          <w:szCs w:val="20"/>
          <w:lang w:eastAsia="en-AU"/>
        </w:rPr>
      </w:pPr>
      <w:r w:rsidRPr="00830FD3">
        <w:rPr>
          <w:rFonts w:ascii="Arial" w:eastAsia="Times New Roman" w:hAnsi="Arial" w:cs="Arial"/>
          <w:b/>
          <w:bCs/>
          <w:color w:val="333333"/>
          <w:sz w:val="20"/>
          <w:szCs w:val="20"/>
          <w:lang w:eastAsia="en-AU"/>
        </w:rPr>
        <w:t>Percentage of high risk contaminated land sites under active management</w:t>
      </w:r>
      <w:r w:rsidRPr="00830FD3">
        <w:rPr>
          <w:rFonts w:ascii="Arial" w:eastAsia="Times New Roman" w:hAnsi="Arial" w:cs="Arial"/>
          <w:b/>
          <w:bCs/>
          <w:color w:val="333333"/>
          <w:sz w:val="20"/>
          <w:szCs w:val="20"/>
          <w:vertAlign w:val="superscript"/>
          <w:lang w:eastAsia="en-AU"/>
        </w:rPr>
        <w:t>3</w:t>
      </w:r>
    </w:p>
    <w:tbl>
      <w:tblPr>
        <w:tblW w:w="9214" w:type="dxa"/>
        <w:tblCellMar>
          <w:top w:w="15" w:type="dxa"/>
          <w:left w:w="15" w:type="dxa"/>
          <w:bottom w:w="15" w:type="dxa"/>
          <w:right w:w="15" w:type="dxa"/>
        </w:tblCellMar>
        <w:tblLook w:val="04A0" w:firstRow="1" w:lastRow="0" w:firstColumn="1" w:lastColumn="0" w:noHBand="0" w:noVBand="1"/>
      </w:tblPr>
      <w:tblGrid>
        <w:gridCol w:w="2835"/>
        <w:gridCol w:w="2552"/>
        <w:gridCol w:w="3827"/>
      </w:tblGrid>
      <w:tr w:rsidR="00BD5A6C" w:rsidRPr="003643AB" w14:paraId="778AAB15" w14:textId="77777777" w:rsidTr="00BD5A6C">
        <w:trPr>
          <w:trHeight w:val="687"/>
        </w:trPr>
        <w:tc>
          <w:tcPr>
            <w:tcW w:w="2835" w:type="dxa"/>
            <w:tcBorders>
              <w:top w:val="single" w:sz="2" w:space="0" w:color="FFFFFF"/>
              <w:left w:val="nil"/>
              <w:bottom w:val="single" w:sz="2" w:space="0" w:color="FFFFFF"/>
              <w:right w:val="single" w:sz="6" w:space="0" w:color="FFFFFF"/>
            </w:tcBorders>
            <w:shd w:val="clear" w:color="auto" w:fill="FFFFFF"/>
            <w:tcMar>
              <w:top w:w="390" w:type="dxa"/>
              <w:left w:w="0" w:type="dxa"/>
              <w:bottom w:w="390" w:type="dxa"/>
              <w:right w:w="750" w:type="dxa"/>
            </w:tcMar>
            <w:hideMark/>
          </w:tcPr>
          <w:p w14:paraId="4F4441F4" w14:textId="224A9B12" w:rsidR="00830FD3" w:rsidRPr="003643AB" w:rsidRDefault="00830FD3" w:rsidP="00B44F37">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 2022</w:t>
            </w:r>
            <w:r>
              <w:rPr>
                <w:rFonts w:ascii="Arial" w:eastAsia="Times New Roman" w:hAnsi="Arial" w:cs="Arial"/>
                <w:color w:val="333333"/>
                <w:sz w:val="20"/>
                <w:szCs w:val="20"/>
                <w:lang w:eastAsia="en-AU"/>
              </w:rPr>
              <w:t xml:space="preserve"> Baseline - 15</w:t>
            </w:r>
            <w:r w:rsidRPr="003643AB">
              <w:rPr>
                <w:rFonts w:ascii="Arial" w:eastAsia="Times New Roman" w:hAnsi="Arial" w:cs="Arial"/>
                <w:color w:val="333333"/>
                <w:sz w:val="20"/>
                <w:szCs w:val="20"/>
                <w:lang w:eastAsia="en-AU"/>
              </w:rPr>
              <w:t>%</w:t>
            </w:r>
          </w:p>
        </w:tc>
        <w:tc>
          <w:tcPr>
            <w:tcW w:w="2552" w:type="dxa"/>
            <w:tcBorders>
              <w:top w:val="single" w:sz="2" w:space="0" w:color="FFFFFF"/>
              <w:left w:val="single" w:sz="6" w:space="0" w:color="FFFFFF"/>
              <w:bottom w:val="single" w:sz="2" w:space="0" w:color="FFFFFF"/>
              <w:right w:val="single" w:sz="6" w:space="0" w:color="FFFFFF"/>
            </w:tcBorders>
            <w:shd w:val="clear" w:color="auto" w:fill="FFFFFF"/>
            <w:tcMar>
              <w:top w:w="390" w:type="dxa"/>
              <w:left w:w="0" w:type="dxa"/>
              <w:bottom w:w="390" w:type="dxa"/>
              <w:right w:w="750" w:type="dxa"/>
            </w:tcMar>
            <w:hideMark/>
          </w:tcPr>
          <w:p w14:paraId="08A31DAA" w14:textId="1F26742F" w:rsidR="00830FD3" w:rsidRPr="003643AB" w:rsidRDefault="00830FD3" w:rsidP="00B44F37">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2024</w:t>
            </w:r>
            <w:r>
              <w:rPr>
                <w:rFonts w:ascii="Arial" w:eastAsia="Times New Roman" w:hAnsi="Arial" w:cs="Arial"/>
                <w:color w:val="333333"/>
                <w:sz w:val="20"/>
                <w:szCs w:val="20"/>
                <w:lang w:eastAsia="en-AU"/>
              </w:rPr>
              <w:t xml:space="preserve"> </w:t>
            </w: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- 50</w:t>
            </w:r>
            <w:r w:rsidRPr="003643AB">
              <w:rPr>
                <w:rFonts w:ascii="Arial" w:eastAsia="Times New Roman" w:hAnsi="Arial" w:cs="Arial"/>
                <w:color w:val="333333"/>
                <w:sz w:val="20"/>
                <w:szCs w:val="20"/>
                <w:lang w:eastAsia="en-AU"/>
              </w:rPr>
              <w:t>%</w:t>
            </w:r>
          </w:p>
        </w:tc>
        <w:tc>
          <w:tcPr>
            <w:tcW w:w="3827" w:type="dxa"/>
            <w:tcBorders>
              <w:top w:val="single" w:sz="2" w:space="0" w:color="FFFFFF"/>
              <w:left w:val="single" w:sz="6" w:space="0" w:color="FFFFFF"/>
              <w:bottom w:val="single" w:sz="2" w:space="0" w:color="FFFFFF"/>
              <w:right w:val="nil"/>
            </w:tcBorders>
            <w:shd w:val="clear" w:color="auto" w:fill="FFFFFF"/>
            <w:tcMar>
              <w:top w:w="390" w:type="dxa"/>
              <w:left w:w="0" w:type="dxa"/>
              <w:bottom w:w="390" w:type="dxa"/>
              <w:right w:w="750" w:type="dxa"/>
            </w:tcMar>
            <w:hideMark/>
          </w:tcPr>
          <w:p w14:paraId="74B5A512" w14:textId="469E92A4" w:rsidR="00830FD3" w:rsidRPr="003643AB" w:rsidRDefault="00830FD3" w:rsidP="00B44F37">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2027</w:t>
            </w:r>
            <w:r>
              <w:rPr>
                <w:rFonts w:ascii="Arial" w:eastAsia="Times New Roman" w:hAnsi="Arial" w:cs="Arial"/>
                <w:color w:val="333333"/>
                <w:sz w:val="20"/>
                <w:szCs w:val="20"/>
                <w:lang w:eastAsia="en-AU"/>
              </w:rPr>
              <w:t xml:space="preserve"> </w:t>
            </w: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- 95</w:t>
            </w:r>
            <w:r w:rsidRPr="003643AB">
              <w:rPr>
                <w:rFonts w:ascii="Arial" w:eastAsia="Times New Roman" w:hAnsi="Arial" w:cs="Arial"/>
                <w:color w:val="333333"/>
                <w:sz w:val="20"/>
                <w:szCs w:val="20"/>
                <w:lang w:eastAsia="en-AU"/>
              </w:rPr>
              <w:t>%</w:t>
            </w:r>
          </w:p>
        </w:tc>
      </w:tr>
    </w:tbl>
    <w:p w14:paraId="6C3F022D" w14:textId="03941E0A" w:rsidR="00A1428B" w:rsidRDefault="00A1428B" w:rsidP="001A21A8">
      <w:pPr>
        <w:spacing w:after="0" w:line="240" w:lineRule="auto"/>
        <w:rPr>
          <w:rFonts w:ascii="Arial" w:eastAsia="Times New Roman" w:hAnsi="Arial" w:cs="Arial"/>
          <w:b/>
          <w:bCs/>
          <w:color w:val="333333"/>
          <w:sz w:val="20"/>
          <w:szCs w:val="20"/>
          <w:vertAlign w:val="superscript"/>
          <w:lang w:eastAsia="en-AU"/>
        </w:rPr>
      </w:pPr>
      <w:r w:rsidRPr="00830FD3">
        <w:rPr>
          <w:rFonts w:ascii="Arial" w:eastAsia="Times New Roman" w:hAnsi="Arial" w:cs="Arial"/>
          <w:b/>
          <w:bCs/>
          <w:color w:val="333333"/>
          <w:sz w:val="20"/>
          <w:szCs w:val="20"/>
          <w:lang w:eastAsia="en-AU"/>
        </w:rPr>
        <w:t>Number of premises required to take remedial action because of noise</w:t>
      </w:r>
      <w:r w:rsidRPr="00830FD3">
        <w:rPr>
          <w:rFonts w:ascii="Arial" w:eastAsia="Times New Roman" w:hAnsi="Arial" w:cs="Arial"/>
          <w:b/>
          <w:bCs/>
          <w:color w:val="333333"/>
          <w:sz w:val="20"/>
          <w:szCs w:val="20"/>
          <w:vertAlign w:val="superscript"/>
          <w:lang w:eastAsia="en-AU"/>
        </w:rPr>
        <w:t>4</w:t>
      </w:r>
    </w:p>
    <w:tbl>
      <w:tblPr>
        <w:tblW w:w="8915" w:type="dxa"/>
        <w:tblCellMar>
          <w:top w:w="15" w:type="dxa"/>
          <w:left w:w="15" w:type="dxa"/>
          <w:bottom w:w="15" w:type="dxa"/>
          <w:right w:w="15" w:type="dxa"/>
        </w:tblCellMar>
        <w:tblLook w:val="04A0" w:firstRow="1" w:lastRow="0" w:firstColumn="1" w:lastColumn="0" w:noHBand="0" w:noVBand="1"/>
      </w:tblPr>
      <w:tblGrid>
        <w:gridCol w:w="2835"/>
        <w:gridCol w:w="2694"/>
        <w:gridCol w:w="3386"/>
      </w:tblGrid>
      <w:tr w:rsidR="00F2341D" w:rsidRPr="003643AB" w14:paraId="0455BD4F" w14:textId="77777777" w:rsidTr="00BD5A6C">
        <w:tc>
          <w:tcPr>
            <w:tcW w:w="2835" w:type="dxa"/>
            <w:tcBorders>
              <w:top w:val="single" w:sz="2" w:space="0" w:color="FFFFFF"/>
              <w:left w:val="nil"/>
              <w:bottom w:val="single" w:sz="2" w:space="0" w:color="FFFFFF"/>
              <w:right w:val="single" w:sz="6" w:space="0" w:color="FFFFFF"/>
            </w:tcBorders>
            <w:shd w:val="clear" w:color="auto" w:fill="FFFFFF"/>
            <w:tcMar>
              <w:top w:w="390" w:type="dxa"/>
              <w:left w:w="0" w:type="dxa"/>
              <w:bottom w:w="390" w:type="dxa"/>
              <w:right w:w="750" w:type="dxa"/>
            </w:tcMar>
            <w:hideMark/>
          </w:tcPr>
          <w:p w14:paraId="16797621" w14:textId="2E23B410" w:rsidR="00F2341D" w:rsidRPr="003643AB" w:rsidRDefault="00F2341D" w:rsidP="00B44F37">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 2022</w:t>
            </w:r>
            <w:r>
              <w:rPr>
                <w:rFonts w:ascii="Arial" w:eastAsia="Times New Roman" w:hAnsi="Arial" w:cs="Arial"/>
                <w:color w:val="333333"/>
                <w:sz w:val="20"/>
                <w:szCs w:val="20"/>
                <w:lang w:eastAsia="en-AU"/>
              </w:rPr>
              <w:t xml:space="preserve"> Baseline - 50</w:t>
            </w:r>
          </w:p>
        </w:tc>
        <w:tc>
          <w:tcPr>
            <w:tcW w:w="2694" w:type="dxa"/>
            <w:tcBorders>
              <w:top w:val="single" w:sz="2" w:space="0" w:color="FFFFFF"/>
              <w:left w:val="single" w:sz="6" w:space="0" w:color="FFFFFF"/>
              <w:bottom w:val="single" w:sz="2" w:space="0" w:color="FFFFFF"/>
              <w:right w:val="single" w:sz="6" w:space="0" w:color="FFFFFF"/>
            </w:tcBorders>
            <w:shd w:val="clear" w:color="auto" w:fill="FFFFFF"/>
            <w:tcMar>
              <w:top w:w="390" w:type="dxa"/>
              <w:left w:w="0" w:type="dxa"/>
              <w:bottom w:w="390" w:type="dxa"/>
              <w:right w:w="750" w:type="dxa"/>
            </w:tcMar>
            <w:hideMark/>
          </w:tcPr>
          <w:p w14:paraId="4CB59F90" w14:textId="39A2323C" w:rsidR="00F2341D" w:rsidRPr="003643AB" w:rsidRDefault="00F2341D" w:rsidP="00B44F37">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2024</w:t>
            </w:r>
            <w:r>
              <w:rPr>
                <w:rFonts w:ascii="Arial" w:eastAsia="Times New Roman" w:hAnsi="Arial" w:cs="Arial"/>
                <w:color w:val="333333"/>
                <w:sz w:val="20"/>
                <w:szCs w:val="20"/>
                <w:lang w:eastAsia="en-AU"/>
              </w:rPr>
              <w:t xml:space="preserve"> </w:t>
            </w: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- 42</w:t>
            </w:r>
          </w:p>
        </w:tc>
        <w:tc>
          <w:tcPr>
            <w:tcW w:w="3386" w:type="dxa"/>
            <w:tcBorders>
              <w:top w:val="single" w:sz="2" w:space="0" w:color="FFFFFF"/>
              <w:left w:val="single" w:sz="6" w:space="0" w:color="FFFFFF"/>
              <w:bottom w:val="single" w:sz="2" w:space="0" w:color="FFFFFF"/>
              <w:right w:val="nil"/>
            </w:tcBorders>
            <w:shd w:val="clear" w:color="auto" w:fill="FFFFFF"/>
            <w:tcMar>
              <w:top w:w="390" w:type="dxa"/>
              <w:left w:w="0" w:type="dxa"/>
              <w:bottom w:w="390" w:type="dxa"/>
              <w:right w:w="750" w:type="dxa"/>
            </w:tcMar>
            <w:hideMark/>
          </w:tcPr>
          <w:p w14:paraId="6EB72D67" w14:textId="5A25410A" w:rsidR="00F2341D" w:rsidRPr="003643AB" w:rsidRDefault="00F2341D" w:rsidP="00B44F37">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2027</w:t>
            </w:r>
            <w:r>
              <w:rPr>
                <w:rFonts w:ascii="Arial" w:eastAsia="Times New Roman" w:hAnsi="Arial" w:cs="Arial"/>
                <w:color w:val="333333"/>
                <w:sz w:val="20"/>
                <w:szCs w:val="20"/>
                <w:lang w:eastAsia="en-AU"/>
              </w:rPr>
              <w:t xml:space="preserve"> </w:t>
            </w: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- 35</w:t>
            </w:r>
          </w:p>
        </w:tc>
      </w:tr>
    </w:tbl>
    <w:p w14:paraId="1E21A2C9" w14:textId="41A70C58" w:rsidR="00A1428B" w:rsidRDefault="00A1428B" w:rsidP="001A21A8">
      <w:pPr>
        <w:spacing w:after="0" w:line="240" w:lineRule="auto"/>
        <w:rPr>
          <w:rFonts w:ascii="Arial" w:eastAsia="Times New Roman" w:hAnsi="Arial" w:cs="Arial"/>
          <w:b/>
          <w:bCs/>
          <w:color w:val="333333"/>
          <w:sz w:val="20"/>
          <w:szCs w:val="20"/>
          <w:vertAlign w:val="superscript"/>
          <w:lang w:eastAsia="en-AU"/>
        </w:rPr>
      </w:pPr>
      <w:r w:rsidRPr="00830FD3">
        <w:rPr>
          <w:rFonts w:ascii="Arial" w:eastAsia="Times New Roman" w:hAnsi="Arial" w:cs="Arial"/>
          <w:b/>
          <w:bCs/>
          <w:color w:val="333333"/>
          <w:sz w:val="20"/>
          <w:szCs w:val="20"/>
          <w:lang w:eastAsia="en-AU"/>
        </w:rPr>
        <w:t>Percentage of pollution reports requiring a field response by EPA due to possible human health and/or environmental impacts</w:t>
      </w:r>
      <w:r w:rsidRPr="00830FD3">
        <w:rPr>
          <w:rFonts w:ascii="Arial" w:eastAsia="Times New Roman" w:hAnsi="Arial" w:cs="Arial"/>
          <w:b/>
          <w:bCs/>
          <w:color w:val="333333"/>
          <w:sz w:val="20"/>
          <w:szCs w:val="20"/>
          <w:vertAlign w:val="superscript"/>
          <w:lang w:eastAsia="en-AU"/>
        </w:rPr>
        <w:t>5</w:t>
      </w:r>
    </w:p>
    <w:tbl>
      <w:tblPr>
        <w:tblW w:w="8915" w:type="dxa"/>
        <w:tblCellMar>
          <w:top w:w="15" w:type="dxa"/>
          <w:left w:w="15" w:type="dxa"/>
          <w:bottom w:w="15" w:type="dxa"/>
          <w:right w:w="15" w:type="dxa"/>
        </w:tblCellMar>
        <w:tblLook w:val="04A0" w:firstRow="1" w:lastRow="0" w:firstColumn="1" w:lastColumn="0" w:noHBand="0" w:noVBand="1"/>
      </w:tblPr>
      <w:tblGrid>
        <w:gridCol w:w="2835"/>
        <w:gridCol w:w="2835"/>
        <w:gridCol w:w="3245"/>
      </w:tblGrid>
      <w:tr w:rsidR="00F2341D" w:rsidRPr="003643AB" w14:paraId="618D22E1" w14:textId="77777777" w:rsidTr="00BD5A6C">
        <w:tc>
          <w:tcPr>
            <w:tcW w:w="2835" w:type="dxa"/>
            <w:tcBorders>
              <w:top w:val="single" w:sz="2" w:space="0" w:color="FFFFFF"/>
              <w:left w:val="nil"/>
              <w:bottom w:val="single" w:sz="2" w:space="0" w:color="FFFFFF"/>
              <w:right w:val="single" w:sz="6" w:space="0" w:color="FFFFFF"/>
            </w:tcBorders>
            <w:shd w:val="clear" w:color="auto" w:fill="FFFFFF"/>
            <w:tcMar>
              <w:top w:w="390" w:type="dxa"/>
              <w:left w:w="0" w:type="dxa"/>
              <w:bottom w:w="390" w:type="dxa"/>
              <w:right w:w="750" w:type="dxa"/>
            </w:tcMar>
            <w:hideMark/>
          </w:tcPr>
          <w:p w14:paraId="23777955" w14:textId="5767BA39" w:rsidR="00F2341D" w:rsidRPr="003643AB" w:rsidRDefault="00F2341D" w:rsidP="00B44F37">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 2022</w:t>
            </w:r>
            <w:r>
              <w:rPr>
                <w:rFonts w:ascii="Arial" w:eastAsia="Times New Roman" w:hAnsi="Arial" w:cs="Arial"/>
                <w:color w:val="333333"/>
                <w:sz w:val="20"/>
                <w:szCs w:val="20"/>
                <w:lang w:eastAsia="en-AU"/>
              </w:rPr>
              <w:t xml:space="preserve"> Baseline - </w:t>
            </w:r>
            <w:r w:rsidRPr="003643AB">
              <w:rPr>
                <w:rFonts w:ascii="Arial" w:eastAsia="Times New Roman" w:hAnsi="Arial" w:cs="Arial"/>
                <w:color w:val="333333"/>
                <w:sz w:val="20"/>
                <w:szCs w:val="20"/>
                <w:lang w:eastAsia="en-AU"/>
              </w:rPr>
              <w:t>9%</w:t>
            </w:r>
          </w:p>
        </w:tc>
        <w:tc>
          <w:tcPr>
            <w:tcW w:w="2835" w:type="dxa"/>
            <w:tcBorders>
              <w:top w:val="single" w:sz="2" w:space="0" w:color="FFFFFF"/>
              <w:left w:val="single" w:sz="6" w:space="0" w:color="FFFFFF"/>
              <w:bottom w:val="single" w:sz="2" w:space="0" w:color="FFFFFF"/>
              <w:right w:val="single" w:sz="6" w:space="0" w:color="FFFFFF"/>
            </w:tcBorders>
            <w:shd w:val="clear" w:color="auto" w:fill="FFFFFF"/>
            <w:tcMar>
              <w:top w:w="390" w:type="dxa"/>
              <w:left w:w="0" w:type="dxa"/>
              <w:bottom w:w="390" w:type="dxa"/>
              <w:right w:w="750" w:type="dxa"/>
            </w:tcMar>
            <w:hideMark/>
          </w:tcPr>
          <w:p w14:paraId="3976782A" w14:textId="7CF3F0D3" w:rsidR="00F2341D" w:rsidRPr="003643AB" w:rsidRDefault="00F2341D" w:rsidP="00B44F37">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2024</w:t>
            </w:r>
            <w:r>
              <w:rPr>
                <w:rFonts w:ascii="Arial" w:eastAsia="Times New Roman" w:hAnsi="Arial" w:cs="Arial"/>
                <w:color w:val="333333"/>
                <w:sz w:val="20"/>
                <w:szCs w:val="20"/>
                <w:lang w:eastAsia="en-AU"/>
              </w:rPr>
              <w:t xml:space="preserve"> </w:t>
            </w: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w:t>
            </w:r>
            <w:r w:rsidR="00A25D42">
              <w:rPr>
                <w:rFonts w:ascii="Arial" w:eastAsia="Times New Roman" w:hAnsi="Arial" w:cs="Arial"/>
                <w:color w:val="333333"/>
                <w:sz w:val="20"/>
                <w:szCs w:val="20"/>
                <w:lang w:eastAsia="en-AU"/>
              </w:rPr>
              <w:t>-</w:t>
            </w:r>
            <w:r>
              <w:rPr>
                <w:rFonts w:ascii="Arial" w:eastAsia="Times New Roman" w:hAnsi="Arial" w:cs="Arial"/>
                <w:color w:val="333333"/>
                <w:sz w:val="20"/>
                <w:szCs w:val="20"/>
                <w:lang w:eastAsia="en-AU"/>
              </w:rPr>
              <w:t xml:space="preserve"> 7.2</w:t>
            </w:r>
            <w:r w:rsidRPr="003643AB">
              <w:rPr>
                <w:rFonts w:ascii="Arial" w:eastAsia="Times New Roman" w:hAnsi="Arial" w:cs="Arial"/>
                <w:color w:val="333333"/>
                <w:sz w:val="20"/>
                <w:szCs w:val="20"/>
                <w:lang w:eastAsia="en-AU"/>
              </w:rPr>
              <w:t>%</w:t>
            </w:r>
          </w:p>
        </w:tc>
        <w:tc>
          <w:tcPr>
            <w:tcW w:w="3245" w:type="dxa"/>
            <w:tcBorders>
              <w:top w:val="single" w:sz="2" w:space="0" w:color="FFFFFF"/>
              <w:left w:val="single" w:sz="6" w:space="0" w:color="FFFFFF"/>
              <w:bottom w:val="single" w:sz="2" w:space="0" w:color="FFFFFF"/>
              <w:right w:val="nil"/>
            </w:tcBorders>
            <w:shd w:val="clear" w:color="auto" w:fill="FFFFFF"/>
            <w:tcMar>
              <w:top w:w="390" w:type="dxa"/>
              <w:left w:w="0" w:type="dxa"/>
              <w:bottom w:w="390" w:type="dxa"/>
              <w:right w:w="750" w:type="dxa"/>
            </w:tcMar>
            <w:hideMark/>
          </w:tcPr>
          <w:p w14:paraId="10ECA546" w14:textId="2251642D" w:rsidR="00F2341D" w:rsidRPr="003643AB" w:rsidRDefault="00F2341D" w:rsidP="00B44F37">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2027</w:t>
            </w:r>
            <w:r>
              <w:rPr>
                <w:rFonts w:ascii="Arial" w:eastAsia="Times New Roman" w:hAnsi="Arial" w:cs="Arial"/>
                <w:color w:val="333333"/>
                <w:sz w:val="20"/>
                <w:szCs w:val="20"/>
                <w:lang w:eastAsia="en-AU"/>
              </w:rPr>
              <w:t xml:space="preserve"> </w:t>
            </w: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w:t>
            </w:r>
            <w:r w:rsidR="00A25D42">
              <w:rPr>
                <w:rFonts w:ascii="Arial" w:eastAsia="Times New Roman" w:hAnsi="Arial" w:cs="Arial"/>
                <w:color w:val="333333"/>
                <w:sz w:val="20"/>
                <w:szCs w:val="20"/>
                <w:lang w:eastAsia="en-AU"/>
              </w:rPr>
              <w:t>-</w:t>
            </w:r>
            <w:r>
              <w:rPr>
                <w:rFonts w:ascii="Arial" w:eastAsia="Times New Roman" w:hAnsi="Arial" w:cs="Arial"/>
                <w:color w:val="333333"/>
                <w:sz w:val="20"/>
                <w:szCs w:val="20"/>
                <w:lang w:eastAsia="en-AU"/>
              </w:rPr>
              <w:t xml:space="preserve"> 4.5</w:t>
            </w:r>
            <w:r w:rsidRPr="003643AB">
              <w:rPr>
                <w:rFonts w:ascii="Arial" w:eastAsia="Times New Roman" w:hAnsi="Arial" w:cs="Arial"/>
                <w:color w:val="333333"/>
                <w:sz w:val="20"/>
                <w:szCs w:val="20"/>
                <w:lang w:eastAsia="en-AU"/>
              </w:rPr>
              <w:t>%</w:t>
            </w:r>
          </w:p>
        </w:tc>
      </w:tr>
    </w:tbl>
    <w:p w14:paraId="7165194F" w14:textId="3A9E0E15" w:rsidR="00A1428B" w:rsidRPr="00830FD3" w:rsidRDefault="00A1428B" w:rsidP="001A21A8">
      <w:pPr>
        <w:spacing w:after="0" w:line="240" w:lineRule="auto"/>
        <w:rPr>
          <w:rFonts w:ascii="Arial" w:eastAsia="Times New Roman" w:hAnsi="Arial" w:cs="Arial"/>
          <w:b/>
          <w:bCs/>
          <w:color w:val="333333"/>
          <w:sz w:val="20"/>
          <w:szCs w:val="20"/>
          <w:lang w:eastAsia="en-AU"/>
        </w:rPr>
      </w:pPr>
      <w:r w:rsidRPr="00830FD3">
        <w:rPr>
          <w:rFonts w:ascii="Arial" w:eastAsia="Times New Roman" w:hAnsi="Arial" w:cs="Arial"/>
          <w:b/>
          <w:bCs/>
          <w:color w:val="333333"/>
          <w:sz w:val="20"/>
          <w:szCs w:val="20"/>
          <w:lang w:eastAsia="en-AU"/>
        </w:rPr>
        <w:t>Percentage of permissioned businesses that have appropriate risk controls implemented at their site or premises</w:t>
      </w:r>
      <w:r w:rsidRPr="00830FD3">
        <w:rPr>
          <w:rFonts w:ascii="Arial" w:eastAsia="Times New Roman" w:hAnsi="Arial" w:cs="Arial"/>
          <w:b/>
          <w:bCs/>
          <w:color w:val="333333"/>
          <w:sz w:val="20"/>
          <w:szCs w:val="20"/>
          <w:vertAlign w:val="superscript"/>
          <w:lang w:eastAsia="en-AU"/>
        </w:rPr>
        <w:t>6</w:t>
      </w:r>
    </w:p>
    <w:tbl>
      <w:tblPr>
        <w:tblW w:w="9964" w:type="dxa"/>
        <w:tblCellMar>
          <w:top w:w="15" w:type="dxa"/>
          <w:left w:w="15" w:type="dxa"/>
          <w:bottom w:w="15" w:type="dxa"/>
          <w:right w:w="15" w:type="dxa"/>
        </w:tblCellMar>
        <w:tblLook w:val="04A0" w:firstRow="1" w:lastRow="0" w:firstColumn="1" w:lastColumn="0" w:noHBand="0" w:noVBand="1"/>
      </w:tblPr>
      <w:tblGrid>
        <w:gridCol w:w="2835"/>
        <w:gridCol w:w="2835"/>
        <w:gridCol w:w="4294"/>
      </w:tblGrid>
      <w:tr w:rsidR="008A3CC6" w:rsidRPr="003643AB" w14:paraId="0BC8C02F" w14:textId="77777777" w:rsidTr="00DF2C44">
        <w:tc>
          <w:tcPr>
            <w:tcW w:w="2835" w:type="dxa"/>
            <w:tcBorders>
              <w:top w:val="single" w:sz="2" w:space="0" w:color="FFFFFF"/>
              <w:left w:val="nil"/>
              <w:bottom w:val="single" w:sz="2" w:space="0" w:color="FFFFFF"/>
              <w:right w:val="single" w:sz="6" w:space="0" w:color="FFFFFF"/>
            </w:tcBorders>
            <w:shd w:val="clear" w:color="auto" w:fill="FFFFFF"/>
            <w:tcMar>
              <w:top w:w="390" w:type="dxa"/>
              <w:left w:w="0" w:type="dxa"/>
              <w:bottom w:w="390" w:type="dxa"/>
              <w:right w:w="750" w:type="dxa"/>
            </w:tcMar>
            <w:hideMark/>
          </w:tcPr>
          <w:p w14:paraId="3D621CD8" w14:textId="29DA967B" w:rsidR="008A3CC6" w:rsidRPr="003643AB" w:rsidRDefault="008A3CC6" w:rsidP="00B44F37">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 2022</w:t>
            </w:r>
            <w:r>
              <w:rPr>
                <w:rFonts w:ascii="Arial" w:eastAsia="Times New Roman" w:hAnsi="Arial" w:cs="Arial"/>
                <w:color w:val="333333"/>
                <w:sz w:val="20"/>
                <w:szCs w:val="20"/>
                <w:lang w:eastAsia="en-AU"/>
              </w:rPr>
              <w:t xml:space="preserve"> Baseline - </w:t>
            </w:r>
            <w:r w:rsidR="00DF2C44">
              <w:rPr>
                <w:rFonts w:ascii="Arial" w:eastAsia="Times New Roman" w:hAnsi="Arial" w:cs="Arial"/>
                <w:color w:val="333333"/>
                <w:sz w:val="20"/>
                <w:szCs w:val="20"/>
                <w:lang w:eastAsia="en-AU"/>
              </w:rPr>
              <w:t>70</w:t>
            </w:r>
            <w:r w:rsidRPr="003643AB">
              <w:rPr>
                <w:rFonts w:ascii="Arial" w:eastAsia="Times New Roman" w:hAnsi="Arial" w:cs="Arial"/>
                <w:color w:val="333333"/>
                <w:sz w:val="20"/>
                <w:szCs w:val="20"/>
                <w:lang w:eastAsia="en-AU"/>
              </w:rPr>
              <w:t>%</w:t>
            </w:r>
          </w:p>
        </w:tc>
        <w:tc>
          <w:tcPr>
            <w:tcW w:w="2835" w:type="dxa"/>
            <w:tcBorders>
              <w:top w:val="single" w:sz="2" w:space="0" w:color="FFFFFF"/>
              <w:left w:val="single" w:sz="6" w:space="0" w:color="FFFFFF"/>
              <w:bottom w:val="single" w:sz="2" w:space="0" w:color="FFFFFF"/>
              <w:right w:val="single" w:sz="6" w:space="0" w:color="FFFFFF"/>
            </w:tcBorders>
            <w:shd w:val="clear" w:color="auto" w:fill="FFFFFF"/>
            <w:tcMar>
              <w:top w:w="390" w:type="dxa"/>
              <w:left w:w="0" w:type="dxa"/>
              <w:bottom w:w="390" w:type="dxa"/>
              <w:right w:w="750" w:type="dxa"/>
            </w:tcMar>
            <w:hideMark/>
          </w:tcPr>
          <w:p w14:paraId="77F95D43" w14:textId="2D4EB1B5" w:rsidR="008A3CC6" w:rsidRPr="003643AB" w:rsidRDefault="008A3CC6" w:rsidP="00B44F37">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2024</w:t>
            </w:r>
            <w:r>
              <w:rPr>
                <w:rFonts w:ascii="Arial" w:eastAsia="Times New Roman" w:hAnsi="Arial" w:cs="Arial"/>
                <w:color w:val="333333"/>
                <w:sz w:val="20"/>
                <w:szCs w:val="20"/>
                <w:lang w:eastAsia="en-AU"/>
              </w:rPr>
              <w:t xml:space="preserve"> </w:t>
            </w: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w:t>
            </w:r>
            <w:r w:rsidR="00A25D42">
              <w:rPr>
                <w:rFonts w:ascii="Arial" w:eastAsia="Times New Roman" w:hAnsi="Arial" w:cs="Arial"/>
                <w:color w:val="333333"/>
                <w:sz w:val="20"/>
                <w:szCs w:val="20"/>
                <w:lang w:eastAsia="en-AU"/>
              </w:rPr>
              <w:t>-</w:t>
            </w:r>
            <w:r>
              <w:rPr>
                <w:rFonts w:ascii="Arial" w:eastAsia="Times New Roman" w:hAnsi="Arial" w:cs="Arial"/>
                <w:color w:val="333333"/>
                <w:sz w:val="20"/>
                <w:szCs w:val="20"/>
                <w:lang w:eastAsia="en-AU"/>
              </w:rPr>
              <w:t xml:space="preserve"> </w:t>
            </w:r>
            <w:r w:rsidR="00DF2C44">
              <w:rPr>
                <w:rFonts w:ascii="Arial" w:eastAsia="Times New Roman" w:hAnsi="Arial" w:cs="Arial"/>
                <w:color w:val="333333"/>
                <w:sz w:val="20"/>
                <w:szCs w:val="20"/>
                <w:lang w:eastAsia="en-AU"/>
              </w:rPr>
              <w:t>90</w:t>
            </w:r>
            <w:r w:rsidRPr="003643AB">
              <w:rPr>
                <w:rFonts w:ascii="Arial" w:eastAsia="Times New Roman" w:hAnsi="Arial" w:cs="Arial"/>
                <w:color w:val="333333"/>
                <w:sz w:val="20"/>
                <w:szCs w:val="20"/>
                <w:lang w:eastAsia="en-AU"/>
              </w:rPr>
              <w:t>%</w:t>
            </w:r>
          </w:p>
        </w:tc>
        <w:tc>
          <w:tcPr>
            <w:tcW w:w="4294" w:type="dxa"/>
            <w:tcBorders>
              <w:top w:val="single" w:sz="2" w:space="0" w:color="FFFFFF"/>
              <w:left w:val="single" w:sz="6" w:space="0" w:color="FFFFFF"/>
              <w:bottom w:val="single" w:sz="2" w:space="0" w:color="FFFFFF"/>
              <w:right w:val="nil"/>
            </w:tcBorders>
            <w:shd w:val="clear" w:color="auto" w:fill="FFFFFF"/>
            <w:tcMar>
              <w:top w:w="390" w:type="dxa"/>
              <w:left w:w="0" w:type="dxa"/>
              <w:bottom w:w="390" w:type="dxa"/>
              <w:right w:w="750" w:type="dxa"/>
            </w:tcMar>
            <w:hideMark/>
          </w:tcPr>
          <w:p w14:paraId="347BC887" w14:textId="07C305F7" w:rsidR="008A3CC6" w:rsidRPr="003643AB" w:rsidRDefault="008A3CC6" w:rsidP="00B44F37">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2027</w:t>
            </w:r>
            <w:r>
              <w:rPr>
                <w:rFonts w:ascii="Arial" w:eastAsia="Times New Roman" w:hAnsi="Arial" w:cs="Arial"/>
                <w:color w:val="333333"/>
                <w:sz w:val="20"/>
                <w:szCs w:val="20"/>
                <w:lang w:eastAsia="en-AU"/>
              </w:rPr>
              <w:t xml:space="preserve"> </w:t>
            </w: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w:t>
            </w:r>
            <w:r w:rsidR="00A25D42">
              <w:rPr>
                <w:rFonts w:ascii="Arial" w:eastAsia="Times New Roman" w:hAnsi="Arial" w:cs="Arial"/>
                <w:color w:val="333333"/>
                <w:sz w:val="20"/>
                <w:szCs w:val="20"/>
                <w:lang w:eastAsia="en-AU"/>
              </w:rPr>
              <w:t>-</w:t>
            </w:r>
            <w:r>
              <w:rPr>
                <w:rFonts w:ascii="Arial" w:eastAsia="Times New Roman" w:hAnsi="Arial" w:cs="Arial"/>
                <w:color w:val="333333"/>
                <w:sz w:val="20"/>
                <w:szCs w:val="20"/>
                <w:lang w:eastAsia="en-AU"/>
              </w:rPr>
              <w:t xml:space="preserve"> </w:t>
            </w:r>
            <w:r w:rsidR="00DF2C44">
              <w:rPr>
                <w:rFonts w:ascii="Arial" w:eastAsia="Times New Roman" w:hAnsi="Arial" w:cs="Arial"/>
                <w:color w:val="333333"/>
                <w:sz w:val="20"/>
                <w:szCs w:val="20"/>
                <w:lang w:eastAsia="en-AU"/>
              </w:rPr>
              <w:t>9</w:t>
            </w:r>
            <w:r>
              <w:rPr>
                <w:rFonts w:ascii="Arial" w:eastAsia="Times New Roman" w:hAnsi="Arial" w:cs="Arial"/>
                <w:color w:val="333333"/>
                <w:sz w:val="20"/>
                <w:szCs w:val="20"/>
                <w:lang w:eastAsia="en-AU"/>
              </w:rPr>
              <w:t>5</w:t>
            </w:r>
            <w:r w:rsidRPr="003643AB">
              <w:rPr>
                <w:rFonts w:ascii="Arial" w:eastAsia="Times New Roman" w:hAnsi="Arial" w:cs="Arial"/>
                <w:color w:val="333333"/>
                <w:sz w:val="20"/>
                <w:szCs w:val="20"/>
                <w:lang w:eastAsia="en-AU"/>
              </w:rPr>
              <w:t>%</w:t>
            </w:r>
          </w:p>
        </w:tc>
      </w:tr>
    </w:tbl>
    <w:p w14:paraId="1E6B93A8" w14:textId="77777777" w:rsidR="00A1428B" w:rsidRPr="00830FD3" w:rsidRDefault="00A1428B" w:rsidP="001A21A8">
      <w:pPr>
        <w:spacing w:after="0" w:line="240" w:lineRule="auto"/>
        <w:rPr>
          <w:rFonts w:ascii="Arial" w:eastAsia="Times New Roman" w:hAnsi="Arial" w:cs="Arial"/>
          <w:b/>
          <w:bCs/>
          <w:color w:val="333333"/>
          <w:sz w:val="20"/>
          <w:szCs w:val="20"/>
          <w:lang w:eastAsia="en-AU"/>
        </w:rPr>
      </w:pPr>
      <w:r w:rsidRPr="00830FD3">
        <w:rPr>
          <w:rFonts w:ascii="Arial" w:eastAsia="Times New Roman" w:hAnsi="Arial" w:cs="Arial"/>
          <w:b/>
          <w:bCs/>
          <w:color w:val="333333"/>
          <w:sz w:val="20"/>
          <w:szCs w:val="20"/>
          <w:lang w:eastAsia="en-AU"/>
        </w:rPr>
        <w:t>Percentage of the Victorian community that know about the general environmental duty</w:t>
      </w:r>
      <w:r w:rsidRPr="00830FD3">
        <w:rPr>
          <w:rFonts w:ascii="Arial" w:eastAsia="Times New Roman" w:hAnsi="Arial" w:cs="Arial"/>
          <w:b/>
          <w:bCs/>
          <w:color w:val="333333"/>
          <w:sz w:val="20"/>
          <w:szCs w:val="20"/>
          <w:vertAlign w:val="superscript"/>
          <w:lang w:eastAsia="en-AU"/>
        </w:rPr>
        <w:t>7</w:t>
      </w:r>
      <w:r w:rsidRPr="00830FD3">
        <w:rPr>
          <w:rFonts w:ascii="Arial" w:eastAsia="Times New Roman" w:hAnsi="Arial" w:cs="Arial"/>
          <w:b/>
          <w:bCs/>
          <w:color w:val="333333"/>
          <w:sz w:val="20"/>
          <w:szCs w:val="20"/>
          <w:lang w:eastAsia="en-AU"/>
        </w:rPr>
        <w:t> </w:t>
      </w:r>
    </w:p>
    <w:tbl>
      <w:tblPr>
        <w:tblW w:w="8915" w:type="dxa"/>
        <w:tblCellMar>
          <w:top w:w="15" w:type="dxa"/>
          <w:left w:w="15" w:type="dxa"/>
          <w:bottom w:w="15" w:type="dxa"/>
          <w:right w:w="15" w:type="dxa"/>
        </w:tblCellMar>
        <w:tblLook w:val="04A0" w:firstRow="1" w:lastRow="0" w:firstColumn="1" w:lastColumn="0" w:noHBand="0" w:noVBand="1"/>
      </w:tblPr>
      <w:tblGrid>
        <w:gridCol w:w="2836"/>
        <w:gridCol w:w="2834"/>
        <w:gridCol w:w="3245"/>
      </w:tblGrid>
      <w:tr w:rsidR="004F2481" w:rsidRPr="003643AB" w14:paraId="09555A01" w14:textId="77777777" w:rsidTr="004F2481">
        <w:tc>
          <w:tcPr>
            <w:tcW w:w="2836" w:type="dxa"/>
            <w:tcBorders>
              <w:top w:val="single" w:sz="2" w:space="0" w:color="FFFFFF"/>
              <w:left w:val="nil"/>
              <w:bottom w:val="single" w:sz="2" w:space="0" w:color="FFFFFF"/>
              <w:right w:val="single" w:sz="6" w:space="0" w:color="FFFFFF"/>
            </w:tcBorders>
            <w:shd w:val="clear" w:color="auto" w:fill="FFFFFF"/>
            <w:tcMar>
              <w:top w:w="390" w:type="dxa"/>
              <w:left w:w="0" w:type="dxa"/>
              <w:bottom w:w="390" w:type="dxa"/>
              <w:right w:w="750" w:type="dxa"/>
            </w:tcMar>
            <w:hideMark/>
          </w:tcPr>
          <w:p w14:paraId="2E6E4606" w14:textId="142FA1A7" w:rsidR="004F2481" w:rsidRPr="003643AB" w:rsidRDefault="004F2481" w:rsidP="00B44F37">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 2022</w:t>
            </w:r>
            <w:r>
              <w:rPr>
                <w:rFonts w:ascii="Arial" w:eastAsia="Times New Roman" w:hAnsi="Arial" w:cs="Arial"/>
                <w:color w:val="333333"/>
                <w:sz w:val="20"/>
                <w:szCs w:val="20"/>
                <w:lang w:eastAsia="en-AU"/>
              </w:rPr>
              <w:t xml:space="preserve"> Baseline - 16</w:t>
            </w:r>
            <w:r w:rsidRPr="003643AB">
              <w:rPr>
                <w:rFonts w:ascii="Arial" w:eastAsia="Times New Roman" w:hAnsi="Arial" w:cs="Arial"/>
                <w:color w:val="333333"/>
                <w:sz w:val="20"/>
                <w:szCs w:val="20"/>
                <w:lang w:eastAsia="en-AU"/>
              </w:rPr>
              <w:t>%</w:t>
            </w:r>
          </w:p>
        </w:tc>
        <w:tc>
          <w:tcPr>
            <w:tcW w:w="2834" w:type="dxa"/>
            <w:tcBorders>
              <w:top w:val="single" w:sz="2" w:space="0" w:color="FFFFFF"/>
              <w:left w:val="single" w:sz="6" w:space="0" w:color="FFFFFF"/>
              <w:bottom w:val="single" w:sz="2" w:space="0" w:color="FFFFFF"/>
              <w:right w:val="single" w:sz="6" w:space="0" w:color="FFFFFF"/>
            </w:tcBorders>
            <w:shd w:val="clear" w:color="auto" w:fill="FFFFFF"/>
            <w:tcMar>
              <w:top w:w="390" w:type="dxa"/>
              <w:left w:w="0" w:type="dxa"/>
              <w:bottom w:w="390" w:type="dxa"/>
              <w:right w:w="750" w:type="dxa"/>
            </w:tcMar>
            <w:hideMark/>
          </w:tcPr>
          <w:p w14:paraId="57812866" w14:textId="2FAEEB0D" w:rsidR="004F2481" w:rsidRPr="003643AB" w:rsidRDefault="004F2481" w:rsidP="00B44F37">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2024</w:t>
            </w:r>
            <w:r>
              <w:rPr>
                <w:rFonts w:ascii="Arial" w:eastAsia="Times New Roman" w:hAnsi="Arial" w:cs="Arial"/>
                <w:color w:val="333333"/>
                <w:sz w:val="20"/>
                <w:szCs w:val="20"/>
                <w:lang w:eastAsia="en-AU"/>
              </w:rPr>
              <w:t xml:space="preserve"> </w:t>
            </w: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w:t>
            </w:r>
            <w:r w:rsidR="00A25D42">
              <w:rPr>
                <w:rFonts w:ascii="Arial" w:eastAsia="Times New Roman" w:hAnsi="Arial" w:cs="Arial"/>
                <w:color w:val="333333"/>
                <w:sz w:val="20"/>
                <w:szCs w:val="20"/>
                <w:lang w:eastAsia="en-AU"/>
              </w:rPr>
              <w:t xml:space="preserve">- </w:t>
            </w:r>
            <w:r>
              <w:rPr>
                <w:rFonts w:ascii="Arial" w:eastAsia="Times New Roman" w:hAnsi="Arial" w:cs="Arial"/>
                <w:color w:val="333333"/>
                <w:sz w:val="20"/>
                <w:szCs w:val="20"/>
                <w:lang w:eastAsia="en-AU"/>
              </w:rPr>
              <w:t>60</w:t>
            </w:r>
            <w:r w:rsidRPr="003643AB">
              <w:rPr>
                <w:rFonts w:ascii="Arial" w:eastAsia="Times New Roman" w:hAnsi="Arial" w:cs="Arial"/>
                <w:color w:val="333333"/>
                <w:sz w:val="20"/>
                <w:szCs w:val="20"/>
                <w:lang w:eastAsia="en-AU"/>
              </w:rPr>
              <w:t>%</w:t>
            </w:r>
          </w:p>
        </w:tc>
        <w:tc>
          <w:tcPr>
            <w:tcW w:w="3245" w:type="dxa"/>
            <w:tcBorders>
              <w:top w:val="single" w:sz="2" w:space="0" w:color="FFFFFF"/>
              <w:left w:val="single" w:sz="6" w:space="0" w:color="FFFFFF"/>
              <w:bottom w:val="single" w:sz="2" w:space="0" w:color="FFFFFF"/>
              <w:right w:val="nil"/>
            </w:tcBorders>
            <w:shd w:val="clear" w:color="auto" w:fill="FFFFFF"/>
            <w:tcMar>
              <w:top w:w="390" w:type="dxa"/>
              <w:left w:w="0" w:type="dxa"/>
              <w:bottom w:w="390" w:type="dxa"/>
              <w:right w:w="750" w:type="dxa"/>
            </w:tcMar>
            <w:hideMark/>
          </w:tcPr>
          <w:p w14:paraId="10F7B131" w14:textId="620DEFD6" w:rsidR="004F2481" w:rsidRPr="003643AB" w:rsidRDefault="004F2481" w:rsidP="00B44F37">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2027</w:t>
            </w:r>
            <w:r>
              <w:rPr>
                <w:rFonts w:ascii="Arial" w:eastAsia="Times New Roman" w:hAnsi="Arial" w:cs="Arial"/>
                <w:color w:val="333333"/>
                <w:sz w:val="20"/>
                <w:szCs w:val="20"/>
                <w:lang w:eastAsia="en-AU"/>
              </w:rPr>
              <w:t xml:space="preserve"> </w:t>
            </w: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w:t>
            </w:r>
            <w:r w:rsidR="00A25D42">
              <w:rPr>
                <w:rFonts w:ascii="Arial" w:eastAsia="Times New Roman" w:hAnsi="Arial" w:cs="Arial"/>
                <w:color w:val="333333"/>
                <w:sz w:val="20"/>
                <w:szCs w:val="20"/>
                <w:lang w:eastAsia="en-AU"/>
              </w:rPr>
              <w:t>-</w:t>
            </w:r>
            <w:r>
              <w:rPr>
                <w:rFonts w:ascii="Arial" w:eastAsia="Times New Roman" w:hAnsi="Arial" w:cs="Arial"/>
                <w:color w:val="333333"/>
                <w:sz w:val="20"/>
                <w:szCs w:val="20"/>
                <w:lang w:eastAsia="en-AU"/>
              </w:rPr>
              <w:t xml:space="preserve"> 80</w:t>
            </w:r>
            <w:r w:rsidRPr="003643AB">
              <w:rPr>
                <w:rFonts w:ascii="Arial" w:eastAsia="Times New Roman" w:hAnsi="Arial" w:cs="Arial"/>
                <w:color w:val="333333"/>
                <w:sz w:val="20"/>
                <w:szCs w:val="20"/>
                <w:lang w:eastAsia="en-AU"/>
              </w:rPr>
              <w:t>%</w:t>
            </w:r>
          </w:p>
        </w:tc>
      </w:tr>
    </w:tbl>
    <w:p w14:paraId="5C2418CD" w14:textId="74962354" w:rsidR="00A1428B" w:rsidRDefault="00A1428B" w:rsidP="001A21A8">
      <w:pPr>
        <w:spacing w:after="0" w:line="240" w:lineRule="auto"/>
        <w:rPr>
          <w:rFonts w:ascii="Arial" w:eastAsia="Times New Roman" w:hAnsi="Arial" w:cs="Arial"/>
          <w:b/>
          <w:bCs/>
          <w:color w:val="333333"/>
          <w:sz w:val="20"/>
          <w:szCs w:val="20"/>
          <w:vertAlign w:val="superscript"/>
          <w:lang w:eastAsia="en-AU"/>
        </w:rPr>
      </w:pPr>
      <w:r w:rsidRPr="00830FD3">
        <w:rPr>
          <w:rFonts w:ascii="Arial" w:eastAsia="Times New Roman" w:hAnsi="Arial" w:cs="Arial"/>
          <w:b/>
          <w:bCs/>
          <w:color w:val="333333"/>
          <w:sz w:val="20"/>
          <w:szCs w:val="20"/>
          <w:lang w:eastAsia="en-AU"/>
        </w:rPr>
        <w:lastRenderedPageBreak/>
        <w:t>Percentage of the Victorian community that are aware of EPA</w:t>
      </w:r>
      <w:r w:rsidRPr="00830FD3">
        <w:rPr>
          <w:rFonts w:ascii="Arial" w:eastAsia="Times New Roman" w:hAnsi="Arial" w:cs="Arial"/>
          <w:b/>
          <w:bCs/>
          <w:color w:val="333333"/>
          <w:sz w:val="20"/>
          <w:szCs w:val="20"/>
          <w:vertAlign w:val="superscript"/>
          <w:lang w:eastAsia="en-AU"/>
        </w:rPr>
        <w:t>8</w:t>
      </w:r>
    </w:p>
    <w:tbl>
      <w:tblPr>
        <w:tblW w:w="8915" w:type="dxa"/>
        <w:tblCellMar>
          <w:top w:w="15" w:type="dxa"/>
          <w:left w:w="15" w:type="dxa"/>
          <w:bottom w:w="15" w:type="dxa"/>
          <w:right w:w="15" w:type="dxa"/>
        </w:tblCellMar>
        <w:tblLook w:val="04A0" w:firstRow="1" w:lastRow="0" w:firstColumn="1" w:lastColumn="0" w:noHBand="0" w:noVBand="1"/>
      </w:tblPr>
      <w:tblGrid>
        <w:gridCol w:w="2835"/>
        <w:gridCol w:w="3165"/>
        <w:gridCol w:w="2915"/>
      </w:tblGrid>
      <w:tr w:rsidR="004F2481" w:rsidRPr="003643AB" w14:paraId="5A726219" w14:textId="77777777" w:rsidTr="004F2481">
        <w:tc>
          <w:tcPr>
            <w:tcW w:w="2835" w:type="dxa"/>
            <w:tcBorders>
              <w:top w:val="single" w:sz="2" w:space="0" w:color="FFFFFF"/>
              <w:left w:val="nil"/>
              <w:bottom w:val="single" w:sz="2" w:space="0" w:color="FFFFFF"/>
              <w:right w:val="single" w:sz="6" w:space="0" w:color="FFFFFF"/>
            </w:tcBorders>
            <w:shd w:val="clear" w:color="auto" w:fill="FFFFFF"/>
            <w:tcMar>
              <w:top w:w="390" w:type="dxa"/>
              <w:left w:w="0" w:type="dxa"/>
              <w:bottom w:w="390" w:type="dxa"/>
              <w:right w:w="750" w:type="dxa"/>
            </w:tcMar>
            <w:hideMark/>
          </w:tcPr>
          <w:p w14:paraId="3E2880E6" w14:textId="40A20EE2" w:rsidR="004F2481" w:rsidRPr="003643AB" w:rsidRDefault="004F2481" w:rsidP="00B44F37">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 2022</w:t>
            </w:r>
            <w:r>
              <w:rPr>
                <w:rFonts w:ascii="Arial" w:eastAsia="Times New Roman" w:hAnsi="Arial" w:cs="Arial"/>
                <w:color w:val="333333"/>
                <w:sz w:val="20"/>
                <w:szCs w:val="20"/>
                <w:lang w:eastAsia="en-AU"/>
              </w:rPr>
              <w:t xml:space="preserve"> Baseline - 56</w:t>
            </w:r>
            <w:r w:rsidRPr="003643AB">
              <w:rPr>
                <w:rFonts w:ascii="Arial" w:eastAsia="Times New Roman" w:hAnsi="Arial" w:cs="Arial"/>
                <w:color w:val="333333"/>
                <w:sz w:val="20"/>
                <w:szCs w:val="20"/>
                <w:lang w:eastAsia="en-AU"/>
              </w:rPr>
              <w:t>%</w:t>
            </w:r>
          </w:p>
        </w:tc>
        <w:tc>
          <w:tcPr>
            <w:tcW w:w="3165" w:type="dxa"/>
            <w:tcBorders>
              <w:top w:val="single" w:sz="2" w:space="0" w:color="FFFFFF"/>
              <w:left w:val="single" w:sz="6" w:space="0" w:color="FFFFFF"/>
              <w:bottom w:val="single" w:sz="2" w:space="0" w:color="FFFFFF"/>
              <w:right w:val="single" w:sz="6" w:space="0" w:color="FFFFFF"/>
            </w:tcBorders>
            <w:shd w:val="clear" w:color="auto" w:fill="FFFFFF"/>
            <w:tcMar>
              <w:top w:w="390" w:type="dxa"/>
              <w:left w:w="0" w:type="dxa"/>
              <w:bottom w:w="390" w:type="dxa"/>
              <w:right w:w="750" w:type="dxa"/>
            </w:tcMar>
            <w:hideMark/>
          </w:tcPr>
          <w:p w14:paraId="32E5D2D2" w14:textId="593FFAB4" w:rsidR="004F2481" w:rsidRPr="003643AB" w:rsidRDefault="004F2481" w:rsidP="00B44F37">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2024</w:t>
            </w:r>
            <w:r>
              <w:rPr>
                <w:rFonts w:ascii="Arial" w:eastAsia="Times New Roman" w:hAnsi="Arial" w:cs="Arial"/>
                <w:color w:val="333333"/>
                <w:sz w:val="20"/>
                <w:szCs w:val="20"/>
                <w:lang w:eastAsia="en-AU"/>
              </w:rPr>
              <w:t xml:space="preserve"> </w:t>
            </w: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w:t>
            </w:r>
            <w:r w:rsidR="00A25D42">
              <w:rPr>
                <w:rFonts w:ascii="Arial" w:eastAsia="Times New Roman" w:hAnsi="Arial" w:cs="Arial"/>
                <w:color w:val="333333"/>
                <w:sz w:val="20"/>
                <w:szCs w:val="20"/>
                <w:lang w:eastAsia="en-AU"/>
              </w:rPr>
              <w:t>-</w:t>
            </w:r>
            <w:r>
              <w:rPr>
                <w:rFonts w:ascii="Arial" w:eastAsia="Times New Roman" w:hAnsi="Arial" w:cs="Arial"/>
                <w:color w:val="333333"/>
                <w:sz w:val="20"/>
                <w:szCs w:val="20"/>
                <w:lang w:eastAsia="en-AU"/>
              </w:rPr>
              <w:t xml:space="preserve"> 75</w:t>
            </w:r>
            <w:r w:rsidRPr="003643AB">
              <w:rPr>
                <w:rFonts w:ascii="Arial" w:eastAsia="Times New Roman" w:hAnsi="Arial" w:cs="Arial"/>
                <w:color w:val="333333"/>
                <w:sz w:val="20"/>
                <w:szCs w:val="20"/>
                <w:lang w:eastAsia="en-AU"/>
              </w:rPr>
              <w:t>%</w:t>
            </w:r>
          </w:p>
        </w:tc>
        <w:tc>
          <w:tcPr>
            <w:tcW w:w="0" w:type="auto"/>
            <w:tcBorders>
              <w:top w:val="single" w:sz="2" w:space="0" w:color="FFFFFF"/>
              <w:left w:val="single" w:sz="6" w:space="0" w:color="FFFFFF"/>
              <w:bottom w:val="single" w:sz="2" w:space="0" w:color="FFFFFF"/>
              <w:right w:val="nil"/>
            </w:tcBorders>
            <w:shd w:val="clear" w:color="auto" w:fill="FFFFFF"/>
            <w:tcMar>
              <w:top w:w="390" w:type="dxa"/>
              <w:left w:w="0" w:type="dxa"/>
              <w:bottom w:w="390" w:type="dxa"/>
              <w:right w:w="750" w:type="dxa"/>
            </w:tcMar>
            <w:hideMark/>
          </w:tcPr>
          <w:p w14:paraId="35D57EE8" w14:textId="39729A2A" w:rsidR="004F2481" w:rsidRPr="003643AB" w:rsidRDefault="004F2481" w:rsidP="00B44F37">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2027</w:t>
            </w:r>
            <w:r>
              <w:rPr>
                <w:rFonts w:ascii="Arial" w:eastAsia="Times New Roman" w:hAnsi="Arial" w:cs="Arial"/>
                <w:color w:val="333333"/>
                <w:sz w:val="20"/>
                <w:szCs w:val="20"/>
                <w:lang w:eastAsia="en-AU"/>
              </w:rPr>
              <w:t xml:space="preserve"> </w:t>
            </w: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w:t>
            </w:r>
            <w:r w:rsidR="00A25D42">
              <w:rPr>
                <w:rFonts w:ascii="Arial" w:eastAsia="Times New Roman" w:hAnsi="Arial" w:cs="Arial"/>
                <w:color w:val="333333"/>
                <w:sz w:val="20"/>
                <w:szCs w:val="20"/>
                <w:lang w:eastAsia="en-AU"/>
              </w:rPr>
              <w:t>-</w:t>
            </w:r>
            <w:r>
              <w:rPr>
                <w:rFonts w:ascii="Arial" w:eastAsia="Times New Roman" w:hAnsi="Arial" w:cs="Arial"/>
                <w:color w:val="333333"/>
                <w:sz w:val="20"/>
                <w:szCs w:val="20"/>
                <w:lang w:eastAsia="en-AU"/>
              </w:rPr>
              <w:t xml:space="preserve"> 95</w:t>
            </w:r>
            <w:r w:rsidRPr="003643AB">
              <w:rPr>
                <w:rFonts w:ascii="Arial" w:eastAsia="Times New Roman" w:hAnsi="Arial" w:cs="Arial"/>
                <w:color w:val="333333"/>
                <w:sz w:val="20"/>
                <w:szCs w:val="20"/>
                <w:lang w:eastAsia="en-AU"/>
              </w:rPr>
              <w:t>%</w:t>
            </w:r>
          </w:p>
        </w:tc>
      </w:tr>
    </w:tbl>
    <w:p w14:paraId="12EEA3D7" w14:textId="05CE817B" w:rsidR="00A1428B" w:rsidRDefault="00A1428B" w:rsidP="001A21A8">
      <w:pPr>
        <w:spacing w:after="0" w:line="240" w:lineRule="auto"/>
        <w:rPr>
          <w:rFonts w:ascii="Arial" w:eastAsia="Times New Roman" w:hAnsi="Arial" w:cs="Arial"/>
          <w:b/>
          <w:bCs/>
          <w:color w:val="333333"/>
          <w:sz w:val="20"/>
          <w:szCs w:val="20"/>
          <w:vertAlign w:val="superscript"/>
          <w:lang w:eastAsia="en-AU"/>
        </w:rPr>
      </w:pPr>
      <w:r w:rsidRPr="00830FD3">
        <w:rPr>
          <w:rFonts w:ascii="Arial" w:eastAsia="Times New Roman" w:hAnsi="Arial" w:cs="Arial"/>
          <w:b/>
          <w:bCs/>
          <w:color w:val="333333"/>
          <w:sz w:val="20"/>
          <w:szCs w:val="20"/>
          <w:lang w:eastAsia="en-AU"/>
        </w:rPr>
        <w:t>Percentage of the Victorian community that trust EPA</w:t>
      </w:r>
      <w:r w:rsidRPr="00830FD3">
        <w:rPr>
          <w:rFonts w:ascii="Arial" w:eastAsia="Times New Roman" w:hAnsi="Arial" w:cs="Arial"/>
          <w:b/>
          <w:bCs/>
          <w:color w:val="333333"/>
          <w:sz w:val="20"/>
          <w:szCs w:val="20"/>
          <w:vertAlign w:val="superscript"/>
          <w:lang w:eastAsia="en-AU"/>
        </w:rPr>
        <w:t>9</w:t>
      </w:r>
    </w:p>
    <w:tbl>
      <w:tblPr>
        <w:tblW w:w="8915" w:type="dxa"/>
        <w:tblCellMar>
          <w:top w:w="15" w:type="dxa"/>
          <w:left w:w="15" w:type="dxa"/>
          <w:bottom w:w="15" w:type="dxa"/>
          <w:right w:w="15" w:type="dxa"/>
        </w:tblCellMar>
        <w:tblLook w:val="04A0" w:firstRow="1" w:lastRow="0" w:firstColumn="1" w:lastColumn="0" w:noHBand="0" w:noVBand="1"/>
      </w:tblPr>
      <w:tblGrid>
        <w:gridCol w:w="2835"/>
        <w:gridCol w:w="3119"/>
        <w:gridCol w:w="2961"/>
      </w:tblGrid>
      <w:tr w:rsidR="00A25D42" w:rsidRPr="003643AB" w14:paraId="08EFAFC1" w14:textId="77777777" w:rsidTr="00A25D42">
        <w:tc>
          <w:tcPr>
            <w:tcW w:w="2835" w:type="dxa"/>
            <w:tcBorders>
              <w:top w:val="single" w:sz="2" w:space="0" w:color="FFFFFF"/>
              <w:left w:val="nil"/>
              <w:bottom w:val="single" w:sz="2" w:space="0" w:color="FFFFFF"/>
              <w:right w:val="single" w:sz="6" w:space="0" w:color="FFFFFF"/>
            </w:tcBorders>
            <w:shd w:val="clear" w:color="auto" w:fill="FFFFFF"/>
            <w:tcMar>
              <w:top w:w="390" w:type="dxa"/>
              <w:left w:w="0" w:type="dxa"/>
              <w:bottom w:w="390" w:type="dxa"/>
              <w:right w:w="750" w:type="dxa"/>
            </w:tcMar>
            <w:hideMark/>
          </w:tcPr>
          <w:p w14:paraId="55C930D8" w14:textId="55FDE803" w:rsidR="00A25D42" w:rsidRPr="003643AB" w:rsidRDefault="00A25D42" w:rsidP="00B44F37">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 2022</w:t>
            </w:r>
            <w:r>
              <w:rPr>
                <w:rFonts w:ascii="Arial" w:eastAsia="Times New Roman" w:hAnsi="Arial" w:cs="Arial"/>
                <w:color w:val="333333"/>
                <w:sz w:val="20"/>
                <w:szCs w:val="20"/>
                <w:lang w:eastAsia="en-AU"/>
              </w:rPr>
              <w:t xml:space="preserve"> Baseline - 51</w:t>
            </w:r>
            <w:r w:rsidRPr="003643AB">
              <w:rPr>
                <w:rFonts w:ascii="Arial" w:eastAsia="Times New Roman" w:hAnsi="Arial" w:cs="Arial"/>
                <w:color w:val="333333"/>
                <w:sz w:val="20"/>
                <w:szCs w:val="20"/>
                <w:lang w:eastAsia="en-AU"/>
              </w:rPr>
              <w:t>%</w:t>
            </w:r>
          </w:p>
        </w:tc>
        <w:tc>
          <w:tcPr>
            <w:tcW w:w="3119" w:type="dxa"/>
            <w:tcBorders>
              <w:top w:val="single" w:sz="2" w:space="0" w:color="FFFFFF"/>
              <w:left w:val="single" w:sz="6" w:space="0" w:color="FFFFFF"/>
              <w:bottom w:val="single" w:sz="2" w:space="0" w:color="FFFFFF"/>
              <w:right w:val="single" w:sz="6" w:space="0" w:color="FFFFFF"/>
            </w:tcBorders>
            <w:shd w:val="clear" w:color="auto" w:fill="FFFFFF"/>
            <w:tcMar>
              <w:top w:w="390" w:type="dxa"/>
              <w:left w:w="0" w:type="dxa"/>
              <w:bottom w:w="390" w:type="dxa"/>
              <w:right w:w="750" w:type="dxa"/>
            </w:tcMar>
            <w:hideMark/>
          </w:tcPr>
          <w:p w14:paraId="2263B4BF" w14:textId="66E27CDE" w:rsidR="00A25D42" w:rsidRPr="003643AB" w:rsidRDefault="00A25D42" w:rsidP="00B44F37">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2024</w:t>
            </w:r>
            <w:r>
              <w:rPr>
                <w:rFonts w:ascii="Arial" w:eastAsia="Times New Roman" w:hAnsi="Arial" w:cs="Arial"/>
                <w:color w:val="333333"/>
                <w:sz w:val="20"/>
                <w:szCs w:val="20"/>
                <w:lang w:eastAsia="en-AU"/>
              </w:rPr>
              <w:t xml:space="preserve"> </w:t>
            </w: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- 70</w:t>
            </w:r>
            <w:r w:rsidRPr="003643AB">
              <w:rPr>
                <w:rFonts w:ascii="Arial" w:eastAsia="Times New Roman" w:hAnsi="Arial" w:cs="Arial"/>
                <w:color w:val="333333"/>
                <w:sz w:val="20"/>
                <w:szCs w:val="20"/>
                <w:lang w:eastAsia="en-AU"/>
              </w:rPr>
              <w:t>%</w:t>
            </w:r>
          </w:p>
        </w:tc>
        <w:tc>
          <w:tcPr>
            <w:tcW w:w="2961" w:type="dxa"/>
            <w:tcBorders>
              <w:top w:val="single" w:sz="2" w:space="0" w:color="FFFFFF"/>
              <w:left w:val="single" w:sz="6" w:space="0" w:color="FFFFFF"/>
              <w:bottom w:val="single" w:sz="2" w:space="0" w:color="FFFFFF"/>
              <w:right w:val="nil"/>
            </w:tcBorders>
            <w:shd w:val="clear" w:color="auto" w:fill="FFFFFF"/>
            <w:tcMar>
              <w:top w:w="390" w:type="dxa"/>
              <w:left w:w="0" w:type="dxa"/>
              <w:bottom w:w="390" w:type="dxa"/>
              <w:right w:w="750" w:type="dxa"/>
            </w:tcMar>
            <w:hideMark/>
          </w:tcPr>
          <w:p w14:paraId="6619DAE7" w14:textId="713C18C2" w:rsidR="00A25D42" w:rsidRPr="003643AB" w:rsidRDefault="00A25D42" w:rsidP="00B44F37">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2027</w:t>
            </w:r>
            <w:r>
              <w:rPr>
                <w:rFonts w:ascii="Arial" w:eastAsia="Times New Roman" w:hAnsi="Arial" w:cs="Arial"/>
                <w:color w:val="333333"/>
                <w:sz w:val="20"/>
                <w:szCs w:val="20"/>
                <w:lang w:eastAsia="en-AU"/>
              </w:rPr>
              <w:t xml:space="preserve"> </w:t>
            </w: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- 90</w:t>
            </w:r>
            <w:r w:rsidRPr="003643AB">
              <w:rPr>
                <w:rFonts w:ascii="Arial" w:eastAsia="Times New Roman" w:hAnsi="Arial" w:cs="Arial"/>
                <w:color w:val="333333"/>
                <w:sz w:val="20"/>
                <w:szCs w:val="20"/>
                <w:lang w:eastAsia="en-AU"/>
              </w:rPr>
              <w:t>%</w:t>
            </w:r>
          </w:p>
        </w:tc>
      </w:tr>
    </w:tbl>
    <w:p w14:paraId="6934AFCB" w14:textId="4C92E9B0" w:rsidR="00A1428B" w:rsidRDefault="00A1428B" w:rsidP="001A21A8">
      <w:pPr>
        <w:spacing w:after="0" w:line="240" w:lineRule="auto"/>
        <w:rPr>
          <w:rFonts w:ascii="Arial" w:eastAsia="Times New Roman" w:hAnsi="Arial" w:cs="Arial"/>
          <w:b/>
          <w:bCs/>
          <w:color w:val="333333"/>
          <w:sz w:val="20"/>
          <w:szCs w:val="20"/>
          <w:vertAlign w:val="superscript"/>
          <w:lang w:eastAsia="en-AU"/>
        </w:rPr>
      </w:pPr>
      <w:r w:rsidRPr="00830FD3">
        <w:rPr>
          <w:rFonts w:ascii="Arial" w:eastAsia="Times New Roman" w:hAnsi="Arial" w:cs="Arial"/>
          <w:b/>
          <w:bCs/>
          <w:color w:val="333333"/>
          <w:sz w:val="20"/>
          <w:szCs w:val="20"/>
          <w:lang w:eastAsia="en-AU"/>
        </w:rPr>
        <w:t>Number of citations of EPA science</w:t>
      </w:r>
      <w:r w:rsidRPr="00830FD3">
        <w:rPr>
          <w:rFonts w:ascii="Arial" w:eastAsia="Times New Roman" w:hAnsi="Arial" w:cs="Arial"/>
          <w:b/>
          <w:bCs/>
          <w:color w:val="333333"/>
          <w:sz w:val="20"/>
          <w:szCs w:val="20"/>
          <w:vertAlign w:val="superscript"/>
          <w:lang w:eastAsia="en-AU"/>
        </w:rPr>
        <w:t>10</w:t>
      </w:r>
    </w:p>
    <w:tbl>
      <w:tblPr>
        <w:tblW w:w="8915" w:type="dxa"/>
        <w:tblCellMar>
          <w:top w:w="15" w:type="dxa"/>
          <w:left w:w="15" w:type="dxa"/>
          <w:bottom w:w="15" w:type="dxa"/>
          <w:right w:w="15" w:type="dxa"/>
        </w:tblCellMar>
        <w:tblLook w:val="04A0" w:firstRow="1" w:lastRow="0" w:firstColumn="1" w:lastColumn="0" w:noHBand="0" w:noVBand="1"/>
      </w:tblPr>
      <w:tblGrid>
        <w:gridCol w:w="2835"/>
        <w:gridCol w:w="3100"/>
        <w:gridCol w:w="2980"/>
      </w:tblGrid>
      <w:tr w:rsidR="00A25D42" w:rsidRPr="003643AB" w14:paraId="78F7382E" w14:textId="77777777" w:rsidTr="00A25D42">
        <w:tc>
          <w:tcPr>
            <w:tcW w:w="2835" w:type="dxa"/>
            <w:tcBorders>
              <w:top w:val="single" w:sz="2" w:space="0" w:color="FFFFFF"/>
              <w:left w:val="nil"/>
              <w:bottom w:val="single" w:sz="2" w:space="0" w:color="FFFFFF"/>
              <w:right w:val="single" w:sz="6" w:space="0" w:color="FFFFFF"/>
            </w:tcBorders>
            <w:shd w:val="clear" w:color="auto" w:fill="FFFFFF"/>
            <w:tcMar>
              <w:top w:w="390" w:type="dxa"/>
              <w:left w:w="0" w:type="dxa"/>
              <w:bottom w:w="390" w:type="dxa"/>
              <w:right w:w="750" w:type="dxa"/>
            </w:tcMar>
            <w:hideMark/>
          </w:tcPr>
          <w:p w14:paraId="37AB850D" w14:textId="125C50B8" w:rsidR="00A25D42" w:rsidRPr="003643AB" w:rsidRDefault="00A25D42" w:rsidP="00B44F37">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 2022</w:t>
            </w:r>
            <w:r>
              <w:rPr>
                <w:rFonts w:ascii="Arial" w:eastAsia="Times New Roman" w:hAnsi="Arial" w:cs="Arial"/>
                <w:color w:val="333333"/>
                <w:sz w:val="20"/>
                <w:szCs w:val="20"/>
                <w:lang w:eastAsia="en-AU"/>
              </w:rPr>
              <w:t xml:space="preserve"> Baseline - 850</w:t>
            </w:r>
          </w:p>
        </w:tc>
        <w:tc>
          <w:tcPr>
            <w:tcW w:w="3100" w:type="dxa"/>
            <w:tcBorders>
              <w:top w:val="single" w:sz="2" w:space="0" w:color="FFFFFF"/>
              <w:left w:val="single" w:sz="6" w:space="0" w:color="FFFFFF"/>
              <w:bottom w:val="single" w:sz="2" w:space="0" w:color="FFFFFF"/>
              <w:right w:val="single" w:sz="6" w:space="0" w:color="FFFFFF"/>
            </w:tcBorders>
            <w:shd w:val="clear" w:color="auto" w:fill="FFFFFF"/>
            <w:tcMar>
              <w:top w:w="390" w:type="dxa"/>
              <w:left w:w="0" w:type="dxa"/>
              <w:bottom w:w="390" w:type="dxa"/>
              <w:right w:w="750" w:type="dxa"/>
            </w:tcMar>
            <w:hideMark/>
          </w:tcPr>
          <w:p w14:paraId="4A1C19F7" w14:textId="07B37031" w:rsidR="00A25D42" w:rsidRPr="003643AB" w:rsidRDefault="00A25D42" w:rsidP="00B44F37">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2024</w:t>
            </w:r>
            <w:r>
              <w:rPr>
                <w:rFonts w:ascii="Arial" w:eastAsia="Times New Roman" w:hAnsi="Arial" w:cs="Arial"/>
                <w:color w:val="333333"/>
                <w:sz w:val="20"/>
                <w:szCs w:val="20"/>
                <w:lang w:eastAsia="en-AU"/>
              </w:rPr>
              <w:t xml:space="preserve"> </w:t>
            </w: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- 935</w:t>
            </w:r>
          </w:p>
        </w:tc>
        <w:tc>
          <w:tcPr>
            <w:tcW w:w="0" w:type="auto"/>
            <w:tcBorders>
              <w:top w:val="single" w:sz="2" w:space="0" w:color="FFFFFF"/>
              <w:left w:val="single" w:sz="6" w:space="0" w:color="FFFFFF"/>
              <w:bottom w:val="single" w:sz="2" w:space="0" w:color="FFFFFF"/>
              <w:right w:val="nil"/>
            </w:tcBorders>
            <w:shd w:val="clear" w:color="auto" w:fill="FFFFFF"/>
            <w:tcMar>
              <w:top w:w="390" w:type="dxa"/>
              <w:left w:w="0" w:type="dxa"/>
              <w:bottom w:w="390" w:type="dxa"/>
              <w:right w:w="750" w:type="dxa"/>
            </w:tcMar>
            <w:hideMark/>
          </w:tcPr>
          <w:p w14:paraId="331CF531" w14:textId="01497C52" w:rsidR="00A25D42" w:rsidRPr="003643AB" w:rsidRDefault="00A25D42" w:rsidP="00B44F37">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2027</w:t>
            </w:r>
            <w:r>
              <w:rPr>
                <w:rFonts w:ascii="Arial" w:eastAsia="Times New Roman" w:hAnsi="Arial" w:cs="Arial"/>
                <w:color w:val="333333"/>
                <w:sz w:val="20"/>
                <w:szCs w:val="20"/>
                <w:lang w:eastAsia="en-AU"/>
              </w:rPr>
              <w:t xml:space="preserve"> </w:t>
            </w: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- 1275</w:t>
            </w:r>
          </w:p>
        </w:tc>
      </w:tr>
    </w:tbl>
    <w:p w14:paraId="21D7F449" w14:textId="77777777" w:rsidR="00A1428B" w:rsidRPr="00F5071C" w:rsidRDefault="00A1428B" w:rsidP="00A1428B">
      <w:pPr>
        <w:spacing w:before="600" w:after="225" w:line="540" w:lineRule="atLeast"/>
        <w:outlineLvl w:val="2"/>
        <w:rPr>
          <w:rFonts w:ascii="Arial" w:eastAsia="Times New Roman" w:hAnsi="Arial" w:cs="Arial"/>
          <w:b/>
          <w:bCs/>
          <w:color w:val="111111"/>
          <w:sz w:val="30"/>
          <w:szCs w:val="30"/>
          <w:lang w:eastAsia="en-AU"/>
        </w:rPr>
      </w:pPr>
      <w:r w:rsidRPr="00F5071C">
        <w:rPr>
          <w:rFonts w:ascii="Arial" w:eastAsia="Times New Roman" w:hAnsi="Arial" w:cs="Arial"/>
          <w:b/>
          <w:bCs/>
          <w:color w:val="111111"/>
          <w:sz w:val="30"/>
          <w:szCs w:val="30"/>
          <w:lang w:eastAsia="en-AU"/>
        </w:rPr>
        <w:t>Notes</w:t>
      </w:r>
    </w:p>
    <w:p w14:paraId="74C35BB3" w14:textId="77777777" w:rsidR="00A1428B" w:rsidRPr="00F5071C" w:rsidRDefault="00A1428B" w:rsidP="00A1428B">
      <w:pPr>
        <w:numPr>
          <w:ilvl w:val="0"/>
          <w:numId w:val="6"/>
        </w:numPr>
        <w:spacing w:after="100" w:afterAutospacing="1" w:line="240" w:lineRule="auto"/>
        <w:rPr>
          <w:rFonts w:ascii="Arial" w:eastAsia="Times New Roman" w:hAnsi="Arial" w:cs="Arial"/>
          <w:color w:val="333333"/>
          <w:sz w:val="16"/>
          <w:szCs w:val="16"/>
          <w:lang w:eastAsia="en-AU"/>
        </w:rPr>
      </w:pPr>
      <w:r w:rsidRPr="00F5071C">
        <w:rPr>
          <w:rFonts w:ascii="Arial" w:eastAsia="Times New Roman" w:hAnsi="Arial" w:cs="Arial"/>
          <w:color w:val="333333"/>
          <w:sz w:val="16"/>
          <w:szCs w:val="16"/>
          <w:lang w:eastAsia="en-AU"/>
        </w:rPr>
        <w:t>Maximum concentration standards are defined in the National Environmental Protection (Ambient Air Quality) Measure. Measured by EPA’s general condition monitors and local condition monitors and excludes incident air monitors which are set up to respond to a major pollution event.</w:t>
      </w:r>
    </w:p>
    <w:p w14:paraId="05A1D14D" w14:textId="77777777" w:rsidR="00A1428B" w:rsidRPr="00F5071C" w:rsidRDefault="00A1428B" w:rsidP="00A1428B">
      <w:pPr>
        <w:numPr>
          <w:ilvl w:val="0"/>
          <w:numId w:val="6"/>
        </w:numPr>
        <w:spacing w:before="150" w:after="100" w:afterAutospacing="1" w:line="240" w:lineRule="auto"/>
        <w:rPr>
          <w:rFonts w:ascii="Arial" w:eastAsia="Times New Roman" w:hAnsi="Arial" w:cs="Arial"/>
          <w:color w:val="333333"/>
          <w:sz w:val="16"/>
          <w:szCs w:val="16"/>
          <w:lang w:eastAsia="en-AU"/>
        </w:rPr>
      </w:pPr>
      <w:r w:rsidRPr="00F5071C">
        <w:rPr>
          <w:rFonts w:ascii="Arial" w:eastAsia="Times New Roman" w:hAnsi="Arial" w:cs="Arial"/>
          <w:color w:val="333333"/>
          <w:sz w:val="16"/>
          <w:szCs w:val="16"/>
          <w:lang w:eastAsia="en-AU"/>
        </w:rPr>
        <w:t>Based on measurements undertaken at 36 monitoring sites in Port Phillip Bay in ‘dry weather’. Long-term microbial water quality standards are defined in the Environmental Reference Standard and are for primary contact recreation.</w:t>
      </w:r>
    </w:p>
    <w:p w14:paraId="2BE72069" w14:textId="77777777" w:rsidR="00A1428B" w:rsidRPr="00F5071C" w:rsidRDefault="00A1428B" w:rsidP="00A1428B">
      <w:pPr>
        <w:numPr>
          <w:ilvl w:val="0"/>
          <w:numId w:val="6"/>
        </w:numPr>
        <w:spacing w:before="150" w:after="100" w:afterAutospacing="1" w:line="240" w:lineRule="auto"/>
        <w:rPr>
          <w:rFonts w:ascii="Arial" w:eastAsia="Times New Roman" w:hAnsi="Arial" w:cs="Arial"/>
          <w:color w:val="333333"/>
          <w:sz w:val="16"/>
          <w:szCs w:val="16"/>
          <w:lang w:eastAsia="en-AU"/>
        </w:rPr>
      </w:pPr>
      <w:r w:rsidRPr="00F5071C">
        <w:rPr>
          <w:rFonts w:ascii="Arial" w:eastAsia="Times New Roman" w:hAnsi="Arial" w:cs="Arial"/>
          <w:color w:val="333333"/>
          <w:sz w:val="16"/>
          <w:szCs w:val="16"/>
          <w:lang w:eastAsia="en-AU"/>
        </w:rPr>
        <w:t>Measured by assessment of notifications received by EPA from a person in control or management of ‘notifiable contaminated land’ as defined in Part 2.1 of the Environment Protection Regulations 2021. High risk means CLARA Triage Score Category 5 or 6. Active Management means have appropriate management and/or regulatory controls in place.</w:t>
      </w:r>
    </w:p>
    <w:p w14:paraId="5CD320C7" w14:textId="77777777" w:rsidR="00A1428B" w:rsidRPr="00F5071C" w:rsidRDefault="00A1428B" w:rsidP="00A1428B">
      <w:pPr>
        <w:numPr>
          <w:ilvl w:val="0"/>
          <w:numId w:val="6"/>
        </w:numPr>
        <w:spacing w:before="150" w:after="100" w:afterAutospacing="1" w:line="240" w:lineRule="auto"/>
        <w:rPr>
          <w:rFonts w:ascii="Arial" w:eastAsia="Times New Roman" w:hAnsi="Arial" w:cs="Arial"/>
          <w:color w:val="333333"/>
          <w:sz w:val="16"/>
          <w:szCs w:val="16"/>
          <w:lang w:eastAsia="en-AU"/>
        </w:rPr>
      </w:pPr>
      <w:r w:rsidRPr="00F5071C">
        <w:rPr>
          <w:rFonts w:ascii="Arial" w:eastAsia="Times New Roman" w:hAnsi="Arial" w:cs="Arial"/>
          <w:color w:val="333333"/>
          <w:sz w:val="16"/>
          <w:szCs w:val="16"/>
          <w:lang w:eastAsia="en-AU"/>
        </w:rPr>
        <w:t>Based on remedial notices issued following an EPA inspection of a site.  Remedial notices issued for non-compliance with the general environmental duty, unreasonable and aggravated noise provisions in the Environment Protection Act 2017.</w:t>
      </w:r>
    </w:p>
    <w:p w14:paraId="2A9D5AD2" w14:textId="77777777" w:rsidR="00A1428B" w:rsidRPr="00F5071C" w:rsidRDefault="00A1428B" w:rsidP="00A1428B">
      <w:pPr>
        <w:numPr>
          <w:ilvl w:val="0"/>
          <w:numId w:val="6"/>
        </w:numPr>
        <w:spacing w:before="150" w:after="100" w:afterAutospacing="1" w:line="240" w:lineRule="auto"/>
        <w:rPr>
          <w:rFonts w:ascii="Arial" w:eastAsia="Times New Roman" w:hAnsi="Arial" w:cs="Arial"/>
          <w:color w:val="333333"/>
          <w:sz w:val="16"/>
          <w:szCs w:val="16"/>
          <w:lang w:eastAsia="en-AU"/>
        </w:rPr>
      </w:pPr>
      <w:r w:rsidRPr="00F5071C">
        <w:rPr>
          <w:rFonts w:ascii="Arial" w:eastAsia="Times New Roman" w:hAnsi="Arial" w:cs="Arial"/>
          <w:color w:val="333333"/>
          <w:sz w:val="16"/>
          <w:szCs w:val="16"/>
          <w:lang w:eastAsia="en-AU"/>
        </w:rPr>
        <w:t>Based on a three-year rolling average of the proportion of pollution reports received by EPA that are categorised as Priority 3 (planned response), Priority 4 (field response with 24 hours) or Priority 5 (immediate response) triage categories.</w:t>
      </w:r>
    </w:p>
    <w:p w14:paraId="71B1ECAC" w14:textId="77777777" w:rsidR="00A1428B" w:rsidRPr="00F5071C" w:rsidRDefault="00A1428B" w:rsidP="00A1428B">
      <w:pPr>
        <w:numPr>
          <w:ilvl w:val="0"/>
          <w:numId w:val="6"/>
        </w:numPr>
        <w:spacing w:before="150" w:after="100" w:afterAutospacing="1" w:line="240" w:lineRule="auto"/>
        <w:rPr>
          <w:rFonts w:ascii="Arial" w:eastAsia="Times New Roman" w:hAnsi="Arial" w:cs="Arial"/>
          <w:color w:val="333333"/>
          <w:sz w:val="16"/>
          <w:szCs w:val="16"/>
          <w:lang w:eastAsia="en-AU"/>
        </w:rPr>
      </w:pPr>
      <w:r w:rsidRPr="00F5071C">
        <w:rPr>
          <w:rFonts w:ascii="Arial" w:eastAsia="Times New Roman" w:hAnsi="Arial" w:cs="Arial"/>
          <w:color w:val="333333"/>
          <w:sz w:val="16"/>
          <w:szCs w:val="16"/>
          <w:lang w:eastAsia="en-AU"/>
        </w:rPr>
        <w:t>Based on assessments undertaken by EPA authorised officers. Permissioned business means sole trader or company issued a license or permit by EPA.</w:t>
      </w:r>
    </w:p>
    <w:p w14:paraId="51D18023" w14:textId="77777777" w:rsidR="00A1428B" w:rsidRPr="00F5071C" w:rsidRDefault="00A1428B" w:rsidP="00A1428B">
      <w:pPr>
        <w:numPr>
          <w:ilvl w:val="0"/>
          <w:numId w:val="6"/>
        </w:numPr>
        <w:spacing w:before="150" w:after="100" w:afterAutospacing="1" w:line="240" w:lineRule="auto"/>
        <w:rPr>
          <w:rFonts w:ascii="Arial" w:eastAsia="Times New Roman" w:hAnsi="Arial" w:cs="Arial"/>
          <w:color w:val="333333"/>
          <w:sz w:val="16"/>
          <w:szCs w:val="16"/>
          <w:lang w:eastAsia="en-AU"/>
        </w:rPr>
      </w:pPr>
      <w:r w:rsidRPr="00F5071C">
        <w:rPr>
          <w:rFonts w:ascii="Arial" w:eastAsia="Times New Roman" w:hAnsi="Arial" w:cs="Arial"/>
          <w:color w:val="333333"/>
          <w:sz w:val="16"/>
          <w:szCs w:val="16"/>
          <w:lang w:eastAsia="en-AU"/>
        </w:rPr>
        <w:t xml:space="preserve">Measured by The </w:t>
      </w:r>
      <w:proofErr w:type="spellStart"/>
      <w:r w:rsidRPr="00F5071C">
        <w:rPr>
          <w:rFonts w:ascii="Arial" w:eastAsia="Times New Roman" w:hAnsi="Arial" w:cs="Arial"/>
          <w:color w:val="333333"/>
          <w:sz w:val="16"/>
          <w:szCs w:val="16"/>
          <w:lang w:eastAsia="en-AU"/>
        </w:rPr>
        <w:t>RepTrak</w:t>
      </w:r>
      <w:proofErr w:type="spellEnd"/>
      <w:r w:rsidRPr="00F5071C">
        <w:rPr>
          <w:rFonts w:ascii="Arial" w:eastAsia="Times New Roman" w:hAnsi="Arial" w:cs="Arial"/>
          <w:color w:val="333333"/>
          <w:sz w:val="16"/>
          <w:szCs w:val="16"/>
          <w:lang w:eastAsia="en-AU"/>
        </w:rPr>
        <w:t xml:space="preserve"> Company sentiment survey where respondents that are aware of EPA reported a high level of knowledge of the general environmental duty.</w:t>
      </w:r>
    </w:p>
    <w:p w14:paraId="6D2DB014" w14:textId="77777777" w:rsidR="00A1428B" w:rsidRPr="00F5071C" w:rsidRDefault="00A1428B" w:rsidP="00A1428B">
      <w:pPr>
        <w:numPr>
          <w:ilvl w:val="0"/>
          <w:numId w:val="6"/>
        </w:numPr>
        <w:spacing w:before="150" w:after="100" w:afterAutospacing="1" w:line="240" w:lineRule="auto"/>
        <w:rPr>
          <w:rFonts w:ascii="Arial" w:eastAsia="Times New Roman" w:hAnsi="Arial" w:cs="Arial"/>
          <w:color w:val="333333"/>
          <w:sz w:val="16"/>
          <w:szCs w:val="16"/>
          <w:lang w:eastAsia="en-AU"/>
        </w:rPr>
      </w:pPr>
      <w:r w:rsidRPr="00F5071C">
        <w:rPr>
          <w:rFonts w:ascii="Arial" w:eastAsia="Times New Roman" w:hAnsi="Arial" w:cs="Arial"/>
          <w:color w:val="333333"/>
          <w:sz w:val="16"/>
          <w:szCs w:val="16"/>
          <w:lang w:eastAsia="en-AU"/>
        </w:rPr>
        <w:t xml:space="preserve">Measured by The </w:t>
      </w:r>
      <w:proofErr w:type="spellStart"/>
      <w:r w:rsidRPr="00F5071C">
        <w:rPr>
          <w:rFonts w:ascii="Arial" w:eastAsia="Times New Roman" w:hAnsi="Arial" w:cs="Arial"/>
          <w:color w:val="333333"/>
          <w:sz w:val="16"/>
          <w:szCs w:val="16"/>
          <w:lang w:eastAsia="en-AU"/>
        </w:rPr>
        <w:t>RepTrak</w:t>
      </w:r>
      <w:proofErr w:type="spellEnd"/>
      <w:r w:rsidRPr="00F5071C">
        <w:rPr>
          <w:rFonts w:ascii="Arial" w:eastAsia="Times New Roman" w:hAnsi="Arial" w:cs="Arial"/>
          <w:color w:val="333333"/>
          <w:sz w:val="16"/>
          <w:szCs w:val="16"/>
          <w:lang w:eastAsia="en-AU"/>
        </w:rPr>
        <w:t xml:space="preserve"> Company sentiment survey where respondents were familiar with EPA at a level beyond name recognition.</w:t>
      </w:r>
    </w:p>
    <w:p w14:paraId="0CC8E8A7" w14:textId="77777777" w:rsidR="00A1428B" w:rsidRPr="00F5071C" w:rsidRDefault="00A1428B" w:rsidP="00A1428B">
      <w:pPr>
        <w:numPr>
          <w:ilvl w:val="0"/>
          <w:numId w:val="6"/>
        </w:numPr>
        <w:spacing w:before="150" w:after="100" w:afterAutospacing="1" w:line="240" w:lineRule="auto"/>
        <w:rPr>
          <w:rFonts w:ascii="Arial" w:eastAsia="Times New Roman" w:hAnsi="Arial" w:cs="Arial"/>
          <w:color w:val="333333"/>
          <w:sz w:val="16"/>
          <w:szCs w:val="16"/>
          <w:lang w:eastAsia="en-AU"/>
        </w:rPr>
      </w:pPr>
      <w:r w:rsidRPr="00F5071C">
        <w:rPr>
          <w:rFonts w:ascii="Arial" w:eastAsia="Times New Roman" w:hAnsi="Arial" w:cs="Arial"/>
          <w:color w:val="333333"/>
          <w:sz w:val="16"/>
          <w:szCs w:val="16"/>
          <w:lang w:eastAsia="en-AU"/>
        </w:rPr>
        <w:t xml:space="preserve">Measured by The </w:t>
      </w:r>
      <w:proofErr w:type="spellStart"/>
      <w:r w:rsidRPr="00F5071C">
        <w:rPr>
          <w:rFonts w:ascii="Arial" w:eastAsia="Times New Roman" w:hAnsi="Arial" w:cs="Arial"/>
          <w:color w:val="333333"/>
          <w:sz w:val="16"/>
          <w:szCs w:val="16"/>
          <w:lang w:eastAsia="en-AU"/>
        </w:rPr>
        <w:t>RepTrak</w:t>
      </w:r>
      <w:proofErr w:type="spellEnd"/>
      <w:r w:rsidRPr="00F5071C">
        <w:rPr>
          <w:rFonts w:ascii="Arial" w:eastAsia="Times New Roman" w:hAnsi="Arial" w:cs="Arial"/>
          <w:color w:val="333333"/>
          <w:sz w:val="16"/>
          <w:szCs w:val="16"/>
          <w:lang w:eastAsia="en-AU"/>
        </w:rPr>
        <w:t xml:space="preserve"> Company sentiment survey where respondents that are aware of EPA strongly agree (score 6 or 7) with the </w:t>
      </w:r>
      <w:proofErr w:type="gramStart"/>
      <w:r w:rsidRPr="00F5071C">
        <w:rPr>
          <w:rFonts w:ascii="Arial" w:eastAsia="Times New Roman" w:hAnsi="Arial" w:cs="Arial"/>
          <w:color w:val="333333"/>
          <w:sz w:val="16"/>
          <w:szCs w:val="16"/>
          <w:lang w:eastAsia="en-AU"/>
        </w:rPr>
        <w:t>statement  ‘</w:t>
      </w:r>
      <w:proofErr w:type="gramEnd"/>
      <w:r w:rsidRPr="00F5071C">
        <w:rPr>
          <w:rFonts w:ascii="Arial" w:eastAsia="Times New Roman" w:hAnsi="Arial" w:cs="Arial"/>
          <w:color w:val="333333"/>
          <w:sz w:val="16"/>
          <w:szCs w:val="16"/>
          <w:lang w:eastAsia="en-AU"/>
        </w:rPr>
        <w:t>EPA is an organisation I trust’.</w:t>
      </w:r>
    </w:p>
    <w:p w14:paraId="12920C0A" w14:textId="77777777" w:rsidR="00A1428B" w:rsidRPr="00F5071C" w:rsidRDefault="00A1428B" w:rsidP="00A1428B">
      <w:pPr>
        <w:numPr>
          <w:ilvl w:val="0"/>
          <w:numId w:val="6"/>
        </w:numPr>
        <w:spacing w:before="150" w:after="100" w:afterAutospacing="1" w:line="240" w:lineRule="auto"/>
        <w:rPr>
          <w:rFonts w:ascii="Arial" w:eastAsia="Times New Roman" w:hAnsi="Arial" w:cs="Arial"/>
          <w:color w:val="333333"/>
          <w:sz w:val="16"/>
          <w:szCs w:val="16"/>
          <w:lang w:eastAsia="en-AU"/>
        </w:rPr>
      </w:pPr>
      <w:r w:rsidRPr="00F5071C">
        <w:rPr>
          <w:rFonts w:ascii="Arial" w:eastAsia="Times New Roman" w:hAnsi="Arial" w:cs="Arial"/>
          <w:color w:val="333333"/>
          <w:sz w:val="16"/>
          <w:szCs w:val="16"/>
          <w:lang w:eastAsia="en-AU"/>
        </w:rPr>
        <w:t xml:space="preserve">Citations in scientific publications over a </w:t>
      </w:r>
      <w:proofErr w:type="gramStart"/>
      <w:r w:rsidRPr="00F5071C">
        <w:rPr>
          <w:rFonts w:ascii="Arial" w:eastAsia="Times New Roman" w:hAnsi="Arial" w:cs="Arial"/>
          <w:color w:val="333333"/>
          <w:sz w:val="16"/>
          <w:szCs w:val="16"/>
          <w:lang w:eastAsia="en-AU"/>
        </w:rPr>
        <w:t>five year</w:t>
      </w:r>
      <w:proofErr w:type="gramEnd"/>
      <w:r w:rsidRPr="00F5071C">
        <w:rPr>
          <w:rFonts w:ascii="Arial" w:eastAsia="Times New Roman" w:hAnsi="Arial" w:cs="Arial"/>
          <w:color w:val="333333"/>
          <w:sz w:val="16"/>
          <w:szCs w:val="16"/>
          <w:lang w:eastAsia="en-AU"/>
        </w:rPr>
        <w:t xml:space="preserve"> period as measured by Google Scholar.</w:t>
      </w:r>
    </w:p>
    <w:p w14:paraId="13B1DDA4" w14:textId="77777777" w:rsidR="005E3A94" w:rsidRDefault="005E3A94">
      <w:pPr>
        <w:rPr>
          <w:rFonts w:ascii="Arial" w:eastAsia="Times New Roman" w:hAnsi="Arial" w:cs="Arial"/>
          <w:b/>
          <w:bCs/>
          <w:color w:val="111111"/>
          <w:sz w:val="57"/>
          <w:szCs w:val="57"/>
          <w:lang w:eastAsia="en-AU"/>
        </w:rPr>
      </w:pPr>
      <w:r>
        <w:rPr>
          <w:rFonts w:ascii="Arial" w:eastAsia="Times New Roman" w:hAnsi="Arial" w:cs="Arial"/>
          <w:b/>
          <w:bCs/>
          <w:color w:val="111111"/>
          <w:sz w:val="57"/>
          <w:szCs w:val="57"/>
          <w:lang w:eastAsia="en-AU"/>
        </w:rPr>
        <w:br w:type="page"/>
      </w:r>
    </w:p>
    <w:p w14:paraId="07E4860C" w14:textId="7509CAB1" w:rsidR="00A1428B" w:rsidRPr="003643AB" w:rsidRDefault="00A1428B" w:rsidP="00A1428B">
      <w:pPr>
        <w:spacing w:before="600" w:after="390" w:line="690" w:lineRule="atLeast"/>
        <w:outlineLvl w:val="1"/>
        <w:rPr>
          <w:rFonts w:ascii="Arial" w:eastAsia="Times New Roman" w:hAnsi="Arial" w:cs="Arial"/>
          <w:b/>
          <w:bCs/>
          <w:color w:val="111111"/>
          <w:sz w:val="57"/>
          <w:szCs w:val="57"/>
          <w:lang w:eastAsia="en-AU"/>
        </w:rPr>
      </w:pPr>
      <w:r w:rsidRPr="003643AB">
        <w:rPr>
          <w:rFonts w:ascii="Arial" w:eastAsia="Times New Roman" w:hAnsi="Arial" w:cs="Arial"/>
          <w:b/>
          <w:bCs/>
          <w:color w:val="111111"/>
          <w:sz w:val="57"/>
          <w:szCs w:val="57"/>
          <w:lang w:eastAsia="en-AU"/>
        </w:rPr>
        <w:lastRenderedPageBreak/>
        <w:t>How we’ll implement our Strategic Plan </w:t>
      </w:r>
    </w:p>
    <w:p w14:paraId="64F7267D" w14:textId="77777777" w:rsidR="00A1428B" w:rsidRPr="003643AB" w:rsidRDefault="00A1428B" w:rsidP="00A1428B">
      <w:pPr>
        <w:spacing w:before="600" w:after="225" w:line="540" w:lineRule="atLeast"/>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t>Working with others</w:t>
      </w:r>
    </w:p>
    <w:p w14:paraId="788C8916" w14:textId="77777777" w:rsidR="00A1428B" w:rsidRPr="00F5071C" w:rsidRDefault="00A1428B" w:rsidP="00A1428B">
      <w:pPr>
        <w:spacing w:before="210" w:after="210" w:line="240" w:lineRule="auto"/>
        <w:rPr>
          <w:rFonts w:ascii="Arial" w:eastAsia="Times New Roman" w:hAnsi="Arial" w:cs="Arial"/>
          <w:color w:val="333333"/>
          <w:sz w:val="20"/>
          <w:szCs w:val="20"/>
          <w:lang w:eastAsia="en-AU"/>
        </w:rPr>
      </w:pPr>
      <w:r w:rsidRPr="00F5071C">
        <w:rPr>
          <w:rFonts w:ascii="Arial" w:eastAsia="Times New Roman" w:hAnsi="Arial" w:cs="Arial"/>
          <w:color w:val="333333"/>
          <w:sz w:val="20"/>
          <w:szCs w:val="20"/>
          <w:lang w:eastAsia="en-AU"/>
        </w:rPr>
        <w:t>We work collaboratively with others to achieve our purpose and contribute to broader initiatives that improve our communities and environment.</w:t>
      </w:r>
    </w:p>
    <w:p w14:paraId="4273FE9D" w14:textId="77777777" w:rsidR="00A1428B" w:rsidRPr="003643AB" w:rsidRDefault="00A1428B" w:rsidP="00A1428B">
      <w:pPr>
        <w:spacing w:before="600" w:after="225" w:line="540" w:lineRule="atLeast"/>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t>Victorian communities</w:t>
      </w:r>
    </w:p>
    <w:p w14:paraId="76FB9CFB" w14:textId="77777777" w:rsidR="00A1428B" w:rsidRPr="00F5071C" w:rsidRDefault="00A1428B" w:rsidP="00A1428B">
      <w:pPr>
        <w:spacing w:before="210" w:after="210" w:line="240" w:lineRule="auto"/>
        <w:rPr>
          <w:rFonts w:ascii="Arial" w:eastAsia="Times New Roman" w:hAnsi="Arial" w:cs="Arial"/>
          <w:color w:val="333333"/>
          <w:sz w:val="20"/>
          <w:szCs w:val="20"/>
          <w:lang w:eastAsia="en-AU"/>
        </w:rPr>
      </w:pPr>
      <w:r w:rsidRPr="00F5071C">
        <w:rPr>
          <w:rFonts w:ascii="Arial" w:eastAsia="Times New Roman" w:hAnsi="Arial" w:cs="Arial"/>
          <w:color w:val="333333"/>
          <w:sz w:val="20"/>
          <w:szCs w:val="20"/>
          <w:lang w:eastAsia="en-AU"/>
        </w:rPr>
        <w:t xml:space="preserve">We work with </w:t>
      </w:r>
      <w:proofErr w:type="gramStart"/>
      <w:r w:rsidRPr="00F5071C">
        <w:rPr>
          <w:rFonts w:ascii="Arial" w:eastAsia="Times New Roman" w:hAnsi="Arial" w:cs="Arial"/>
          <w:color w:val="333333"/>
          <w:sz w:val="20"/>
          <w:szCs w:val="20"/>
          <w:lang w:eastAsia="en-AU"/>
        </w:rPr>
        <w:t>communities</w:t>
      </w:r>
      <w:proofErr w:type="gramEnd"/>
      <w:r w:rsidRPr="00F5071C">
        <w:rPr>
          <w:rFonts w:ascii="Arial" w:eastAsia="Times New Roman" w:hAnsi="Arial" w:cs="Arial"/>
          <w:color w:val="333333"/>
          <w:sz w:val="20"/>
          <w:szCs w:val="20"/>
          <w:lang w:eastAsia="en-AU"/>
        </w:rPr>
        <w:t xml:space="preserve"> so they understand the condition of their local environment by providing information and involving them in citizen science programs. We actively seek information from the community to assist us in targeting illegal activities and value community input into issues of concern and decisions that could impact them.</w:t>
      </w:r>
    </w:p>
    <w:p w14:paraId="2DC2421F" w14:textId="77777777" w:rsidR="00A1428B" w:rsidRPr="003643AB" w:rsidRDefault="00A1428B" w:rsidP="00A1428B">
      <w:pPr>
        <w:spacing w:before="600" w:after="225" w:line="540" w:lineRule="atLeast"/>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t>Industry, business and workers</w:t>
      </w:r>
    </w:p>
    <w:p w14:paraId="106F5956" w14:textId="77777777" w:rsidR="00A1428B" w:rsidRPr="00F5071C" w:rsidRDefault="00A1428B" w:rsidP="00A1428B">
      <w:pPr>
        <w:spacing w:before="210" w:after="210" w:line="240" w:lineRule="auto"/>
        <w:rPr>
          <w:rFonts w:ascii="Arial" w:eastAsia="Times New Roman" w:hAnsi="Arial" w:cs="Arial"/>
          <w:color w:val="333333"/>
          <w:sz w:val="20"/>
          <w:szCs w:val="20"/>
          <w:lang w:eastAsia="en-AU"/>
        </w:rPr>
      </w:pPr>
      <w:r w:rsidRPr="00F5071C">
        <w:rPr>
          <w:rFonts w:ascii="Arial" w:eastAsia="Times New Roman" w:hAnsi="Arial" w:cs="Arial"/>
          <w:color w:val="333333"/>
          <w:sz w:val="20"/>
          <w:szCs w:val="20"/>
          <w:lang w:eastAsia="en-AU"/>
        </w:rPr>
        <w:t>We join with industry, businesses and workers to achieve environmentally safe and sustainable economic growth, and to identify best practice approaches to prevent harm from pollution and waste.</w:t>
      </w:r>
    </w:p>
    <w:p w14:paraId="1AC2E2F4" w14:textId="77777777" w:rsidR="00A1428B" w:rsidRPr="003643AB" w:rsidRDefault="00A1428B" w:rsidP="00A1428B">
      <w:pPr>
        <w:spacing w:before="600" w:after="225" w:line="540" w:lineRule="atLeast"/>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t>Co-regulators</w:t>
      </w:r>
    </w:p>
    <w:p w14:paraId="418972A6" w14:textId="77777777" w:rsidR="00A1428B" w:rsidRPr="00F5071C" w:rsidRDefault="00A1428B" w:rsidP="00A1428B">
      <w:pPr>
        <w:spacing w:before="210" w:after="210" w:line="240" w:lineRule="auto"/>
        <w:rPr>
          <w:rFonts w:ascii="Arial" w:eastAsia="Times New Roman" w:hAnsi="Arial" w:cs="Arial"/>
          <w:color w:val="333333"/>
          <w:sz w:val="20"/>
          <w:szCs w:val="20"/>
          <w:lang w:eastAsia="en-AU"/>
        </w:rPr>
      </w:pPr>
      <w:r w:rsidRPr="00F5071C">
        <w:rPr>
          <w:rFonts w:ascii="Arial" w:eastAsia="Times New Roman" w:hAnsi="Arial" w:cs="Arial"/>
          <w:color w:val="333333"/>
          <w:sz w:val="20"/>
          <w:szCs w:val="20"/>
          <w:lang w:eastAsia="en-AU"/>
        </w:rPr>
        <w:t>We work with other regulators and enforcement agencies to identify and eliminate risks of harm to communities and the environment, improve our regulatory practice and reduce burden on regulated entities by being more connected and efficient.</w:t>
      </w:r>
    </w:p>
    <w:p w14:paraId="51001322" w14:textId="77777777" w:rsidR="00A1428B" w:rsidRPr="003643AB" w:rsidRDefault="00A1428B" w:rsidP="00A1428B">
      <w:pPr>
        <w:spacing w:before="600" w:after="225" w:line="540" w:lineRule="atLeast"/>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t>State and federal governments</w:t>
      </w:r>
    </w:p>
    <w:p w14:paraId="0AEAEE79" w14:textId="77777777" w:rsidR="00A1428B" w:rsidRPr="00F5071C" w:rsidRDefault="00A1428B" w:rsidP="00A1428B">
      <w:pPr>
        <w:spacing w:before="210" w:after="210" w:line="240" w:lineRule="auto"/>
        <w:rPr>
          <w:rFonts w:ascii="Arial" w:eastAsia="Times New Roman" w:hAnsi="Arial" w:cs="Arial"/>
          <w:color w:val="333333"/>
          <w:sz w:val="20"/>
          <w:szCs w:val="20"/>
          <w:lang w:eastAsia="en-AU"/>
        </w:rPr>
      </w:pPr>
      <w:r w:rsidRPr="00F5071C">
        <w:rPr>
          <w:rFonts w:ascii="Arial" w:eastAsia="Times New Roman" w:hAnsi="Arial" w:cs="Arial"/>
          <w:color w:val="333333"/>
          <w:sz w:val="20"/>
          <w:szCs w:val="20"/>
          <w:lang w:eastAsia="en-AU"/>
        </w:rPr>
        <w:t>We work with governments to identify emerging issues and provide advice on national standards, policy options, land use planning and major projects to address risks of harm to human health and the environment.</w:t>
      </w:r>
    </w:p>
    <w:p w14:paraId="71CB59BE" w14:textId="77777777" w:rsidR="00A1428B" w:rsidRPr="003643AB" w:rsidRDefault="00A1428B" w:rsidP="00A1428B">
      <w:pPr>
        <w:spacing w:before="600" w:after="225" w:line="540" w:lineRule="atLeast"/>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t>Local Government</w:t>
      </w:r>
    </w:p>
    <w:p w14:paraId="213EBA4C" w14:textId="77777777" w:rsidR="00A1428B" w:rsidRPr="00F5071C" w:rsidRDefault="00A1428B" w:rsidP="00A1428B">
      <w:pPr>
        <w:spacing w:before="210" w:after="210" w:line="240" w:lineRule="auto"/>
        <w:rPr>
          <w:rFonts w:ascii="Arial" w:eastAsia="Times New Roman" w:hAnsi="Arial" w:cs="Arial"/>
          <w:color w:val="333333"/>
          <w:sz w:val="20"/>
          <w:szCs w:val="20"/>
          <w:lang w:eastAsia="en-AU"/>
        </w:rPr>
      </w:pPr>
      <w:r w:rsidRPr="00F5071C">
        <w:rPr>
          <w:rFonts w:ascii="Arial" w:eastAsia="Times New Roman" w:hAnsi="Arial" w:cs="Arial"/>
          <w:color w:val="333333"/>
          <w:sz w:val="20"/>
          <w:szCs w:val="20"/>
          <w:lang w:eastAsia="en-AU"/>
        </w:rPr>
        <w:t>We team up with local government to address local environmental and public health issues, including through the Officers for the Protection of the Local Environment (OPLE) program.</w:t>
      </w:r>
    </w:p>
    <w:p w14:paraId="7E7DBB37" w14:textId="77777777" w:rsidR="00A1428B" w:rsidRPr="003643AB" w:rsidRDefault="00A1428B" w:rsidP="00A1428B">
      <w:pPr>
        <w:spacing w:before="600" w:after="225" w:line="540" w:lineRule="atLeast"/>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lastRenderedPageBreak/>
        <w:t>Universities and other research institutions</w:t>
      </w:r>
    </w:p>
    <w:p w14:paraId="3884235E" w14:textId="77777777" w:rsidR="00A1428B" w:rsidRPr="00F5071C" w:rsidRDefault="00A1428B" w:rsidP="00A1428B">
      <w:pPr>
        <w:spacing w:before="210" w:after="210" w:line="240" w:lineRule="auto"/>
        <w:rPr>
          <w:rFonts w:ascii="Arial" w:eastAsia="Times New Roman" w:hAnsi="Arial" w:cs="Arial"/>
          <w:color w:val="333333"/>
          <w:sz w:val="20"/>
          <w:szCs w:val="20"/>
          <w:lang w:eastAsia="en-AU"/>
        </w:rPr>
      </w:pPr>
      <w:r w:rsidRPr="00F5071C">
        <w:rPr>
          <w:rFonts w:ascii="Arial" w:eastAsia="Times New Roman" w:hAnsi="Arial" w:cs="Arial"/>
          <w:color w:val="333333"/>
          <w:sz w:val="20"/>
          <w:szCs w:val="20"/>
          <w:lang w:eastAsia="en-AU"/>
        </w:rPr>
        <w:t>We partner with universities and other research institutions to expand our scientific knowledge base and ensure our regulatory decisions are underpinned by the best available science.</w:t>
      </w:r>
    </w:p>
    <w:p w14:paraId="404DA6B0" w14:textId="77777777" w:rsidR="00A1428B" w:rsidRPr="003643AB" w:rsidRDefault="00A1428B" w:rsidP="00A1428B">
      <w:pPr>
        <w:spacing w:before="600" w:after="225" w:line="540" w:lineRule="atLeast"/>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t>Non-government organisations</w:t>
      </w:r>
    </w:p>
    <w:p w14:paraId="7E008A19" w14:textId="77777777" w:rsidR="00A1428B" w:rsidRPr="00F5071C" w:rsidRDefault="00A1428B" w:rsidP="00A1428B">
      <w:pPr>
        <w:spacing w:before="210" w:after="210" w:line="240" w:lineRule="auto"/>
        <w:rPr>
          <w:rFonts w:ascii="Arial" w:eastAsia="Times New Roman" w:hAnsi="Arial" w:cs="Arial"/>
          <w:color w:val="333333"/>
          <w:sz w:val="20"/>
          <w:szCs w:val="20"/>
          <w:lang w:eastAsia="en-AU"/>
        </w:rPr>
      </w:pPr>
      <w:r w:rsidRPr="00F5071C">
        <w:rPr>
          <w:rFonts w:ascii="Arial" w:eastAsia="Times New Roman" w:hAnsi="Arial" w:cs="Arial"/>
          <w:color w:val="333333"/>
          <w:sz w:val="20"/>
          <w:szCs w:val="20"/>
          <w:lang w:eastAsia="en-AU"/>
        </w:rPr>
        <w:t>We engage with non-government organisations and other interest groups to understand and gain insights about environmental and human health issues to inform our work.</w:t>
      </w:r>
    </w:p>
    <w:p w14:paraId="75BECAF4" w14:textId="77777777" w:rsidR="00A1428B" w:rsidRPr="003643AB" w:rsidRDefault="00A1428B" w:rsidP="00A1428B">
      <w:pPr>
        <w:spacing w:before="600" w:after="225" w:line="540" w:lineRule="atLeast"/>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t>Performance measurement</w:t>
      </w:r>
    </w:p>
    <w:p w14:paraId="337CE5CE" w14:textId="77777777" w:rsidR="00A1428B" w:rsidRPr="00F5071C" w:rsidRDefault="00A1428B" w:rsidP="00A1428B">
      <w:pPr>
        <w:spacing w:before="210" w:after="210" w:line="240" w:lineRule="auto"/>
        <w:rPr>
          <w:rFonts w:ascii="Arial" w:eastAsia="Times New Roman" w:hAnsi="Arial" w:cs="Arial"/>
          <w:color w:val="333333"/>
          <w:sz w:val="20"/>
          <w:szCs w:val="20"/>
          <w:lang w:eastAsia="en-AU"/>
        </w:rPr>
      </w:pPr>
      <w:r w:rsidRPr="00F5071C">
        <w:rPr>
          <w:rFonts w:ascii="Arial" w:eastAsia="Times New Roman" w:hAnsi="Arial" w:cs="Arial"/>
          <w:color w:val="333333"/>
          <w:sz w:val="20"/>
          <w:szCs w:val="20"/>
          <w:lang w:eastAsia="en-AU"/>
        </w:rPr>
        <w:t>Budget Paper 3 (BP3) provides an overview of the priority goods and services funded by the Victorian Government and delivered by departments and agencies to support the government’s strategic objectives. EPA’s performance is reported against the measures and targets in the BP3 service output ‘Statutory Activities and Environment Protection’.</w:t>
      </w:r>
    </w:p>
    <w:p w14:paraId="5988F0B8" w14:textId="77777777" w:rsidR="00A1428B" w:rsidRPr="00F5071C" w:rsidRDefault="00A1428B" w:rsidP="00A1428B">
      <w:pPr>
        <w:spacing w:before="210" w:after="210" w:line="240" w:lineRule="auto"/>
        <w:rPr>
          <w:rFonts w:ascii="Arial" w:eastAsia="Times New Roman" w:hAnsi="Arial" w:cs="Arial"/>
          <w:color w:val="333333"/>
          <w:sz w:val="20"/>
          <w:szCs w:val="20"/>
          <w:lang w:eastAsia="en-AU"/>
        </w:rPr>
      </w:pPr>
      <w:r w:rsidRPr="00F5071C">
        <w:rPr>
          <w:rFonts w:ascii="Arial" w:eastAsia="Times New Roman" w:hAnsi="Arial" w:cs="Arial"/>
          <w:color w:val="333333"/>
          <w:sz w:val="20"/>
          <w:szCs w:val="20"/>
          <w:lang w:eastAsia="en-AU"/>
        </w:rPr>
        <w:t>To complement these output measures and targets and monitor our progress against the outcomes we want to see in the next five years, we’ve also identified outcome measures and targets. We’ll improve these outcome measures and targets over time.</w:t>
      </w:r>
    </w:p>
    <w:p w14:paraId="7587975C" w14:textId="77777777" w:rsidR="00A1428B" w:rsidRPr="003643AB" w:rsidRDefault="00A1428B" w:rsidP="00A1428B">
      <w:pPr>
        <w:spacing w:before="600" w:after="225" w:line="540" w:lineRule="atLeast"/>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t>Annual planning and reporting</w:t>
      </w:r>
    </w:p>
    <w:p w14:paraId="6DC6A06D" w14:textId="77777777" w:rsidR="00A1428B" w:rsidRPr="00F5071C" w:rsidRDefault="00A1428B" w:rsidP="00A1428B">
      <w:pPr>
        <w:spacing w:before="210" w:after="210" w:line="240" w:lineRule="auto"/>
        <w:rPr>
          <w:rFonts w:ascii="Arial" w:eastAsia="Times New Roman" w:hAnsi="Arial" w:cs="Arial"/>
          <w:color w:val="333333"/>
          <w:sz w:val="20"/>
          <w:szCs w:val="20"/>
          <w:lang w:eastAsia="en-AU"/>
        </w:rPr>
      </w:pPr>
      <w:r w:rsidRPr="00F5071C">
        <w:rPr>
          <w:rFonts w:ascii="Arial" w:eastAsia="Times New Roman" w:hAnsi="Arial" w:cs="Arial"/>
          <w:color w:val="333333"/>
          <w:sz w:val="20"/>
          <w:szCs w:val="20"/>
          <w:lang w:eastAsia="en-AU"/>
        </w:rPr>
        <w:t>Each financial year, EPA produces an Annual Delivery Plan describing what we plan to deliver that year, aligned to our strategic outcomes and priority initiatives. We publish our Annual Delivery Plan on our website.</w:t>
      </w:r>
    </w:p>
    <w:p w14:paraId="7805671C" w14:textId="77777777" w:rsidR="00A1428B" w:rsidRPr="00F5071C" w:rsidRDefault="00A1428B" w:rsidP="00A1428B">
      <w:pPr>
        <w:spacing w:before="210" w:after="210" w:line="240" w:lineRule="auto"/>
        <w:rPr>
          <w:rFonts w:ascii="Arial" w:eastAsia="Times New Roman" w:hAnsi="Arial" w:cs="Arial"/>
          <w:color w:val="333333"/>
          <w:sz w:val="20"/>
          <w:szCs w:val="20"/>
          <w:lang w:eastAsia="en-AU"/>
        </w:rPr>
      </w:pPr>
      <w:r w:rsidRPr="00F5071C">
        <w:rPr>
          <w:rFonts w:ascii="Arial" w:eastAsia="Times New Roman" w:hAnsi="Arial" w:cs="Arial"/>
          <w:color w:val="333333"/>
          <w:sz w:val="20"/>
          <w:szCs w:val="20"/>
          <w:lang w:eastAsia="en-AU"/>
        </w:rPr>
        <w:t>We report on our performance each financial year in our Annual Report, which is tabled in the Victorian Parliament and published on our website.</w:t>
      </w:r>
    </w:p>
    <w:p w14:paraId="0251A492" w14:textId="77777777" w:rsidR="00A1428B" w:rsidRPr="00F5071C" w:rsidRDefault="00A1428B" w:rsidP="00A1428B">
      <w:pPr>
        <w:spacing w:before="210" w:after="210" w:line="240" w:lineRule="auto"/>
        <w:rPr>
          <w:rFonts w:ascii="Arial" w:eastAsia="Times New Roman" w:hAnsi="Arial" w:cs="Arial"/>
          <w:color w:val="333333"/>
          <w:sz w:val="20"/>
          <w:szCs w:val="20"/>
          <w:lang w:eastAsia="en-AU"/>
        </w:rPr>
      </w:pPr>
      <w:r w:rsidRPr="00F5071C">
        <w:rPr>
          <w:rFonts w:ascii="Arial" w:eastAsia="Times New Roman" w:hAnsi="Arial" w:cs="Arial"/>
          <w:color w:val="333333"/>
          <w:sz w:val="20"/>
          <w:szCs w:val="20"/>
          <w:lang w:eastAsia="en-AU"/>
        </w:rPr>
        <w:t>epa.vic.gov.au</w:t>
      </w:r>
    </w:p>
    <w:p w14:paraId="11233136" w14:textId="77777777" w:rsidR="00A1428B" w:rsidRPr="00F5071C" w:rsidRDefault="00A1428B" w:rsidP="00A1428B">
      <w:pPr>
        <w:spacing w:before="210" w:after="210" w:line="240" w:lineRule="auto"/>
        <w:rPr>
          <w:rFonts w:ascii="Arial" w:eastAsia="Times New Roman" w:hAnsi="Arial" w:cs="Arial"/>
          <w:color w:val="333333"/>
          <w:sz w:val="20"/>
          <w:szCs w:val="20"/>
          <w:lang w:eastAsia="en-AU"/>
        </w:rPr>
      </w:pPr>
      <w:r w:rsidRPr="00F5071C">
        <w:rPr>
          <w:rFonts w:ascii="Arial" w:eastAsia="Times New Roman" w:hAnsi="Arial" w:cs="Arial"/>
          <w:color w:val="333333"/>
          <w:sz w:val="20"/>
          <w:szCs w:val="20"/>
          <w:lang w:eastAsia="en-AU"/>
        </w:rPr>
        <w:t>Environment Protection Authority Victoria 200 Victoria Street, Carlton VIC 3001</w:t>
      </w:r>
    </w:p>
    <w:p w14:paraId="0E2392A1" w14:textId="77777777" w:rsidR="00A1428B" w:rsidRPr="00F5071C" w:rsidRDefault="00A1428B" w:rsidP="00A1428B">
      <w:pPr>
        <w:spacing w:before="210" w:after="210" w:line="240" w:lineRule="auto"/>
        <w:rPr>
          <w:rFonts w:ascii="Arial" w:eastAsia="Times New Roman" w:hAnsi="Arial" w:cs="Arial"/>
          <w:color w:val="333333"/>
          <w:sz w:val="20"/>
          <w:szCs w:val="20"/>
          <w:lang w:eastAsia="en-AU"/>
        </w:rPr>
      </w:pPr>
      <w:r w:rsidRPr="00F5071C">
        <w:rPr>
          <w:rFonts w:ascii="Arial" w:eastAsia="Times New Roman" w:hAnsi="Arial" w:cs="Arial"/>
          <w:color w:val="333333"/>
          <w:sz w:val="20"/>
          <w:szCs w:val="20"/>
          <w:lang w:eastAsia="en-AU"/>
        </w:rPr>
        <w:t>1300 372 842</w:t>
      </w:r>
    </w:p>
    <w:p w14:paraId="05BCE2D7" w14:textId="77777777" w:rsidR="00A1428B" w:rsidRPr="00F5071C" w:rsidRDefault="00A1428B" w:rsidP="00A1428B">
      <w:pPr>
        <w:spacing w:before="210" w:after="210" w:line="240" w:lineRule="auto"/>
        <w:rPr>
          <w:rFonts w:ascii="Arial" w:eastAsia="Times New Roman" w:hAnsi="Arial" w:cs="Arial"/>
          <w:color w:val="333333"/>
          <w:sz w:val="20"/>
          <w:szCs w:val="20"/>
          <w:lang w:eastAsia="en-AU"/>
        </w:rPr>
      </w:pPr>
      <w:r w:rsidRPr="00F5071C">
        <w:rPr>
          <w:rFonts w:ascii="Arial" w:eastAsia="Times New Roman" w:hAnsi="Arial" w:cs="Arial"/>
          <w:color w:val="333333"/>
          <w:sz w:val="20"/>
          <w:szCs w:val="20"/>
          <w:lang w:eastAsia="en-AU"/>
        </w:rPr>
        <w:t>Authorised and published by the Victorian Government, 1 Treasury Place, Melbourne</w:t>
      </w:r>
    </w:p>
    <w:p w14:paraId="3A56F5FF" w14:textId="77777777" w:rsidR="00A1428B" w:rsidRPr="003643AB" w:rsidRDefault="00A1428B" w:rsidP="00A1428B">
      <w:pPr>
        <w:spacing w:before="210" w:after="210" w:line="240" w:lineRule="auto"/>
        <w:rPr>
          <w:rFonts w:ascii="Arial" w:eastAsia="Times New Roman" w:hAnsi="Arial" w:cs="Arial"/>
          <w:color w:val="333333"/>
          <w:sz w:val="24"/>
          <w:szCs w:val="24"/>
          <w:lang w:eastAsia="en-AU"/>
        </w:rPr>
      </w:pPr>
      <w:r w:rsidRPr="003643AB">
        <w:rPr>
          <w:rFonts w:ascii="Arial" w:eastAsia="Times New Roman" w:hAnsi="Arial" w:cs="Arial"/>
          <w:color w:val="333333"/>
          <w:sz w:val="24"/>
          <w:szCs w:val="24"/>
          <w:lang w:eastAsia="en-AU"/>
        </w:rPr>
        <w:t> </w:t>
      </w:r>
    </w:p>
    <w:p w14:paraId="352811B4" w14:textId="77777777" w:rsidR="00A1428B" w:rsidRPr="003643AB" w:rsidRDefault="00000000" w:rsidP="00A1428B">
      <w:pPr>
        <w:spacing w:before="210" w:line="240" w:lineRule="auto"/>
        <w:rPr>
          <w:rFonts w:ascii="Arial" w:eastAsia="Times New Roman" w:hAnsi="Arial" w:cs="Arial"/>
          <w:color w:val="333333"/>
          <w:sz w:val="24"/>
          <w:szCs w:val="24"/>
          <w:lang w:eastAsia="en-AU"/>
        </w:rPr>
      </w:pPr>
      <w:hyperlink r:id="rId19" w:history="1">
        <w:r w:rsidR="00A1428B" w:rsidRPr="003643AB">
          <w:rPr>
            <w:rFonts w:ascii="Arial" w:eastAsia="Times New Roman" w:hAnsi="Arial" w:cs="Arial"/>
            <w:b/>
            <w:bCs/>
            <w:color w:val="0A3C73"/>
            <w:sz w:val="24"/>
            <w:szCs w:val="24"/>
            <w:u w:val="single"/>
            <w:lang w:eastAsia="en-AU"/>
          </w:rPr>
          <w:t>Strategic Plan 2022-27 PDF</w:t>
        </w:r>
      </w:hyperlink>
    </w:p>
    <w:p w14:paraId="5D3BE69A" w14:textId="77777777" w:rsidR="00A1428B" w:rsidRPr="003643AB" w:rsidRDefault="00A1428B" w:rsidP="00A1428B">
      <w:pPr>
        <w:spacing w:line="240" w:lineRule="auto"/>
        <w:rPr>
          <w:rFonts w:ascii="Arial" w:eastAsia="Times New Roman" w:hAnsi="Arial" w:cs="Arial"/>
          <w:color w:val="333333"/>
          <w:sz w:val="21"/>
          <w:szCs w:val="21"/>
          <w:lang w:eastAsia="en-AU"/>
        </w:rPr>
      </w:pPr>
      <w:r w:rsidRPr="003643AB">
        <w:rPr>
          <w:rFonts w:ascii="Arial" w:eastAsia="Times New Roman" w:hAnsi="Arial" w:cs="Arial"/>
          <w:color w:val="333333"/>
          <w:sz w:val="21"/>
          <w:szCs w:val="21"/>
          <w:lang w:eastAsia="en-AU"/>
        </w:rPr>
        <w:t>Reviewed 1 July 2022</w:t>
      </w:r>
    </w:p>
    <w:p w14:paraId="08806BA3" w14:textId="77777777" w:rsidR="00AA264E" w:rsidRPr="003643AB" w:rsidRDefault="00AA264E">
      <w:pPr>
        <w:rPr>
          <w:rFonts w:ascii="Arial" w:hAnsi="Arial" w:cs="Arial"/>
        </w:rPr>
      </w:pPr>
    </w:p>
    <w:sectPr w:rsidR="00AA264E" w:rsidRPr="003643AB" w:rsidSect="001E3C00">
      <w:headerReference w:type="even" r:id="rId20"/>
      <w:headerReference w:type="default" r:id="rId21"/>
      <w:footerReference w:type="even" r:id="rId22"/>
      <w:footerReference w:type="default" r:id="rId23"/>
      <w:headerReference w:type="first" r:id="rId24"/>
      <w:footerReference w:type="first" r:id="rId25"/>
      <w:pgSz w:w="11906" w:h="16838"/>
      <w:pgMar w:top="127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A56F" w14:textId="77777777" w:rsidR="00066442" w:rsidRDefault="00066442" w:rsidP="00A1428B">
      <w:pPr>
        <w:spacing w:after="0" w:line="240" w:lineRule="auto"/>
      </w:pPr>
      <w:r>
        <w:separator/>
      </w:r>
    </w:p>
  </w:endnote>
  <w:endnote w:type="continuationSeparator" w:id="0">
    <w:p w14:paraId="3C14CED1" w14:textId="77777777" w:rsidR="00066442" w:rsidRDefault="00066442" w:rsidP="00A1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389F" w14:textId="77777777" w:rsidR="00A1428B" w:rsidRDefault="00A14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B893" w14:textId="77777777" w:rsidR="00A1428B" w:rsidRDefault="00A142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F24B" w14:textId="77777777" w:rsidR="00A1428B" w:rsidRDefault="00A14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4F5B3" w14:textId="77777777" w:rsidR="00066442" w:rsidRDefault="00066442" w:rsidP="00A1428B">
      <w:pPr>
        <w:spacing w:after="0" w:line="240" w:lineRule="auto"/>
      </w:pPr>
      <w:r>
        <w:separator/>
      </w:r>
    </w:p>
  </w:footnote>
  <w:footnote w:type="continuationSeparator" w:id="0">
    <w:p w14:paraId="7D0489A5" w14:textId="77777777" w:rsidR="00066442" w:rsidRDefault="00066442" w:rsidP="00A14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BC35" w14:textId="110F4ACD" w:rsidR="00A1428B" w:rsidRDefault="00A1428B">
    <w:pPr>
      <w:pStyle w:val="Header"/>
    </w:pPr>
    <w:r>
      <w:rPr>
        <w:noProof/>
      </w:rPr>
      <mc:AlternateContent>
        <mc:Choice Requires="wps">
          <w:drawing>
            <wp:anchor distT="0" distB="0" distL="0" distR="0" simplePos="0" relativeHeight="251659264" behindDoc="0" locked="0" layoutInCell="1" allowOverlap="1" wp14:anchorId="12B54D34" wp14:editId="0D6DF2C1">
              <wp:simplePos x="635" y="635"/>
              <wp:positionH relativeFrom="column">
                <wp:align>center</wp:align>
              </wp:positionH>
              <wp:positionV relativeFrom="paragraph">
                <wp:posOffset>635</wp:posOffset>
              </wp:positionV>
              <wp:extent cx="443865" cy="443865"/>
              <wp:effectExtent l="0" t="0" r="5715" b="17145"/>
              <wp:wrapSquare wrapText="bothSides"/>
              <wp:docPr id="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EB7751" w14:textId="164D4D8C" w:rsidR="00A1428B" w:rsidRPr="00A1428B" w:rsidRDefault="00A1428B">
                          <w:pPr>
                            <w:rPr>
                              <w:rFonts w:ascii="Calibri" w:eastAsia="Calibri" w:hAnsi="Calibri" w:cs="Calibri"/>
                              <w:noProof/>
                              <w:color w:val="000000"/>
                              <w:sz w:val="20"/>
                              <w:szCs w:val="20"/>
                            </w:rPr>
                          </w:pPr>
                          <w:r w:rsidRPr="00A1428B">
                            <w:rPr>
                              <w:rFonts w:ascii="Calibri" w:eastAsia="Calibri" w:hAnsi="Calibri" w:cs="Calibri"/>
                              <w:noProof/>
                              <w:color w:val="000000"/>
                              <w:sz w:val="20"/>
                              <w:szCs w:val="20"/>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B54D34" id="_x0000_t202" coordsize="21600,21600" o:spt="202" path="m,l,21600r21600,l21600,xe">
              <v:stroke joinstyle="miter"/>
              <v:path gradientshapeok="t" o:connecttype="rect"/>
            </v:shapetype>
            <v:shape id="Text Box 2" o:spid="_x0000_s1026" type="#_x0000_t202" alt="UN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" filled="f" stroked="f">
              <v:textbox style="mso-fit-shape-to-text:t" inset="0,0,0,0">
                <w:txbxContent>
                  <w:p w14:paraId="5AEB7751" w14:textId="164D4D8C" w:rsidR="00A1428B" w:rsidRPr="00A1428B" w:rsidRDefault="00A1428B">
                    <w:pPr>
                      <w:rPr>
                        <w:rFonts w:ascii="Calibri" w:eastAsia="Calibri" w:hAnsi="Calibri" w:cs="Calibri"/>
                        <w:noProof/>
                        <w:color w:val="000000"/>
                        <w:sz w:val="20"/>
                        <w:szCs w:val="20"/>
                      </w:rPr>
                    </w:pPr>
                    <w:r w:rsidRPr="00A1428B">
                      <w:rPr>
                        <w:rFonts w:ascii="Calibri" w:eastAsia="Calibri" w:hAnsi="Calibri" w:cs="Calibri"/>
                        <w:noProof/>
                        <w:color w:val="000000"/>
                        <w:sz w:val="20"/>
                        <w:szCs w:val="20"/>
                      </w:rPr>
                      <w:t>UNOFFICIAL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1651" w14:textId="6EC775C5" w:rsidR="00A1428B" w:rsidRDefault="00A1428B">
    <w:pPr>
      <w:pStyle w:val="Header"/>
    </w:pPr>
    <w:r>
      <w:rPr>
        <w:noProof/>
      </w:rPr>
      <mc:AlternateContent>
        <mc:Choice Requires="wps">
          <w:drawing>
            <wp:anchor distT="0" distB="0" distL="0" distR="0" simplePos="0" relativeHeight="251660288" behindDoc="0" locked="0" layoutInCell="1" allowOverlap="1" wp14:anchorId="74FE04E5" wp14:editId="25B02124">
              <wp:simplePos x="914400" y="452438"/>
              <wp:positionH relativeFrom="column">
                <wp:align>center</wp:align>
              </wp:positionH>
              <wp:positionV relativeFrom="paragraph">
                <wp:posOffset>635</wp:posOffset>
              </wp:positionV>
              <wp:extent cx="443865" cy="443865"/>
              <wp:effectExtent l="0" t="0" r="5715" b="17145"/>
              <wp:wrapSquare wrapText="bothSides"/>
              <wp:docPr id="3" name="Text Box 3"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E82407" w14:textId="5ABB1A9A" w:rsidR="00A1428B" w:rsidRPr="00A1428B" w:rsidRDefault="00A1428B">
                          <w:pPr>
                            <w:rPr>
                              <w:rFonts w:ascii="Calibri" w:eastAsia="Calibri" w:hAnsi="Calibri" w:cs="Calibri"/>
                              <w:noProof/>
                              <w:color w:val="000000"/>
                              <w:sz w:val="20"/>
                              <w:szCs w:val="20"/>
                            </w:rPr>
                          </w:pPr>
                          <w:r w:rsidRPr="00A1428B">
                            <w:rPr>
                              <w:rFonts w:ascii="Calibri" w:eastAsia="Calibri" w:hAnsi="Calibri" w:cs="Calibri"/>
                              <w:noProof/>
                              <w:color w:val="000000"/>
                              <w:sz w:val="20"/>
                              <w:szCs w:val="20"/>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FE04E5" id="_x0000_t202" coordsize="21600,21600" o:spt="202" path="m,l,21600r21600,l21600,xe">
              <v:stroke joinstyle="miter"/>
              <v:path gradientshapeok="t" o:connecttype="rect"/>
            </v:shapetype>
            <v:shape id="Text Box 3" o:spid="_x0000_s1027" type="#_x0000_t202" alt="UN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" filled="f" stroked="f">
              <v:textbox style="mso-fit-shape-to-text:t" inset="0,0,0,0">
                <w:txbxContent>
                  <w:p w14:paraId="6EE82407" w14:textId="5ABB1A9A" w:rsidR="00A1428B" w:rsidRPr="00A1428B" w:rsidRDefault="00A1428B">
                    <w:pPr>
                      <w:rPr>
                        <w:rFonts w:ascii="Calibri" w:eastAsia="Calibri" w:hAnsi="Calibri" w:cs="Calibri"/>
                        <w:noProof/>
                        <w:color w:val="000000"/>
                        <w:sz w:val="20"/>
                        <w:szCs w:val="20"/>
                      </w:rPr>
                    </w:pPr>
                    <w:r w:rsidRPr="00A1428B">
                      <w:rPr>
                        <w:rFonts w:ascii="Calibri" w:eastAsia="Calibri" w:hAnsi="Calibri" w:cs="Calibri"/>
                        <w:noProof/>
                        <w:color w:val="000000"/>
                        <w:sz w:val="20"/>
                        <w:szCs w:val="20"/>
                      </w:rPr>
                      <w:t>UNOFFICIAL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E033" w14:textId="059C6D63" w:rsidR="00A1428B" w:rsidRDefault="00A1428B">
    <w:pPr>
      <w:pStyle w:val="Header"/>
    </w:pPr>
    <w:r>
      <w:rPr>
        <w:noProof/>
      </w:rPr>
      <mc:AlternateContent>
        <mc:Choice Requires="wps">
          <w:drawing>
            <wp:anchor distT="0" distB="0" distL="0" distR="0" simplePos="0" relativeHeight="251658240" behindDoc="0" locked="0" layoutInCell="1" allowOverlap="1" wp14:anchorId="5D1D267C" wp14:editId="34347484">
              <wp:simplePos x="635" y="635"/>
              <wp:positionH relativeFrom="column">
                <wp:align>center</wp:align>
              </wp:positionH>
              <wp:positionV relativeFrom="paragraph">
                <wp:posOffset>635</wp:posOffset>
              </wp:positionV>
              <wp:extent cx="443865" cy="443865"/>
              <wp:effectExtent l="0" t="0" r="5715" b="17145"/>
              <wp:wrapSquare wrapText="bothSides"/>
              <wp:docPr id="1"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E31AC2" w14:textId="628651E0" w:rsidR="00A1428B" w:rsidRPr="00A1428B" w:rsidRDefault="00A1428B">
                          <w:pPr>
                            <w:rPr>
                              <w:rFonts w:ascii="Calibri" w:eastAsia="Calibri" w:hAnsi="Calibri" w:cs="Calibri"/>
                              <w:noProof/>
                              <w:color w:val="000000"/>
                              <w:sz w:val="20"/>
                              <w:szCs w:val="20"/>
                            </w:rPr>
                          </w:pPr>
                          <w:r w:rsidRPr="00A1428B">
                            <w:rPr>
                              <w:rFonts w:ascii="Calibri" w:eastAsia="Calibri" w:hAnsi="Calibri" w:cs="Calibri"/>
                              <w:noProof/>
                              <w:color w:val="000000"/>
                              <w:sz w:val="20"/>
                              <w:szCs w:val="20"/>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1D267C" id="_x0000_t202" coordsize="21600,21600" o:spt="202" path="m,l,21600r21600,l21600,xe">
              <v:stroke joinstyle="miter"/>
              <v:path gradientshapeok="t" o:connecttype="rect"/>
            </v:shapetype>
            <v:shape id="Text Box 1" o:spid="_x0000_s1028" type="#_x0000_t202" alt="UN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" filled="f" stroked="f">
              <v:textbox style="mso-fit-shape-to-text:t" inset="0,0,0,0">
                <w:txbxContent>
                  <w:p w14:paraId="4BE31AC2" w14:textId="628651E0" w:rsidR="00A1428B" w:rsidRPr="00A1428B" w:rsidRDefault="00A1428B">
                    <w:pPr>
                      <w:rPr>
                        <w:rFonts w:ascii="Calibri" w:eastAsia="Calibri" w:hAnsi="Calibri" w:cs="Calibri"/>
                        <w:noProof/>
                        <w:color w:val="000000"/>
                        <w:sz w:val="20"/>
                        <w:szCs w:val="20"/>
                      </w:rPr>
                    </w:pPr>
                    <w:r w:rsidRPr="00A1428B">
                      <w:rPr>
                        <w:rFonts w:ascii="Calibri" w:eastAsia="Calibri" w:hAnsi="Calibri" w:cs="Calibri"/>
                        <w:noProof/>
                        <w:color w:val="000000"/>
                        <w:sz w:val="20"/>
                        <w:szCs w:val="20"/>
                      </w:rPr>
                      <w:t>UNOFFICIAL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D38F2"/>
    <w:multiLevelType w:val="multilevel"/>
    <w:tmpl w:val="B428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A81AAC"/>
    <w:multiLevelType w:val="multilevel"/>
    <w:tmpl w:val="E1AE5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31657E"/>
    <w:multiLevelType w:val="multilevel"/>
    <w:tmpl w:val="CDF6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D30F11"/>
    <w:multiLevelType w:val="multilevel"/>
    <w:tmpl w:val="72DA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882429"/>
    <w:multiLevelType w:val="multilevel"/>
    <w:tmpl w:val="04A8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C80952"/>
    <w:multiLevelType w:val="multilevel"/>
    <w:tmpl w:val="A0B6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7670415">
    <w:abstractNumId w:val="0"/>
  </w:num>
  <w:num w:numId="2" w16cid:durableId="355808360">
    <w:abstractNumId w:val="3"/>
  </w:num>
  <w:num w:numId="3" w16cid:durableId="680475596">
    <w:abstractNumId w:val="5"/>
  </w:num>
  <w:num w:numId="4" w16cid:durableId="1299996255">
    <w:abstractNumId w:val="4"/>
  </w:num>
  <w:num w:numId="5" w16cid:durableId="1051885541">
    <w:abstractNumId w:val="2"/>
  </w:num>
  <w:num w:numId="6" w16cid:durableId="1210847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8B"/>
    <w:rsid w:val="00066442"/>
    <w:rsid w:val="000E2E5A"/>
    <w:rsid w:val="000F47DE"/>
    <w:rsid w:val="00156AD2"/>
    <w:rsid w:val="001A21A8"/>
    <w:rsid w:val="001E3C00"/>
    <w:rsid w:val="002B20EA"/>
    <w:rsid w:val="002C0A5C"/>
    <w:rsid w:val="00305D74"/>
    <w:rsid w:val="003643AB"/>
    <w:rsid w:val="00376686"/>
    <w:rsid w:val="00427DAD"/>
    <w:rsid w:val="004F2481"/>
    <w:rsid w:val="005E3A94"/>
    <w:rsid w:val="006D3756"/>
    <w:rsid w:val="00830FD3"/>
    <w:rsid w:val="008A3CC6"/>
    <w:rsid w:val="008D50E6"/>
    <w:rsid w:val="009C5865"/>
    <w:rsid w:val="00A1428B"/>
    <w:rsid w:val="00A25D42"/>
    <w:rsid w:val="00A260BA"/>
    <w:rsid w:val="00A37353"/>
    <w:rsid w:val="00AA264E"/>
    <w:rsid w:val="00B3770B"/>
    <w:rsid w:val="00B42DCC"/>
    <w:rsid w:val="00BA444E"/>
    <w:rsid w:val="00BD5A6C"/>
    <w:rsid w:val="00DD022D"/>
    <w:rsid w:val="00DF2C44"/>
    <w:rsid w:val="00E23455"/>
    <w:rsid w:val="00ED3D54"/>
    <w:rsid w:val="00F2341D"/>
    <w:rsid w:val="00F31857"/>
    <w:rsid w:val="00F5071C"/>
    <w:rsid w:val="00F63F9E"/>
    <w:rsid w:val="00FF15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E436"/>
  <w15:chartTrackingRefBased/>
  <w15:docId w15:val="{67BF63A8-110F-4A6D-8D4F-5B80215B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42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A1428B"/>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A1428B"/>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A1428B"/>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28B"/>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A1428B"/>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A1428B"/>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A1428B"/>
    <w:rPr>
      <w:rFonts w:ascii="Times New Roman" w:eastAsia="Times New Roman" w:hAnsi="Times New Roman" w:cs="Times New Roman"/>
      <w:b/>
      <w:bCs/>
      <w:sz w:val="24"/>
      <w:szCs w:val="24"/>
      <w:lang w:eastAsia="en-AU"/>
    </w:rPr>
  </w:style>
  <w:style w:type="character" w:styleId="Hyperlink">
    <w:name w:val="Hyperlink"/>
    <w:basedOn w:val="DefaultParagraphFont"/>
    <w:uiPriority w:val="99"/>
    <w:semiHidden/>
    <w:unhideWhenUsed/>
    <w:rsid w:val="00A1428B"/>
    <w:rPr>
      <w:color w:val="0000FF"/>
      <w:u w:val="single"/>
    </w:rPr>
  </w:style>
  <w:style w:type="paragraph" w:styleId="NormalWeb">
    <w:name w:val="Normal (Web)"/>
    <w:basedOn w:val="Normal"/>
    <w:uiPriority w:val="99"/>
    <w:semiHidden/>
    <w:unhideWhenUsed/>
    <w:rsid w:val="00A1428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A14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28B"/>
  </w:style>
  <w:style w:type="paragraph" w:styleId="Footer">
    <w:name w:val="footer"/>
    <w:basedOn w:val="Normal"/>
    <w:link w:val="FooterChar"/>
    <w:uiPriority w:val="99"/>
    <w:unhideWhenUsed/>
    <w:rsid w:val="00A14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625199">
      <w:bodyDiv w:val="1"/>
      <w:marLeft w:val="0"/>
      <w:marRight w:val="0"/>
      <w:marTop w:val="0"/>
      <w:marBottom w:val="0"/>
      <w:divBdr>
        <w:top w:val="none" w:sz="0" w:space="0" w:color="auto"/>
        <w:left w:val="none" w:sz="0" w:space="0" w:color="auto"/>
        <w:bottom w:val="none" w:sz="0" w:space="0" w:color="auto"/>
        <w:right w:val="none" w:sz="0" w:space="0" w:color="auto"/>
      </w:divBdr>
      <w:divsChild>
        <w:div w:id="530534310">
          <w:marLeft w:val="0"/>
          <w:marRight w:val="0"/>
          <w:marTop w:val="0"/>
          <w:marBottom w:val="0"/>
          <w:divBdr>
            <w:top w:val="none" w:sz="0" w:space="0" w:color="auto"/>
            <w:left w:val="none" w:sz="0" w:space="0" w:color="auto"/>
            <w:bottom w:val="none" w:sz="0" w:space="0" w:color="auto"/>
            <w:right w:val="none" w:sz="0" w:space="0" w:color="auto"/>
          </w:divBdr>
          <w:divsChild>
            <w:div w:id="1992833893">
              <w:marLeft w:val="0"/>
              <w:marRight w:val="0"/>
              <w:marTop w:val="0"/>
              <w:marBottom w:val="0"/>
              <w:divBdr>
                <w:top w:val="none" w:sz="0" w:space="0" w:color="auto"/>
                <w:left w:val="none" w:sz="0" w:space="0" w:color="auto"/>
                <w:bottom w:val="none" w:sz="0" w:space="0" w:color="auto"/>
                <w:right w:val="none" w:sz="0" w:space="0" w:color="auto"/>
              </w:divBdr>
            </w:div>
          </w:divsChild>
        </w:div>
        <w:div w:id="559511736">
          <w:marLeft w:val="0"/>
          <w:marRight w:val="0"/>
          <w:marTop w:val="0"/>
          <w:marBottom w:val="1800"/>
          <w:divBdr>
            <w:top w:val="none" w:sz="0" w:space="0" w:color="auto"/>
            <w:left w:val="none" w:sz="0" w:space="0" w:color="auto"/>
            <w:bottom w:val="none" w:sz="0" w:space="0" w:color="auto"/>
            <w:right w:val="none" w:sz="0" w:space="0" w:color="auto"/>
          </w:divBdr>
          <w:divsChild>
            <w:div w:id="1155533079">
              <w:marLeft w:val="0"/>
              <w:marRight w:val="0"/>
              <w:marTop w:val="0"/>
              <w:marBottom w:val="0"/>
              <w:divBdr>
                <w:top w:val="none" w:sz="0" w:space="0" w:color="auto"/>
                <w:left w:val="single" w:sz="18" w:space="0" w:color="0A3C73"/>
                <w:bottom w:val="none" w:sz="0" w:space="0" w:color="auto"/>
                <w:right w:val="none" w:sz="0" w:space="0" w:color="auto"/>
              </w:divBdr>
            </w:div>
            <w:div w:id="109475980">
              <w:marLeft w:val="0"/>
              <w:marRight w:val="0"/>
              <w:marTop w:val="525"/>
              <w:marBottom w:val="525"/>
              <w:divBdr>
                <w:top w:val="none" w:sz="0" w:space="0" w:color="auto"/>
                <w:left w:val="none" w:sz="0" w:space="0" w:color="auto"/>
                <w:bottom w:val="none" w:sz="0" w:space="0" w:color="auto"/>
                <w:right w:val="none" w:sz="0" w:space="0" w:color="auto"/>
              </w:divBdr>
            </w:div>
            <w:div w:id="965811743">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vic.gov.au/about-epa/strategic-plan-2022-27" TargetMode="External"/><Relationship Id="rId13" Type="http://schemas.openxmlformats.org/officeDocument/2006/relationships/hyperlink" Target="https://www.epa.vic.gov.au/about-epa/strategic-plan-2022-27" TargetMode="External"/><Relationship Id="rId18" Type="http://schemas.openxmlformats.org/officeDocument/2006/relationships/hyperlink" Target="https://www.epa.vic.gov.au/about-epa/strategic-plan-2022-2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epa.vic.gov.au/about-epa/strategic-plan-2022-27" TargetMode="External"/><Relationship Id="rId12" Type="http://schemas.openxmlformats.org/officeDocument/2006/relationships/hyperlink" Target="https://www.epa.vic.gov.au/about-epa/strategic-plan-2022-27" TargetMode="External"/><Relationship Id="rId17" Type="http://schemas.openxmlformats.org/officeDocument/2006/relationships/hyperlink" Target="https://www.climatechange.vic.gov.au/victorian-government-action-on-climate-change"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epa.vic.gov.au/about-epa/strategic-plan-2022-27"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vic.gov.au/about-epa/strategic-plan-2022-27"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epa.vic.gov.au/about-epa/strategic-plan-2022-27" TargetMode="External"/><Relationship Id="rId23" Type="http://schemas.openxmlformats.org/officeDocument/2006/relationships/footer" Target="footer2.xml"/><Relationship Id="rId10" Type="http://schemas.openxmlformats.org/officeDocument/2006/relationships/hyperlink" Target="https://www.epa.vic.gov.au/about-epa/strategic-plan-2022-27" TargetMode="External"/><Relationship Id="rId19" Type="http://schemas.openxmlformats.org/officeDocument/2006/relationships/hyperlink" Target="https://www.epa.vic.gov.au/-/media/epa/files/about-epa/strategic-plan-2022-27/strategic-plan-2022-27.pdf?la=en&amp;hash=EAD5F8F3B4E767FE24DD4FEDE232C63D" TargetMode="External"/><Relationship Id="rId4" Type="http://schemas.openxmlformats.org/officeDocument/2006/relationships/webSettings" Target="webSettings.xml"/><Relationship Id="rId9" Type="http://schemas.openxmlformats.org/officeDocument/2006/relationships/hyperlink" Target="https://www.epa.vic.gov.au/about-epa/strategic-plan-2022-27" TargetMode="External"/><Relationship Id="rId14" Type="http://schemas.openxmlformats.org/officeDocument/2006/relationships/hyperlink" Target="https://www.epa.vic.gov.au/about-epa/strategic-plan-2022-27"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84c669e-a49d-47d1-ae00-34b3cb830346}" enabled="1" method="Privileged" siteId="{28e1a73d-f0ce-441e-80a7-1b36946db330}"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2846</Words>
  <Characters>16225</Characters>
  <Application>Microsoft Office Word</Application>
  <DocSecurity>0</DocSecurity>
  <Lines>135</Lines>
  <Paragraphs>38</Paragraphs>
  <ScaleCrop>false</ScaleCrop>
  <Company/>
  <LinksUpToDate>false</LinksUpToDate>
  <CharactersWithSpaces>19033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Laurachel Ventus</dc:creator>
  <cp:keywords/>
  <dc:description/>
  <cp:lastModifiedBy>Amanda Sheat</cp:lastModifiedBy>
  <cp:revision>2</cp:revision>
  <dcterms:created xsi:type="dcterms:W3CDTF">2022-07-15T03:34:00Z</dcterms:created>
  <dcterms:modified xsi:type="dcterms:W3CDTF">2022-07-15T03:34:00Z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UNOFFICIAL</vt:lpwstr>
  </property>
</Properties>
</file>