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F3A1" w14:textId="4EB2AC76" w:rsidR="00184DEF" w:rsidRDefault="00073C26" w:rsidP="10077A7C">
      <w:r>
        <w:rPr>
          <w:noProof/>
        </w:rPr>
        <w:drawing>
          <wp:anchor distT="0" distB="0" distL="114300" distR="114300" simplePos="0" relativeHeight="251642880" behindDoc="1" locked="0" layoutInCell="1" allowOverlap="1" wp14:anchorId="378F08D4" wp14:editId="432B3995">
            <wp:simplePos x="0" y="0"/>
            <wp:positionH relativeFrom="margin">
              <wp:posOffset>-653598</wp:posOffset>
            </wp:positionH>
            <wp:positionV relativeFrom="margin">
              <wp:posOffset>-705013</wp:posOffset>
            </wp:positionV>
            <wp:extent cx="7620000" cy="10770468"/>
            <wp:effectExtent l="0" t="0" r="0" b="0"/>
            <wp:wrapNone/>
            <wp:docPr id="7" name="Picture 7"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527C107F" w14:textId="77777777" w:rsidR="0054371A" w:rsidRDefault="0054371A" w:rsidP="10077A7C"/>
    <w:p w14:paraId="7B79E018" w14:textId="77777777" w:rsidR="0054371A" w:rsidRDefault="0054371A" w:rsidP="10077A7C"/>
    <w:p w14:paraId="72AD54EE" w14:textId="77777777" w:rsidR="0054371A" w:rsidRDefault="0054371A" w:rsidP="10077A7C"/>
    <w:p w14:paraId="5E624D29" w14:textId="77777777" w:rsidR="0054371A" w:rsidRDefault="0054371A" w:rsidP="10077A7C"/>
    <w:p w14:paraId="66FB143D" w14:textId="77777777" w:rsidR="0054371A" w:rsidRDefault="0054371A" w:rsidP="10077A7C"/>
    <w:p w14:paraId="5D6DAB99" w14:textId="77777777" w:rsidR="0054371A" w:rsidRDefault="0054371A" w:rsidP="10077A7C"/>
    <w:p w14:paraId="300037E3" w14:textId="77777777" w:rsidR="0054371A" w:rsidRDefault="0054371A" w:rsidP="10077A7C"/>
    <w:p w14:paraId="5115DFCD" w14:textId="77777777" w:rsidR="0054371A" w:rsidRDefault="0054371A" w:rsidP="10077A7C"/>
    <w:p w14:paraId="24171C56" w14:textId="77777777" w:rsidR="0054371A" w:rsidRDefault="0054371A" w:rsidP="10077A7C"/>
    <w:p w14:paraId="0E90A495" w14:textId="77777777" w:rsidR="0054371A" w:rsidRDefault="0054371A" w:rsidP="10077A7C"/>
    <w:p w14:paraId="3DC32409" w14:textId="77777777" w:rsidR="0054371A" w:rsidRDefault="0054371A" w:rsidP="10077A7C"/>
    <w:p w14:paraId="330F8C72" w14:textId="53025811" w:rsidR="00184DEF" w:rsidRPr="00B36C1E" w:rsidRDefault="00523192" w:rsidP="00841863">
      <w:pPr>
        <w:jc w:val="right"/>
        <w:rPr>
          <w:color w:val="0A3C73"/>
          <w:sz w:val="50"/>
          <w:szCs w:val="50"/>
        </w:rPr>
      </w:pPr>
      <w:r w:rsidRPr="00B36C1E">
        <w:rPr>
          <w:noProof/>
          <w:sz w:val="50"/>
          <w:szCs w:val="50"/>
        </w:rPr>
        <w:drawing>
          <wp:anchor distT="0" distB="0" distL="114300" distR="114300" simplePos="0" relativeHeight="251664384" behindDoc="0" locked="0" layoutInCell="1" allowOverlap="1" wp14:anchorId="07B97DAE" wp14:editId="7F67DA55">
            <wp:simplePos x="0" y="0"/>
            <wp:positionH relativeFrom="margin">
              <wp:align>right</wp:align>
            </wp:positionH>
            <wp:positionV relativeFrom="margin">
              <wp:align>top</wp:align>
            </wp:positionV>
            <wp:extent cx="1770842" cy="9645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FB5">
        <w:rPr>
          <w:color w:val="0A3C73"/>
          <w:sz w:val="50"/>
          <w:szCs w:val="50"/>
        </w:rPr>
        <w:t>Guidance for e</w:t>
      </w:r>
      <w:r w:rsidR="00002FE8" w:rsidRPr="00B36C1E">
        <w:rPr>
          <w:color w:val="0A3C73"/>
          <w:sz w:val="50"/>
          <w:szCs w:val="50"/>
        </w:rPr>
        <w:t>nvironmental and human health risk assessment of wastewater discharges to surface waters</w:t>
      </w:r>
    </w:p>
    <w:p w14:paraId="68AC5525" w14:textId="38A8DA29" w:rsidR="008F3F4D" w:rsidRDefault="008F3F4D" w:rsidP="00F73F48">
      <w:pPr>
        <w:jc w:val="right"/>
        <w:rPr>
          <w:color w:val="0A3C73"/>
          <w:sz w:val="80"/>
          <w:szCs w:val="80"/>
        </w:rPr>
      </w:pPr>
    </w:p>
    <w:p w14:paraId="46ED8D61" w14:textId="77777777" w:rsidR="00287FAB" w:rsidRDefault="00837C1D" w:rsidP="00ED2BE6">
      <w:pPr>
        <w:pStyle w:val="Subtitle"/>
        <w:jc w:val="right"/>
        <w:rPr>
          <w:color w:val="FFFFFF" w:themeColor="background1"/>
        </w:rPr>
      </w:pPr>
      <w:r>
        <w:rPr>
          <w:color w:val="FFFFFF" w:themeColor="background1"/>
        </w:rPr>
        <w:t>Risk assessment of</w:t>
      </w:r>
      <w:r w:rsidR="00287FAB">
        <w:rPr>
          <w:color w:val="FFFFFF" w:themeColor="background1"/>
        </w:rPr>
        <w:t xml:space="preserve"> </w:t>
      </w:r>
      <w:r>
        <w:rPr>
          <w:color w:val="FFFFFF" w:themeColor="background1"/>
        </w:rPr>
        <w:t xml:space="preserve">wastewater </w:t>
      </w:r>
    </w:p>
    <w:p w14:paraId="0AADB77C" w14:textId="017FD345" w:rsidR="008F3F4D" w:rsidRPr="00ED2BE6" w:rsidRDefault="00837C1D" w:rsidP="00ED2BE6">
      <w:pPr>
        <w:pStyle w:val="Subtitle"/>
        <w:jc w:val="right"/>
        <w:rPr>
          <w:color w:val="FFFFFF" w:themeColor="background1"/>
        </w:rPr>
      </w:pPr>
      <w:r>
        <w:rPr>
          <w:color w:val="FFFFFF" w:themeColor="background1"/>
        </w:rPr>
        <w:t>discharges</w:t>
      </w:r>
      <w:r w:rsidR="00287FAB">
        <w:rPr>
          <w:color w:val="FFFFFF" w:themeColor="background1"/>
        </w:rPr>
        <w:t xml:space="preserve"> to surface waters</w:t>
      </w:r>
      <w:r>
        <w:rPr>
          <w:color w:val="FFFFFF" w:themeColor="background1"/>
        </w:rPr>
        <w:t xml:space="preserve"> </w:t>
      </w:r>
    </w:p>
    <w:p w14:paraId="4564D595" w14:textId="77777777" w:rsidR="008F3F4D" w:rsidRDefault="008F3F4D" w:rsidP="008F3F4D">
      <w:pPr>
        <w:jc w:val="right"/>
        <w:rPr>
          <w:color w:val="FFFFFF" w:themeColor="background1"/>
        </w:rPr>
      </w:pPr>
    </w:p>
    <w:p w14:paraId="48627E2F" w14:textId="33B00FAB" w:rsidR="008F3F4D" w:rsidRDefault="008F3F4D" w:rsidP="008F3F4D">
      <w:pPr>
        <w:jc w:val="right"/>
        <w:rPr>
          <w:color w:val="FFFFFF" w:themeColor="background1"/>
        </w:rPr>
      </w:pPr>
      <w:r>
        <w:rPr>
          <w:color w:val="FFFFFF" w:themeColor="background1"/>
        </w:rPr>
        <w:br/>
      </w:r>
      <w:r w:rsidRPr="00226027">
        <w:rPr>
          <w:color w:val="FFFFFF" w:themeColor="background1"/>
        </w:rPr>
        <w:t xml:space="preserve">Publication </w:t>
      </w:r>
      <w:r w:rsidR="00ED2BE6">
        <w:rPr>
          <w:color w:val="FFFFFF" w:themeColor="background1"/>
        </w:rPr>
        <w:t>1287</w:t>
      </w:r>
      <w:r w:rsidRPr="00226027">
        <w:rPr>
          <w:color w:val="FFFFFF" w:themeColor="background1"/>
        </w:rPr>
        <w:t xml:space="preserve">   |   </w:t>
      </w:r>
      <w:r w:rsidR="00AB3573">
        <w:rPr>
          <w:color w:val="FFFFFF" w:themeColor="background1"/>
        </w:rPr>
        <w:t>May</w:t>
      </w:r>
      <w:r w:rsidRPr="00226027">
        <w:rPr>
          <w:color w:val="FFFFFF" w:themeColor="background1"/>
        </w:rPr>
        <w:t xml:space="preserve"> 202</w:t>
      </w:r>
      <w:r w:rsidR="00B17287">
        <w:rPr>
          <w:color w:val="FFFFFF" w:themeColor="background1"/>
        </w:rPr>
        <w:t>3</w:t>
      </w:r>
      <w:r w:rsidRPr="00226027">
        <w:rPr>
          <w:color w:val="FFFFFF" w:themeColor="background1"/>
        </w:rPr>
        <w:t xml:space="preserve"> </w:t>
      </w:r>
    </w:p>
    <w:p w14:paraId="3A5E64B1" w14:textId="31988D40" w:rsidR="00184DEF" w:rsidRDefault="00525686" w:rsidP="00525686">
      <w:pPr>
        <w:spacing w:after="0"/>
        <w:ind w:left="2160"/>
      </w:pPr>
      <w:r w:rsidRPr="00525686">
        <w:rPr>
          <w:color w:val="FFFFFF" w:themeColor="background1"/>
        </w:rPr>
        <w:t>Water Sciences and Environmental Public Health Branch, Science Division</w:t>
      </w:r>
      <w:r w:rsidR="00184DEF">
        <w:br w:type="page"/>
      </w:r>
    </w:p>
    <w:p w14:paraId="44BB2F09" w14:textId="345DD544" w:rsidR="00114765" w:rsidRPr="00F73919" w:rsidRDefault="00000000" w:rsidP="00114765">
      <w:pPr>
        <w:pStyle w:val="BodyText0"/>
        <w:spacing w:after="120"/>
        <w:rPr>
          <w:rStyle w:val="Hyperlink"/>
        </w:rPr>
      </w:pPr>
      <w:hyperlink r:id="rId13" w:history="1">
        <w:r w:rsidR="00114765" w:rsidRPr="001B1BD1">
          <w:rPr>
            <w:rStyle w:val="Hyperlink"/>
          </w:rPr>
          <w:t>epa.vic.gov.au</w:t>
        </w:r>
      </w:hyperlink>
      <w:r w:rsidR="00114765" w:rsidRPr="00F73919">
        <w:rPr>
          <w:rStyle w:val="Hyperlink"/>
        </w:rPr>
        <w:t xml:space="preserve"> </w:t>
      </w:r>
    </w:p>
    <w:p w14:paraId="5C08552B" w14:textId="77777777" w:rsidR="00114765" w:rsidRPr="0079361E" w:rsidRDefault="00114765" w:rsidP="00114765">
      <w:pPr>
        <w:pStyle w:val="BodyText0"/>
        <w:rPr>
          <w:color w:val="0A3C73"/>
        </w:rPr>
      </w:pPr>
      <w:r w:rsidRPr="0079361E">
        <w:rPr>
          <w:color w:val="0A3C73"/>
        </w:rPr>
        <w:t>Environment Protection Authority Victoria</w:t>
      </w:r>
    </w:p>
    <w:p w14:paraId="46B837D9" w14:textId="77777777" w:rsidR="00114765" w:rsidRPr="0079361E" w:rsidRDefault="00114765" w:rsidP="00114765">
      <w:pPr>
        <w:pStyle w:val="BodyText0"/>
        <w:rPr>
          <w:color w:val="0A3C73"/>
        </w:rPr>
      </w:pPr>
      <w:r w:rsidRPr="0079361E">
        <w:rPr>
          <w:color w:val="0A3C73"/>
        </w:rPr>
        <w:t>GPO BOX 4395 Melbourne VIC 3001</w:t>
      </w:r>
    </w:p>
    <w:p w14:paraId="244368E2" w14:textId="77777777" w:rsidR="00114765" w:rsidRPr="0079361E" w:rsidRDefault="00114765" w:rsidP="00114765">
      <w:pPr>
        <w:pStyle w:val="BodyText0"/>
        <w:rPr>
          <w:color w:val="0A3C73"/>
        </w:rPr>
      </w:pPr>
      <w:r w:rsidRPr="0079361E">
        <w:rPr>
          <w:color w:val="0A3C73"/>
        </w:rPr>
        <w:t>1300 372 842</w:t>
      </w:r>
    </w:p>
    <w:p w14:paraId="491B72E7" w14:textId="77777777" w:rsidR="00114765" w:rsidRDefault="00114765" w:rsidP="00071B66">
      <w:pPr>
        <w:pStyle w:val="BodyText0"/>
      </w:pPr>
    </w:p>
    <w:p w14:paraId="3D13E8BA" w14:textId="77777777" w:rsidR="00114765" w:rsidRDefault="00114765" w:rsidP="00114765">
      <w:pPr>
        <w:pStyle w:val="BodyText0"/>
      </w:pPr>
      <w:r>
        <w:rPr>
          <w:noProof/>
          <w:sz w:val="16"/>
          <w:szCs w:val="16"/>
        </w:rPr>
        <mc:AlternateContent>
          <mc:Choice Requires="wps">
            <w:drawing>
              <wp:anchor distT="0" distB="0" distL="114300" distR="114300" simplePos="0" relativeHeight="251666432" behindDoc="0" locked="0" layoutInCell="1" allowOverlap="1" wp14:anchorId="3FED5F0E" wp14:editId="4E2FDCCC">
                <wp:simplePos x="0" y="0"/>
                <wp:positionH relativeFrom="column">
                  <wp:posOffset>0</wp:posOffset>
                </wp:positionH>
                <wp:positionV relativeFrom="paragraph">
                  <wp:posOffset>58943</wp:posOffset>
                </wp:positionV>
                <wp:extent cx="6492875" cy="0"/>
                <wp:effectExtent l="0" t="0" r="9525" b="12700"/>
                <wp:wrapNone/>
                <wp:docPr id="46" name="Straight Connector 4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7F897" id="Straight Connector 4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" strokecolor="#00b4e1" strokeweight="1pt"/>
            </w:pict>
          </mc:Fallback>
        </mc:AlternateContent>
      </w:r>
    </w:p>
    <w:p w14:paraId="3FD3F51F" w14:textId="77777777" w:rsidR="00114765" w:rsidRDefault="00114765" w:rsidP="00114765">
      <w:pPr>
        <w:pStyle w:val="BodyText0"/>
      </w:pPr>
    </w:p>
    <w:p w14:paraId="416F8007" w14:textId="77777777" w:rsidR="00114765" w:rsidRDefault="00114765" w:rsidP="00114765">
      <w:pPr>
        <w:pStyle w:val="BodyText0"/>
      </w:pPr>
    </w:p>
    <w:p w14:paraId="6D8F573E" w14:textId="77777777" w:rsidR="00114765" w:rsidRDefault="00114765" w:rsidP="00114765">
      <w:pPr>
        <w:pStyle w:val="BodyText0"/>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Pr>
          <w:spacing w:val="-2"/>
        </w:rPr>
        <w:br/>
      </w:r>
      <w:r w:rsidRPr="0079361E">
        <w:t>at the time of publication.</w:t>
      </w:r>
      <w:r w:rsidRPr="00525522">
        <w:rPr>
          <w:noProof/>
          <w:sz w:val="16"/>
          <w:szCs w:val="16"/>
        </w:rPr>
        <w:t xml:space="preserve"> </w:t>
      </w:r>
    </w:p>
    <w:p w14:paraId="2F12E966" w14:textId="77777777" w:rsidR="00114765" w:rsidRDefault="00114765" w:rsidP="00114765">
      <w:pPr>
        <w:pStyle w:val="BodyText0"/>
      </w:pPr>
    </w:p>
    <w:p w14:paraId="0390BBE9" w14:textId="29CA691F" w:rsidR="00114765" w:rsidRPr="00F73919" w:rsidRDefault="00114765" w:rsidP="00114765">
      <w:pPr>
        <w:pStyle w:val="BodyText0"/>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4">
        <w:r w:rsidRPr="00F73919">
          <w:rPr>
            <w:rStyle w:val="Hyperlink"/>
          </w:rPr>
          <w:t>epa.vic.gov.au/publication-feedback</w:t>
        </w:r>
      </w:hyperlink>
    </w:p>
    <w:p w14:paraId="6285828E" w14:textId="77777777" w:rsidR="00114765" w:rsidRPr="0079361E" w:rsidRDefault="00114765" w:rsidP="00114765">
      <w:pPr>
        <w:pStyle w:val="BodyText0"/>
      </w:pPr>
    </w:p>
    <w:p w14:paraId="36EE622B" w14:textId="77777777" w:rsidR="00114765" w:rsidRDefault="00114765" w:rsidP="00114765">
      <w:pPr>
        <w:pStyle w:val="BodyText0"/>
      </w:pPr>
      <w:r w:rsidRPr="0079361E">
        <w:t xml:space="preserve">EPA acknowledges Aboriginal people as the first peoples and Traditional custodians of the land </w:t>
      </w:r>
      <w:r>
        <w:br/>
      </w:r>
      <w:r w:rsidRPr="0079361E">
        <w:t xml:space="preserve">and water on which we live, work and depend. We pay respect to Aboriginal Elders past and present </w:t>
      </w:r>
      <w:r>
        <w:br/>
      </w:r>
      <w:r w:rsidRPr="0079361E">
        <w:t>and recognise the continuing connection to, and aspirations for Country.</w:t>
      </w:r>
    </w:p>
    <w:p w14:paraId="7238EAA1" w14:textId="77777777" w:rsidR="00114765" w:rsidRPr="0079361E" w:rsidRDefault="00114765" w:rsidP="00114765">
      <w:pPr>
        <w:pStyle w:val="Header"/>
      </w:pPr>
    </w:p>
    <w:p w14:paraId="0C8E089E" w14:textId="77777777" w:rsidR="00114765" w:rsidRDefault="00114765" w:rsidP="00114765">
      <w:pPr>
        <w:rPr>
          <w:rFonts w:ascii="Arial" w:hAnsi="Arial"/>
          <w:b/>
          <w:bCs/>
          <w:noProof/>
          <w:color w:val="00B4E1"/>
          <w:lang w:eastAsia="en-GB"/>
        </w:rPr>
      </w:pPr>
      <w:r>
        <w:rPr>
          <w:rFonts w:ascii="Arial" w:hAnsi="Arial"/>
          <w:b/>
          <w:noProof/>
          <w:color w:val="00B4E1"/>
          <w:lang w:eastAsia="en-GB"/>
        </w:rPr>
        <w:drawing>
          <wp:inline distT="0" distB="0" distL="0" distR="0" wp14:anchorId="767A9462" wp14:editId="579B63FE">
            <wp:extent cx="1398270" cy="461564"/>
            <wp:effectExtent l="0" t="0" r="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1E435C1" w14:textId="77777777" w:rsidR="00BB17D1" w:rsidRDefault="00BB17D1" w:rsidP="10077A7C"/>
    <w:p w14:paraId="462236B0" w14:textId="77777777" w:rsidR="00D252F4" w:rsidRDefault="00D252F4" w:rsidP="00465F93"/>
    <w:p w14:paraId="2998D78E" w14:textId="77777777" w:rsidR="00D252F4" w:rsidRDefault="00D252F4" w:rsidP="00465F93"/>
    <w:p w14:paraId="67921F5A" w14:textId="77777777" w:rsidR="00D252F4" w:rsidRDefault="00D252F4" w:rsidP="00465F93"/>
    <w:p w14:paraId="6BC9A572" w14:textId="2AE551B1" w:rsidR="00831486" w:rsidRDefault="00831486">
      <w:pPr>
        <w:spacing w:after="0"/>
      </w:pPr>
      <w:r>
        <w:br w:type="page"/>
      </w:r>
    </w:p>
    <w:p w14:paraId="4AA75BE1" w14:textId="77777777" w:rsidR="00800861" w:rsidRPr="00570AA8" w:rsidRDefault="00800861" w:rsidP="00800861">
      <w:pPr>
        <w:pStyle w:val="Titlesecondarypage"/>
      </w:pPr>
      <w:r w:rsidRPr="00570AA8">
        <w:lastRenderedPageBreak/>
        <w:t>Executive summary</w:t>
      </w:r>
    </w:p>
    <w:p w14:paraId="117C9963" w14:textId="77777777" w:rsidR="00800861" w:rsidRPr="00971186" w:rsidRDefault="00800861" w:rsidP="00800861">
      <w:pPr>
        <w:rPr>
          <w:sz w:val="20"/>
          <w:szCs w:val="20"/>
          <w:lang w:val="en-US"/>
        </w:rPr>
      </w:pPr>
      <w:r w:rsidRPr="00971186">
        <w:rPr>
          <w:sz w:val="20"/>
          <w:szCs w:val="20"/>
        </w:rPr>
        <w:t xml:space="preserve">The </w:t>
      </w:r>
      <w:r w:rsidRPr="00971186">
        <w:rPr>
          <w:i/>
          <w:iCs/>
          <w:sz w:val="20"/>
          <w:szCs w:val="20"/>
        </w:rPr>
        <w:t>Guidance for environmental and human health risk assessment of wastewater discharges to surface waters</w:t>
      </w:r>
      <w:r w:rsidRPr="00971186">
        <w:rPr>
          <w:sz w:val="20"/>
          <w:szCs w:val="20"/>
        </w:rPr>
        <w:t xml:space="preserve"> provides step-by-step guidance to assess the environmental and human health risks associated with point-source wastewater discharges to surface waters. It has been developed to support </w:t>
      </w:r>
      <w:r w:rsidRPr="00971186">
        <w:rPr>
          <w:sz w:val="20"/>
          <w:szCs w:val="20"/>
          <w:lang w:val="en-US"/>
        </w:rPr>
        <w:t>those responsible for prescribed permission activities with wastewater discharges to surface waters, and the risk assessors/consultants conducting environmental and human health risk assessments on their behalf.</w:t>
      </w:r>
    </w:p>
    <w:p w14:paraId="74152BDA" w14:textId="77777777" w:rsidR="00800861" w:rsidRPr="00971186" w:rsidRDefault="00800861" w:rsidP="00800861">
      <w:pPr>
        <w:rPr>
          <w:sz w:val="20"/>
          <w:szCs w:val="20"/>
        </w:rPr>
      </w:pPr>
      <w:r w:rsidRPr="00971186">
        <w:rPr>
          <w:rFonts w:cs="Arial"/>
          <w:sz w:val="20"/>
          <w:szCs w:val="20"/>
        </w:rPr>
        <w:t xml:space="preserve">Permission holders or those applying for a permission with wastewater discharges to surface waters are expected to understand </w:t>
      </w:r>
      <w:r w:rsidRPr="00971186">
        <w:rPr>
          <w:sz w:val="20"/>
          <w:szCs w:val="20"/>
        </w:rPr>
        <w:t xml:space="preserve">the environmental and human health risks associated with their activities and implement controls to avoid or minimise risks, so far as reasonably practicable. </w:t>
      </w:r>
      <w:r w:rsidRPr="00971186">
        <w:rPr>
          <w:sz w:val="20"/>
          <w:szCs w:val="20"/>
          <w:lang w:val="en-US"/>
        </w:rPr>
        <w:t xml:space="preserve">Risk assessment is an effective and transparent way of assessing and reporting environmental and human health risks. </w:t>
      </w:r>
      <w:r w:rsidRPr="00971186">
        <w:rPr>
          <w:sz w:val="20"/>
          <w:szCs w:val="20"/>
        </w:rPr>
        <w:t xml:space="preserve">This guidance provides a framework to support permission holders and the risk assessors appointed on their behalf to assess the </w:t>
      </w:r>
      <w:bookmarkStart w:id="0" w:name="_Int_2bizLSZ+"/>
      <w:r w:rsidRPr="00971186">
        <w:rPr>
          <w:sz w:val="20"/>
          <w:szCs w:val="20"/>
          <w:lang w:val="en-US"/>
        </w:rPr>
        <w:t>environmental</w:t>
      </w:r>
      <w:bookmarkEnd w:id="0"/>
      <w:r w:rsidRPr="00971186">
        <w:rPr>
          <w:sz w:val="20"/>
          <w:szCs w:val="20"/>
          <w:lang w:val="en-US"/>
        </w:rPr>
        <w:t xml:space="preserve"> and human health </w:t>
      </w:r>
      <w:r w:rsidRPr="00971186">
        <w:rPr>
          <w:sz w:val="20"/>
          <w:szCs w:val="20"/>
        </w:rPr>
        <w:t>risks resulting from the handling and discharge of wastewater.</w:t>
      </w:r>
    </w:p>
    <w:p w14:paraId="6B402F92" w14:textId="77777777" w:rsidR="00800861" w:rsidRPr="00971186" w:rsidRDefault="00800861" w:rsidP="00800861">
      <w:pPr>
        <w:rPr>
          <w:sz w:val="20"/>
          <w:szCs w:val="20"/>
        </w:rPr>
      </w:pPr>
      <w:r w:rsidRPr="00971186">
        <w:rPr>
          <w:sz w:val="20"/>
          <w:szCs w:val="20"/>
        </w:rPr>
        <w:t xml:space="preserve">Environment Protection Authority Victoria (EPA) has developed this </w:t>
      </w:r>
      <w:r w:rsidRPr="00971186">
        <w:rPr>
          <w:i/>
          <w:iCs/>
          <w:sz w:val="20"/>
          <w:szCs w:val="20"/>
        </w:rPr>
        <w:t>Guidance for environmental and human health risk assessment of wastewater discharges to surface waters</w:t>
      </w:r>
      <w:r w:rsidRPr="00971186">
        <w:rPr>
          <w:sz w:val="20"/>
          <w:szCs w:val="20"/>
        </w:rPr>
        <w:t xml:space="preserve"> based on current nationally and internationally accepted risk assessment approaches. There are three main phases in the risk assessment process:</w:t>
      </w:r>
    </w:p>
    <w:p w14:paraId="186DEB1A" w14:textId="77777777" w:rsidR="00800861" w:rsidRPr="00971186" w:rsidRDefault="00800861" w:rsidP="00525686">
      <w:pPr>
        <w:pStyle w:val="ListParagraph"/>
        <w:numPr>
          <w:ilvl w:val="0"/>
          <w:numId w:val="19"/>
        </w:numPr>
        <w:ind w:left="709"/>
        <w:rPr>
          <w:sz w:val="20"/>
          <w:szCs w:val="20"/>
        </w:rPr>
      </w:pPr>
      <w:bookmarkStart w:id="1" w:name="_Ref133937977"/>
      <w:r w:rsidRPr="00971186">
        <w:rPr>
          <w:rFonts w:eastAsia="SimSun"/>
          <w:b/>
          <w:bCs/>
          <w:sz w:val="20"/>
          <w:szCs w:val="20"/>
        </w:rPr>
        <w:t>Problem formulation</w:t>
      </w:r>
      <w:r w:rsidRPr="00971186">
        <w:rPr>
          <w:sz w:val="20"/>
          <w:szCs w:val="20"/>
        </w:rPr>
        <w:t xml:space="preserve"> determines the focus and scope of the risk assessment and the management information it needs to provide. This phase identifies which hazards are present and what the resulting risks may be. This phase also includes the development of a monitoring and analysis plan to assess the identified risks.</w:t>
      </w:r>
      <w:bookmarkEnd w:id="1"/>
    </w:p>
    <w:p w14:paraId="4BE1100C" w14:textId="77777777" w:rsidR="00800861" w:rsidRPr="00971186" w:rsidRDefault="00800861" w:rsidP="00525686">
      <w:pPr>
        <w:pStyle w:val="ListParagraph"/>
        <w:numPr>
          <w:ilvl w:val="0"/>
          <w:numId w:val="19"/>
        </w:numPr>
        <w:ind w:left="709"/>
        <w:rPr>
          <w:sz w:val="20"/>
          <w:szCs w:val="20"/>
        </w:rPr>
      </w:pPr>
      <w:r w:rsidRPr="00971186">
        <w:rPr>
          <w:rFonts w:eastAsia="SimSun"/>
          <w:b/>
          <w:bCs/>
          <w:sz w:val="20"/>
          <w:szCs w:val="20"/>
        </w:rPr>
        <w:t>Risk analysis</w:t>
      </w:r>
      <w:r w:rsidRPr="00971186">
        <w:rPr>
          <w:sz w:val="20"/>
          <w:szCs w:val="20"/>
        </w:rPr>
        <w:t xml:space="preserve"> determines the probability and magnitude of harm</w:t>
      </w:r>
      <w:r>
        <w:rPr>
          <w:sz w:val="20"/>
          <w:szCs w:val="20"/>
        </w:rPr>
        <w:t>,</w:t>
      </w:r>
      <w:r w:rsidRPr="00971186">
        <w:rPr>
          <w:sz w:val="20"/>
          <w:szCs w:val="20"/>
        </w:rPr>
        <w:t xml:space="preserve"> with specific consequences occurring to the environment and human health. </w:t>
      </w:r>
      <w:bookmarkStart w:id="2" w:name="_Hlk499550980"/>
      <w:r w:rsidRPr="00971186">
        <w:rPr>
          <w:sz w:val="20"/>
          <w:szCs w:val="20"/>
        </w:rPr>
        <w:t>In a human health risk assessment, this phase includes both an exposure assessment and a health effect</w:t>
      </w:r>
      <w:r>
        <w:rPr>
          <w:sz w:val="20"/>
          <w:szCs w:val="20"/>
        </w:rPr>
        <w:t>s</w:t>
      </w:r>
      <w:r w:rsidRPr="00971186">
        <w:rPr>
          <w:sz w:val="20"/>
          <w:szCs w:val="20"/>
        </w:rPr>
        <w:t xml:space="preserve"> assessment.</w:t>
      </w:r>
      <w:bookmarkEnd w:id="2"/>
    </w:p>
    <w:p w14:paraId="143180C4" w14:textId="77777777" w:rsidR="00800861" w:rsidRPr="00971186" w:rsidRDefault="00800861" w:rsidP="00525686">
      <w:pPr>
        <w:pStyle w:val="ListParagraph"/>
        <w:numPr>
          <w:ilvl w:val="0"/>
          <w:numId w:val="19"/>
        </w:numPr>
        <w:ind w:left="709"/>
        <w:rPr>
          <w:sz w:val="20"/>
          <w:szCs w:val="20"/>
        </w:rPr>
      </w:pPr>
      <w:r w:rsidRPr="00971186">
        <w:rPr>
          <w:rFonts w:eastAsia="SimSun"/>
          <w:b/>
          <w:bCs/>
          <w:sz w:val="20"/>
          <w:szCs w:val="20"/>
        </w:rPr>
        <w:t>Risk characterisation</w:t>
      </w:r>
      <w:r w:rsidRPr="00971186">
        <w:rPr>
          <w:sz w:val="20"/>
          <w:szCs w:val="20"/>
        </w:rPr>
        <w:t xml:space="preserve"> is the evaluation and reporting of the problem formulation and risk analysis results for decision-making and risk management purposes.</w:t>
      </w:r>
    </w:p>
    <w:p w14:paraId="4A25A1F7" w14:textId="77777777" w:rsidR="00800861" w:rsidRPr="00971186" w:rsidRDefault="00800861" w:rsidP="00800861">
      <w:pPr>
        <w:rPr>
          <w:sz w:val="20"/>
          <w:szCs w:val="20"/>
        </w:rPr>
      </w:pPr>
      <w:r w:rsidRPr="00971186">
        <w:rPr>
          <w:sz w:val="20"/>
          <w:szCs w:val="20"/>
        </w:rPr>
        <w:t xml:space="preserve">The complexity of environmental and human health risk assessments can vary, from qualitative to advanced quantitative assessments. The level of complexity will depend on factors such as hazards, impacts, receptor characteristics and the level of knowledge and understanding of these. </w:t>
      </w:r>
    </w:p>
    <w:p w14:paraId="20C35481" w14:textId="77777777" w:rsidR="00800861" w:rsidRPr="00971186" w:rsidRDefault="00800861" w:rsidP="00800861">
      <w:pPr>
        <w:rPr>
          <w:sz w:val="20"/>
          <w:szCs w:val="20"/>
        </w:rPr>
      </w:pPr>
      <w:r w:rsidRPr="00971186">
        <w:rPr>
          <w:sz w:val="20"/>
          <w:szCs w:val="20"/>
        </w:rPr>
        <w:t xml:space="preserve">This guidance provides a framework for environmental and human health risk assessment. It also includes case studies </w:t>
      </w:r>
      <w:r>
        <w:rPr>
          <w:sz w:val="20"/>
          <w:szCs w:val="20"/>
        </w:rPr>
        <w:t xml:space="preserve">as </w:t>
      </w:r>
      <w:r w:rsidRPr="00971186">
        <w:rPr>
          <w:sz w:val="20"/>
          <w:szCs w:val="20"/>
        </w:rPr>
        <w:t xml:space="preserve">examples of how environmental and human health risk assessments can be conducted. </w:t>
      </w:r>
    </w:p>
    <w:p w14:paraId="008D8F31" w14:textId="3715F0B3" w:rsidR="00800861" w:rsidRDefault="00800861" w:rsidP="00800861">
      <w:pPr>
        <w:rPr>
          <w:rStyle w:val="Hyperlink"/>
          <w:rFonts w:cs="Arial"/>
          <w:color w:val="0087C5"/>
          <w:sz w:val="20"/>
          <w:szCs w:val="20"/>
          <w:shd w:val="clear" w:color="auto" w:fill="FFFFFF"/>
        </w:rPr>
      </w:pPr>
      <w:r w:rsidRPr="00971186">
        <w:rPr>
          <w:sz w:val="20"/>
          <w:szCs w:val="20"/>
        </w:rPr>
        <w:t xml:space="preserve">For more information, please contact EPA at </w:t>
      </w:r>
      <w:hyperlink r:id="rId16" w:history="1">
        <w:r w:rsidRPr="004F1D8F">
          <w:rPr>
            <w:rStyle w:val="Hyperlink"/>
            <w:rFonts w:cs="Arial"/>
            <w:color w:val="00B4E1" w:themeColor="accent1"/>
            <w:sz w:val="20"/>
            <w:szCs w:val="20"/>
            <w:shd w:val="clear" w:color="auto" w:fill="FFFFFF"/>
          </w:rPr>
          <w:t>1300 372 842</w:t>
        </w:r>
      </w:hyperlink>
      <w:r w:rsidRPr="004F1D8F">
        <w:rPr>
          <w:color w:val="00B4E1" w:themeColor="accent1"/>
        </w:rPr>
        <w:t> </w:t>
      </w:r>
      <w:r w:rsidRPr="00CA478A">
        <w:t xml:space="preserve">or 1300 EPA VIC or </w:t>
      </w:r>
      <w:hyperlink r:id="rId17" w:history="1">
        <w:r w:rsidRPr="00971186">
          <w:rPr>
            <w:rStyle w:val="Hyperlink"/>
            <w:rFonts w:cs="Arial"/>
            <w:color w:val="0087C5"/>
            <w:sz w:val="20"/>
            <w:szCs w:val="20"/>
            <w:shd w:val="clear" w:color="auto" w:fill="FFFFFF"/>
          </w:rPr>
          <w:t>contact@epa.vic.gov.au</w:t>
        </w:r>
      </w:hyperlink>
    </w:p>
    <w:p w14:paraId="7CB86FD6" w14:textId="004C2B14" w:rsidR="00800861" w:rsidRPr="009B6121" w:rsidRDefault="00800861">
      <w:pPr>
        <w:spacing w:after="0"/>
        <w:rPr>
          <w:rFonts w:cs="Arial"/>
          <w:color w:val="0087C5"/>
          <w:sz w:val="20"/>
          <w:szCs w:val="20"/>
          <w:u w:val="single"/>
          <w:shd w:val="clear" w:color="auto" w:fill="FFFFFF"/>
        </w:rPr>
      </w:pPr>
      <w:r>
        <w:rPr>
          <w:rStyle w:val="Hyperlink"/>
          <w:rFonts w:cs="Arial"/>
          <w:color w:val="0087C5"/>
          <w:sz w:val="20"/>
          <w:szCs w:val="20"/>
          <w:shd w:val="clear" w:color="auto" w:fill="FFFFFF"/>
        </w:rPr>
        <w:br w:type="page"/>
      </w:r>
    </w:p>
    <w:sdt>
      <w:sdtPr>
        <w:rPr>
          <w:rFonts w:ascii="VIC" w:hAnsi="VIC" w:cs="Times New Roman"/>
          <w:color w:val="auto"/>
          <w:sz w:val="22"/>
          <w:szCs w:val="22"/>
          <w:lang w:eastAsia="en-US"/>
        </w:rPr>
        <w:id w:val="-1878695532"/>
        <w:docPartObj>
          <w:docPartGallery w:val="Table of Contents"/>
          <w:docPartUnique/>
        </w:docPartObj>
      </w:sdtPr>
      <w:sdtEndPr>
        <w:rPr>
          <w:color w:val="003F72"/>
        </w:rPr>
      </w:sdtEndPr>
      <w:sdtContent>
        <w:p w14:paraId="65158C22" w14:textId="77777777" w:rsidR="008453B2" w:rsidRPr="00570AA8" w:rsidRDefault="008453B2" w:rsidP="003A3B5C">
          <w:pPr>
            <w:pStyle w:val="Titlesecondarypage"/>
          </w:pPr>
          <w:r w:rsidRPr="00570AA8">
            <w:t>Contents</w:t>
          </w:r>
        </w:p>
        <w:p w14:paraId="27207173" w14:textId="304E6BCC" w:rsidR="0028142C" w:rsidRDefault="008F0F61">
          <w:pPr>
            <w:pStyle w:val="TOC1"/>
            <w:rPr>
              <w:rFonts w:asciiTheme="minorHAnsi" w:eastAsiaTheme="minorEastAsia" w:hAnsiTheme="minorHAnsi" w:cstheme="minorBidi"/>
              <w:noProof/>
              <w:color w:val="auto"/>
              <w:kern w:val="2"/>
              <w:lang w:eastAsia="en-GB"/>
              <w14:ligatures w14:val="standardContextual"/>
            </w:rPr>
          </w:pPr>
          <w:r>
            <w:fldChar w:fldCharType="begin"/>
          </w:r>
          <w:r>
            <w:instrText xml:space="preserve"> TOC \h \z \t "Heading 1,1,Heading 2,2,Heading 3,3,Appendix A,1,Appendix A.1,2,Appendix A.1.1,3" </w:instrText>
          </w:r>
          <w:r>
            <w:fldChar w:fldCharType="separate"/>
          </w:r>
          <w:hyperlink w:anchor="_Toc133938123" w:history="1">
            <w:r w:rsidR="0028142C" w:rsidRPr="00EC552D">
              <w:rPr>
                <w:rStyle w:val="Hyperlink"/>
                <w:noProof/>
              </w:rPr>
              <w:t>1.</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Introduction</w:t>
            </w:r>
            <w:r w:rsidR="0028142C">
              <w:rPr>
                <w:noProof/>
                <w:webHidden/>
              </w:rPr>
              <w:tab/>
            </w:r>
            <w:r w:rsidR="0028142C">
              <w:rPr>
                <w:noProof/>
                <w:webHidden/>
              </w:rPr>
              <w:fldChar w:fldCharType="begin"/>
            </w:r>
            <w:r w:rsidR="0028142C">
              <w:rPr>
                <w:noProof/>
                <w:webHidden/>
              </w:rPr>
              <w:instrText xml:space="preserve"> PAGEREF _Toc133938123 \h </w:instrText>
            </w:r>
            <w:r w:rsidR="0028142C">
              <w:rPr>
                <w:noProof/>
                <w:webHidden/>
              </w:rPr>
            </w:r>
            <w:r w:rsidR="0028142C">
              <w:rPr>
                <w:noProof/>
                <w:webHidden/>
              </w:rPr>
              <w:fldChar w:fldCharType="separate"/>
            </w:r>
            <w:r w:rsidR="00FD64B0">
              <w:rPr>
                <w:noProof/>
                <w:webHidden/>
              </w:rPr>
              <w:t>11</w:t>
            </w:r>
            <w:r w:rsidR="0028142C">
              <w:rPr>
                <w:noProof/>
                <w:webHidden/>
              </w:rPr>
              <w:fldChar w:fldCharType="end"/>
            </w:r>
          </w:hyperlink>
        </w:p>
        <w:p w14:paraId="22AD217F" w14:textId="27C1640A"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24" w:history="1">
            <w:r w:rsidR="0028142C" w:rsidRPr="00EC552D">
              <w:rPr>
                <w:rStyle w:val="Hyperlink"/>
              </w:rPr>
              <w:t>1.1.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Objective and users</w:t>
            </w:r>
            <w:r w:rsidR="0028142C">
              <w:rPr>
                <w:webHidden/>
              </w:rPr>
              <w:tab/>
            </w:r>
            <w:r w:rsidR="0028142C">
              <w:rPr>
                <w:webHidden/>
              </w:rPr>
              <w:fldChar w:fldCharType="begin"/>
            </w:r>
            <w:r w:rsidR="0028142C">
              <w:rPr>
                <w:webHidden/>
              </w:rPr>
              <w:instrText xml:space="preserve"> PAGEREF _Toc133938124 \h </w:instrText>
            </w:r>
            <w:r w:rsidR="0028142C">
              <w:rPr>
                <w:webHidden/>
              </w:rPr>
            </w:r>
            <w:r w:rsidR="0028142C">
              <w:rPr>
                <w:webHidden/>
              </w:rPr>
              <w:fldChar w:fldCharType="separate"/>
            </w:r>
            <w:r w:rsidR="00FD64B0">
              <w:rPr>
                <w:webHidden/>
              </w:rPr>
              <w:t>11</w:t>
            </w:r>
            <w:r w:rsidR="0028142C">
              <w:rPr>
                <w:webHidden/>
              </w:rPr>
              <w:fldChar w:fldCharType="end"/>
            </w:r>
          </w:hyperlink>
        </w:p>
        <w:p w14:paraId="66EABB02" w14:textId="278AAB69"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25" w:history="1">
            <w:r w:rsidR="0028142C" w:rsidRPr="00EC552D">
              <w:rPr>
                <w:rStyle w:val="Hyperlink"/>
              </w:rPr>
              <w:t>1.2.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Scope</w:t>
            </w:r>
            <w:r w:rsidR="0028142C">
              <w:rPr>
                <w:webHidden/>
              </w:rPr>
              <w:tab/>
            </w:r>
            <w:r w:rsidR="0028142C">
              <w:rPr>
                <w:webHidden/>
              </w:rPr>
              <w:fldChar w:fldCharType="begin"/>
            </w:r>
            <w:r w:rsidR="0028142C">
              <w:rPr>
                <w:webHidden/>
              </w:rPr>
              <w:instrText xml:space="preserve"> PAGEREF _Toc133938125 \h </w:instrText>
            </w:r>
            <w:r w:rsidR="0028142C">
              <w:rPr>
                <w:webHidden/>
              </w:rPr>
            </w:r>
            <w:r w:rsidR="0028142C">
              <w:rPr>
                <w:webHidden/>
              </w:rPr>
              <w:fldChar w:fldCharType="separate"/>
            </w:r>
            <w:r w:rsidR="00FD64B0">
              <w:rPr>
                <w:webHidden/>
              </w:rPr>
              <w:t>11</w:t>
            </w:r>
            <w:r w:rsidR="0028142C">
              <w:rPr>
                <w:webHidden/>
              </w:rPr>
              <w:fldChar w:fldCharType="end"/>
            </w:r>
          </w:hyperlink>
        </w:p>
        <w:p w14:paraId="56152C91" w14:textId="314296B5"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26" w:history="1">
            <w:r w:rsidR="0028142C" w:rsidRPr="00EC552D">
              <w:rPr>
                <w:rStyle w:val="Hyperlink"/>
              </w:rPr>
              <w:t>1.3.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How to use this guidance</w:t>
            </w:r>
            <w:r w:rsidR="0028142C">
              <w:rPr>
                <w:webHidden/>
              </w:rPr>
              <w:tab/>
            </w:r>
            <w:r w:rsidR="0028142C">
              <w:rPr>
                <w:webHidden/>
              </w:rPr>
              <w:fldChar w:fldCharType="begin"/>
            </w:r>
            <w:r w:rsidR="0028142C">
              <w:rPr>
                <w:webHidden/>
              </w:rPr>
              <w:instrText xml:space="preserve"> PAGEREF _Toc133938126 \h </w:instrText>
            </w:r>
            <w:r w:rsidR="0028142C">
              <w:rPr>
                <w:webHidden/>
              </w:rPr>
            </w:r>
            <w:r w:rsidR="0028142C">
              <w:rPr>
                <w:webHidden/>
              </w:rPr>
              <w:fldChar w:fldCharType="separate"/>
            </w:r>
            <w:r w:rsidR="00FD64B0">
              <w:rPr>
                <w:webHidden/>
              </w:rPr>
              <w:t>13</w:t>
            </w:r>
            <w:r w:rsidR="0028142C">
              <w:rPr>
                <w:webHidden/>
              </w:rPr>
              <w:fldChar w:fldCharType="end"/>
            </w:r>
          </w:hyperlink>
        </w:p>
        <w:p w14:paraId="055BA5A6" w14:textId="24A8364B"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27" w:history="1">
            <w:r w:rsidR="0028142C" w:rsidRPr="00EC552D">
              <w:rPr>
                <w:rStyle w:val="Hyperlink"/>
              </w:rPr>
              <w:t>1.4.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Status</w:t>
            </w:r>
            <w:r w:rsidR="0028142C">
              <w:rPr>
                <w:webHidden/>
              </w:rPr>
              <w:tab/>
            </w:r>
            <w:r w:rsidR="0028142C">
              <w:rPr>
                <w:webHidden/>
              </w:rPr>
              <w:fldChar w:fldCharType="begin"/>
            </w:r>
            <w:r w:rsidR="0028142C">
              <w:rPr>
                <w:webHidden/>
              </w:rPr>
              <w:instrText xml:space="preserve"> PAGEREF _Toc133938127 \h </w:instrText>
            </w:r>
            <w:r w:rsidR="0028142C">
              <w:rPr>
                <w:webHidden/>
              </w:rPr>
            </w:r>
            <w:r w:rsidR="0028142C">
              <w:rPr>
                <w:webHidden/>
              </w:rPr>
              <w:fldChar w:fldCharType="separate"/>
            </w:r>
            <w:r w:rsidR="00FD64B0">
              <w:rPr>
                <w:webHidden/>
              </w:rPr>
              <w:t>14</w:t>
            </w:r>
            <w:r w:rsidR="0028142C">
              <w:rPr>
                <w:webHidden/>
              </w:rPr>
              <w:fldChar w:fldCharType="end"/>
            </w:r>
          </w:hyperlink>
        </w:p>
        <w:p w14:paraId="27EE8528" w14:textId="45A6FBA2"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28" w:history="1">
            <w:r w:rsidR="0028142C" w:rsidRPr="00EC552D">
              <w:rPr>
                <w:rStyle w:val="Hyperlink"/>
                <w:noProof/>
              </w:rPr>
              <w:t>2.</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Risk assessment</w:t>
            </w:r>
            <w:r w:rsidR="0028142C">
              <w:rPr>
                <w:noProof/>
                <w:webHidden/>
              </w:rPr>
              <w:tab/>
            </w:r>
            <w:r w:rsidR="0028142C">
              <w:rPr>
                <w:noProof/>
                <w:webHidden/>
              </w:rPr>
              <w:fldChar w:fldCharType="begin"/>
            </w:r>
            <w:r w:rsidR="0028142C">
              <w:rPr>
                <w:noProof/>
                <w:webHidden/>
              </w:rPr>
              <w:instrText xml:space="preserve"> PAGEREF _Toc133938128 \h </w:instrText>
            </w:r>
            <w:r w:rsidR="0028142C">
              <w:rPr>
                <w:noProof/>
                <w:webHidden/>
              </w:rPr>
            </w:r>
            <w:r w:rsidR="0028142C">
              <w:rPr>
                <w:noProof/>
                <w:webHidden/>
              </w:rPr>
              <w:fldChar w:fldCharType="separate"/>
            </w:r>
            <w:r w:rsidR="00FD64B0">
              <w:rPr>
                <w:noProof/>
                <w:webHidden/>
              </w:rPr>
              <w:t>15</w:t>
            </w:r>
            <w:r w:rsidR="0028142C">
              <w:rPr>
                <w:noProof/>
                <w:webHidden/>
              </w:rPr>
              <w:fldChar w:fldCharType="end"/>
            </w:r>
          </w:hyperlink>
        </w:p>
        <w:p w14:paraId="04771DAF" w14:textId="3718C79C"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29" w:history="1">
            <w:r w:rsidR="0028142C" w:rsidRPr="00EC552D">
              <w:rPr>
                <w:rStyle w:val="Hyperlink"/>
              </w:rPr>
              <w:t>2.1.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What is risk assessment?</w:t>
            </w:r>
            <w:r w:rsidR="0028142C">
              <w:rPr>
                <w:webHidden/>
              </w:rPr>
              <w:tab/>
            </w:r>
            <w:r w:rsidR="0028142C">
              <w:rPr>
                <w:webHidden/>
              </w:rPr>
              <w:fldChar w:fldCharType="begin"/>
            </w:r>
            <w:r w:rsidR="0028142C">
              <w:rPr>
                <w:webHidden/>
              </w:rPr>
              <w:instrText xml:space="preserve"> PAGEREF _Toc133938129 \h </w:instrText>
            </w:r>
            <w:r w:rsidR="0028142C">
              <w:rPr>
                <w:webHidden/>
              </w:rPr>
            </w:r>
            <w:r w:rsidR="0028142C">
              <w:rPr>
                <w:webHidden/>
              </w:rPr>
              <w:fldChar w:fldCharType="separate"/>
            </w:r>
            <w:r w:rsidR="00FD64B0">
              <w:rPr>
                <w:webHidden/>
              </w:rPr>
              <w:t>15</w:t>
            </w:r>
            <w:r w:rsidR="0028142C">
              <w:rPr>
                <w:webHidden/>
              </w:rPr>
              <w:fldChar w:fldCharType="end"/>
            </w:r>
          </w:hyperlink>
        </w:p>
        <w:p w14:paraId="68BA875B" w14:textId="5F643754"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30" w:history="1">
            <w:r w:rsidR="0028142C" w:rsidRPr="00EC552D">
              <w:rPr>
                <w:rStyle w:val="Hyperlink"/>
              </w:rPr>
              <w:t>2.2.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Types of risk assessment</w:t>
            </w:r>
            <w:r w:rsidR="0028142C">
              <w:rPr>
                <w:webHidden/>
              </w:rPr>
              <w:tab/>
            </w:r>
            <w:r w:rsidR="0028142C">
              <w:rPr>
                <w:webHidden/>
              </w:rPr>
              <w:fldChar w:fldCharType="begin"/>
            </w:r>
            <w:r w:rsidR="0028142C">
              <w:rPr>
                <w:webHidden/>
              </w:rPr>
              <w:instrText xml:space="preserve"> PAGEREF _Toc133938130 \h </w:instrText>
            </w:r>
            <w:r w:rsidR="0028142C">
              <w:rPr>
                <w:webHidden/>
              </w:rPr>
            </w:r>
            <w:r w:rsidR="0028142C">
              <w:rPr>
                <w:webHidden/>
              </w:rPr>
              <w:fldChar w:fldCharType="separate"/>
            </w:r>
            <w:r w:rsidR="00FD64B0">
              <w:rPr>
                <w:webHidden/>
              </w:rPr>
              <w:t>17</w:t>
            </w:r>
            <w:r w:rsidR="0028142C">
              <w:rPr>
                <w:webHidden/>
              </w:rPr>
              <w:fldChar w:fldCharType="end"/>
            </w:r>
          </w:hyperlink>
        </w:p>
        <w:p w14:paraId="56E7A485" w14:textId="26AC8370"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31" w:history="1">
            <w:r w:rsidR="0028142C" w:rsidRPr="00EC552D">
              <w:rPr>
                <w:rStyle w:val="Hyperlink"/>
              </w:rPr>
              <w:t>2.3.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Prioritising discharges for risk assessment</w:t>
            </w:r>
            <w:r w:rsidR="0028142C">
              <w:rPr>
                <w:webHidden/>
              </w:rPr>
              <w:tab/>
            </w:r>
            <w:r w:rsidR="0028142C">
              <w:rPr>
                <w:webHidden/>
              </w:rPr>
              <w:fldChar w:fldCharType="begin"/>
            </w:r>
            <w:r w:rsidR="0028142C">
              <w:rPr>
                <w:webHidden/>
              </w:rPr>
              <w:instrText xml:space="preserve"> PAGEREF _Toc133938131 \h </w:instrText>
            </w:r>
            <w:r w:rsidR="0028142C">
              <w:rPr>
                <w:webHidden/>
              </w:rPr>
            </w:r>
            <w:r w:rsidR="0028142C">
              <w:rPr>
                <w:webHidden/>
              </w:rPr>
              <w:fldChar w:fldCharType="separate"/>
            </w:r>
            <w:r w:rsidR="00FD64B0">
              <w:rPr>
                <w:webHidden/>
              </w:rPr>
              <w:t>21</w:t>
            </w:r>
            <w:r w:rsidR="0028142C">
              <w:rPr>
                <w:webHidden/>
              </w:rPr>
              <w:fldChar w:fldCharType="end"/>
            </w:r>
          </w:hyperlink>
        </w:p>
        <w:p w14:paraId="0F9F62D4" w14:textId="4EF5E5ED"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32" w:history="1">
            <w:r w:rsidR="0028142C" w:rsidRPr="00EC552D">
              <w:rPr>
                <w:rStyle w:val="Hyperlink"/>
                <w:noProof/>
              </w:rPr>
              <w:t>3.</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Conducting an environmental and human health risk assessment of wastewater discharges</w:t>
            </w:r>
            <w:r w:rsidR="0028142C">
              <w:rPr>
                <w:noProof/>
                <w:webHidden/>
              </w:rPr>
              <w:tab/>
            </w:r>
            <w:r w:rsidR="0028142C">
              <w:rPr>
                <w:noProof/>
                <w:webHidden/>
              </w:rPr>
              <w:fldChar w:fldCharType="begin"/>
            </w:r>
            <w:r w:rsidR="0028142C">
              <w:rPr>
                <w:noProof/>
                <w:webHidden/>
              </w:rPr>
              <w:instrText xml:space="preserve"> PAGEREF _Toc133938132 \h </w:instrText>
            </w:r>
            <w:r w:rsidR="0028142C">
              <w:rPr>
                <w:noProof/>
                <w:webHidden/>
              </w:rPr>
            </w:r>
            <w:r w:rsidR="0028142C">
              <w:rPr>
                <w:noProof/>
                <w:webHidden/>
              </w:rPr>
              <w:fldChar w:fldCharType="separate"/>
            </w:r>
            <w:r w:rsidR="00FD64B0">
              <w:rPr>
                <w:noProof/>
                <w:webHidden/>
              </w:rPr>
              <w:t>22</w:t>
            </w:r>
            <w:r w:rsidR="0028142C">
              <w:rPr>
                <w:noProof/>
                <w:webHidden/>
              </w:rPr>
              <w:fldChar w:fldCharType="end"/>
            </w:r>
          </w:hyperlink>
        </w:p>
        <w:p w14:paraId="709F10B1" w14:textId="0E141A77"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33" w:history="1">
            <w:r w:rsidR="0028142C" w:rsidRPr="00EC552D">
              <w:rPr>
                <w:rStyle w:val="Hyperlink"/>
                <w:rFonts w:eastAsiaTheme="minorHAnsi"/>
                <w:lang w:val="en-US"/>
              </w:rPr>
              <w:t>3.1.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Problem formulation</w:t>
            </w:r>
            <w:r w:rsidR="0028142C">
              <w:rPr>
                <w:webHidden/>
              </w:rPr>
              <w:tab/>
            </w:r>
            <w:r w:rsidR="0028142C">
              <w:rPr>
                <w:webHidden/>
              </w:rPr>
              <w:fldChar w:fldCharType="begin"/>
            </w:r>
            <w:r w:rsidR="0028142C">
              <w:rPr>
                <w:webHidden/>
              </w:rPr>
              <w:instrText xml:space="preserve"> PAGEREF _Toc133938133 \h </w:instrText>
            </w:r>
            <w:r w:rsidR="0028142C">
              <w:rPr>
                <w:webHidden/>
              </w:rPr>
            </w:r>
            <w:r w:rsidR="0028142C">
              <w:rPr>
                <w:webHidden/>
              </w:rPr>
              <w:fldChar w:fldCharType="separate"/>
            </w:r>
            <w:r w:rsidR="00FD64B0">
              <w:rPr>
                <w:webHidden/>
              </w:rPr>
              <w:t>23</w:t>
            </w:r>
            <w:r w:rsidR="0028142C">
              <w:rPr>
                <w:webHidden/>
              </w:rPr>
              <w:fldChar w:fldCharType="end"/>
            </w:r>
          </w:hyperlink>
        </w:p>
        <w:p w14:paraId="2150408D" w14:textId="4A582D2E"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4" w:history="1">
            <w:r w:rsidR="0028142C" w:rsidRPr="00EC552D">
              <w:rPr>
                <w:rStyle w:val="Hyperlink"/>
              </w:rPr>
              <w:t>3.1.1.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Management goals and management objectives</w:t>
            </w:r>
            <w:r w:rsidR="0028142C">
              <w:rPr>
                <w:webHidden/>
              </w:rPr>
              <w:tab/>
            </w:r>
            <w:r w:rsidR="0028142C">
              <w:rPr>
                <w:webHidden/>
              </w:rPr>
              <w:fldChar w:fldCharType="begin"/>
            </w:r>
            <w:r w:rsidR="0028142C">
              <w:rPr>
                <w:webHidden/>
              </w:rPr>
              <w:instrText xml:space="preserve"> PAGEREF _Toc133938134 \h </w:instrText>
            </w:r>
            <w:r w:rsidR="0028142C">
              <w:rPr>
                <w:webHidden/>
              </w:rPr>
            </w:r>
            <w:r w:rsidR="0028142C">
              <w:rPr>
                <w:webHidden/>
              </w:rPr>
              <w:fldChar w:fldCharType="separate"/>
            </w:r>
            <w:r w:rsidR="00FD64B0">
              <w:rPr>
                <w:webHidden/>
              </w:rPr>
              <w:t>23</w:t>
            </w:r>
            <w:r w:rsidR="0028142C">
              <w:rPr>
                <w:webHidden/>
              </w:rPr>
              <w:fldChar w:fldCharType="end"/>
            </w:r>
          </w:hyperlink>
        </w:p>
        <w:p w14:paraId="1EC92A94" w14:textId="6DE76C02"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5" w:history="1">
            <w:r w:rsidR="0028142C" w:rsidRPr="00EC552D">
              <w:rPr>
                <w:rStyle w:val="Hyperlink"/>
              </w:rPr>
              <w:t>3.1.2.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Collation of available data and information</w:t>
            </w:r>
            <w:r w:rsidR="0028142C">
              <w:rPr>
                <w:webHidden/>
              </w:rPr>
              <w:tab/>
            </w:r>
            <w:r w:rsidR="0028142C">
              <w:rPr>
                <w:webHidden/>
              </w:rPr>
              <w:fldChar w:fldCharType="begin"/>
            </w:r>
            <w:r w:rsidR="0028142C">
              <w:rPr>
                <w:webHidden/>
              </w:rPr>
              <w:instrText xml:space="preserve"> PAGEREF _Toc133938135 \h </w:instrText>
            </w:r>
            <w:r w:rsidR="0028142C">
              <w:rPr>
                <w:webHidden/>
              </w:rPr>
            </w:r>
            <w:r w:rsidR="0028142C">
              <w:rPr>
                <w:webHidden/>
              </w:rPr>
              <w:fldChar w:fldCharType="separate"/>
            </w:r>
            <w:r w:rsidR="00FD64B0">
              <w:rPr>
                <w:webHidden/>
              </w:rPr>
              <w:t>24</w:t>
            </w:r>
            <w:r w:rsidR="0028142C">
              <w:rPr>
                <w:webHidden/>
              </w:rPr>
              <w:fldChar w:fldCharType="end"/>
            </w:r>
          </w:hyperlink>
        </w:p>
        <w:p w14:paraId="267342F0" w14:textId="20D6EE8E"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6" w:history="1">
            <w:r w:rsidR="0028142C" w:rsidRPr="00EC552D">
              <w:rPr>
                <w:rStyle w:val="Hyperlink"/>
              </w:rPr>
              <w:t>3.1.3.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Identifying environmental values and potential risks</w:t>
            </w:r>
            <w:r w:rsidR="0028142C">
              <w:rPr>
                <w:webHidden/>
              </w:rPr>
              <w:tab/>
            </w:r>
            <w:r w:rsidR="0028142C">
              <w:rPr>
                <w:webHidden/>
              </w:rPr>
              <w:fldChar w:fldCharType="begin"/>
            </w:r>
            <w:r w:rsidR="0028142C">
              <w:rPr>
                <w:webHidden/>
              </w:rPr>
              <w:instrText xml:space="preserve"> PAGEREF _Toc133938136 \h </w:instrText>
            </w:r>
            <w:r w:rsidR="0028142C">
              <w:rPr>
                <w:webHidden/>
              </w:rPr>
            </w:r>
            <w:r w:rsidR="0028142C">
              <w:rPr>
                <w:webHidden/>
              </w:rPr>
              <w:fldChar w:fldCharType="separate"/>
            </w:r>
            <w:r w:rsidR="00FD64B0">
              <w:rPr>
                <w:webHidden/>
              </w:rPr>
              <w:t>24</w:t>
            </w:r>
            <w:r w:rsidR="0028142C">
              <w:rPr>
                <w:webHidden/>
              </w:rPr>
              <w:fldChar w:fldCharType="end"/>
            </w:r>
          </w:hyperlink>
        </w:p>
        <w:p w14:paraId="2EDBBC7E" w14:textId="0E8431EC"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7" w:history="1">
            <w:r w:rsidR="0028142C" w:rsidRPr="00EC552D">
              <w:rPr>
                <w:rStyle w:val="Hyperlink"/>
              </w:rPr>
              <w:t>3.1.4.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Identification of endpoints</w:t>
            </w:r>
            <w:r w:rsidR="0028142C">
              <w:rPr>
                <w:webHidden/>
              </w:rPr>
              <w:tab/>
            </w:r>
            <w:r w:rsidR="0028142C">
              <w:rPr>
                <w:webHidden/>
              </w:rPr>
              <w:fldChar w:fldCharType="begin"/>
            </w:r>
            <w:r w:rsidR="0028142C">
              <w:rPr>
                <w:webHidden/>
              </w:rPr>
              <w:instrText xml:space="preserve"> PAGEREF _Toc133938137 \h </w:instrText>
            </w:r>
            <w:r w:rsidR="0028142C">
              <w:rPr>
                <w:webHidden/>
              </w:rPr>
            </w:r>
            <w:r w:rsidR="0028142C">
              <w:rPr>
                <w:webHidden/>
              </w:rPr>
              <w:fldChar w:fldCharType="separate"/>
            </w:r>
            <w:r w:rsidR="00FD64B0">
              <w:rPr>
                <w:webHidden/>
              </w:rPr>
              <w:t>27</w:t>
            </w:r>
            <w:r w:rsidR="0028142C">
              <w:rPr>
                <w:webHidden/>
              </w:rPr>
              <w:fldChar w:fldCharType="end"/>
            </w:r>
          </w:hyperlink>
        </w:p>
        <w:p w14:paraId="3EDAF64E" w14:textId="2AF75011"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8" w:history="1">
            <w:r w:rsidR="0028142C" w:rsidRPr="00EC552D">
              <w:rPr>
                <w:rStyle w:val="Hyperlink"/>
              </w:rPr>
              <w:t>3.1.5.</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Conceptual models</w:t>
            </w:r>
            <w:r w:rsidR="0028142C">
              <w:rPr>
                <w:webHidden/>
              </w:rPr>
              <w:tab/>
            </w:r>
            <w:r w:rsidR="0028142C">
              <w:rPr>
                <w:webHidden/>
              </w:rPr>
              <w:fldChar w:fldCharType="begin"/>
            </w:r>
            <w:r w:rsidR="0028142C">
              <w:rPr>
                <w:webHidden/>
              </w:rPr>
              <w:instrText xml:space="preserve"> PAGEREF _Toc133938138 \h </w:instrText>
            </w:r>
            <w:r w:rsidR="0028142C">
              <w:rPr>
                <w:webHidden/>
              </w:rPr>
            </w:r>
            <w:r w:rsidR="0028142C">
              <w:rPr>
                <w:webHidden/>
              </w:rPr>
              <w:fldChar w:fldCharType="separate"/>
            </w:r>
            <w:r w:rsidR="00FD64B0">
              <w:rPr>
                <w:webHidden/>
              </w:rPr>
              <w:t>28</w:t>
            </w:r>
            <w:r w:rsidR="0028142C">
              <w:rPr>
                <w:webHidden/>
              </w:rPr>
              <w:fldChar w:fldCharType="end"/>
            </w:r>
          </w:hyperlink>
        </w:p>
        <w:p w14:paraId="7127E194" w14:textId="38EAECF1"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9" w:history="1">
            <w:r w:rsidR="0028142C" w:rsidRPr="00EC552D">
              <w:rPr>
                <w:rStyle w:val="Hyperlink"/>
              </w:rPr>
              <w:t>3.1.6.</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analysis plan</w:t>
            </w:r>
            <w:r w:rsidR="0028142C">
              <w:rPr>
                <w:webHidden/>
              </w:rPr>
              <w:tab/>
            </w:r>
            <w:r w:rsidR="0028142C">
              <w:rPr>
                <w:webHidden/>
              </w:rPr>
              <w:fldChar w:fldCharType="begin"/>
            </w:r>
            <w:r w:rsidR="0028142C">
              <w:rPr>
                <w:webHidden/>
              </w:rPr>
              <w:instrText xml:space="preserve"> PAGEREF _Toc133938139 \h </w:instrText>
            </w:r>
            <w:r w:rsidR="0028142C">
              <w:rPr>
                <w:webHidden/>
              </w:rPr>
            </w:r>
            <w:r w:rsidR="0028142C">
              <w:rPr>
                <w:webHidden/>
              </w:rPr>
              <w:fldChar w:fldCharType="separate"/>
            </w:r>
            <w:r w:rsidR="00FD64B0">
              <w:rPr>
                <w:webHidden/>
              </w:rPr>
              <w:t>30</w:t>
            </w:r>
            <w:r w:rsidR="0028142C">
              <w:rPr>
                <w:webHidden/>
              </w:rPr>
              <w:fldChar w:fldCharType="end"/>
            </w:r>
          </w:hyperlink>
        </w:p>
        <w:p w14:paraId="2205E367" w14:textId="72C0B1B5"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40" w:history="1">
            <w:r w:rsidR="0028142C" w:rsidRPr="00EC552D">
              <w:rPr>
                <w:rStyle w:val="Hyperlink"/>
                <w:rFonts w:eastAsiaTheme="minorHAnsi"/>
                <w:lang w:val="en-US"/>
              </w:rPr>
              <w:t>3.2.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analysis</w:t>
            </w:r>
            <w:r w:rsidR="0028142C">
              <w:rPr>
                <w:webHidden/>
              </w:rPr>
              <w:tab/>
            </w:r>
            <w:r w:rsidR="0028142C">
              <w:rPr>
                <w:webHidden/>
              </w:rPr>
              <w:fldChar w:fldCharType="begin"/>
            </w:r>
            <w:r w:rsidR="0028142C">
              <w:rPr>
                <w:webHidden/>
              </w:rPr>
              <w:instrText xml:space="preserve"> PAGEREF _Toc133938140 \h </w:instrText>
            </w:r>
            <w:r w:rsidR="0028142C">
              <w:rPr>
                <w:webHidden/>
              </w:rPr>
            </w:r>
            <w:r w:rsidR="0028142C">
              <w:rPr>
                <w:webHidden/>
              </w:rPr>
              <w:fldChar w:fldCharType="separate"/>
            </w:r>
            <w:r w:rsidR="00FD64B0">
              <w:rPr>
                <w:webHidden/>
              </w:rPr>
              <w:t>33</w:t>
            </w:r>
            <w:r w:rsidR="0028142C">
              <w:rPr>
                <w:webHidden/>
              </w:rPr>
              <w:fldChar w:fldCharType="end"/>
            </w:r>
          </w:hyperlink>
        </w:p>
        <w:p w14:paraId="56F1AAFA" w14:textId="57654F9D"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1" w:history="1">
            <w:r w:rsidR="0028142C" w:rsidRPr="00EC552D">
              <w:rPr>
                <w:rStyle w:val="Hyperlink"/>
              </w:rPr>
              <w:t>3.2.1.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likelihood</w:t>
            </w:r>
            <w:r w:rsidR="0028142C">
              <w:rPr>
                <w:webHidden/>
              </w:rPr>
              <w:tab/>
            </w:r>
            <w:r w:rsidR="0028142C">
              <w:rPr>
                <w:webHidden/>
              </w:rPr>
              <w:fldChar w:fldCharType="begin"/>
            </w:r>
            <w:r w:rsidR="0028142C">
              <w:rPr>
                <w:webHidden/>
              </w:rPr>
              <w:instrText xml:space="preserve"> PAGEREF _Toc133938141 \h </w:instrText>
            </w:r>
            <w:r w:rsidR="0028142C">
              <w:rPr>
                <w:webHidden/>
              </w:rPr>
            </w:r>
            <w:r w:rsidR="0028142C">
              <w:rPr>
                <w:webHidden/>
              </w:rPr>
              <w:fldChar w:fldCharType="separate"/>
            </w:r>
            <w:r w:rsidR="00FD64B0">
              <w:rPr>
                <w:webHidden/>
              </w:rPr>
              <w:t>34</w:t>
            </w:r>
            <w:r w:rsidR="0028142C">
              <w:rPr>
                <w:webHidden/>
              </w:rPr>
              <w:fldChar w:fldCharType="end"/>
            </w:r>
          </w:hyperlink>
        </w:p>
        <w:p w14:paraId="10391A61" w14:textId="399FDD3F"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2" w:history="1">
            <w:r w:rsidR="0028142C" w:rsidRPr="00EC552D">
              <w:rPr>
                <w:rStyle w:val="Hyperlink"/>
              </w:rPr>
              <w:t>3.2.2.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consequence</w:t>
            </w:r>
            <w:r w:rsidR="0028142C">
              <w:rPr>
                <w:webHidden/>
              </w:rPr>
              <w:tab/>
            </w:r>
            <w:r w:rsidR="0028142C">
              <w:rPr>
                <w:webHidden/>
              </w:rPr>
              <w:fldChar w:fldCharType="begin"/>
            </w:r>
            <w:r w:rsidR="0028142C">
              <w:rPr>
                <w:webHidden/>
              </w:rPr>
              <w:instrText xml:space="preserve"> PAGEREF _Toc133938142 \h </w:instrText>
            </w:r>
            <w:r w:rsidR="0028142C">
              <w:rPr>
                <w:webHidden/>
              </w:rPr>
            </w:r>
            <w:r w:rsidR="0028142C">
              <w:rPr>
                <w:webHidden/>
              </w:rPr>
              <w:fldChar w:fldCharType="separate"/>
            </w:r>
            <w:r w:rsidR="00FD64B0">
              <w:rPr>
                <w:webHidden/>
              </w:rPr>
              <w:t>34</w:t>
            </w:r>
            <w:r w:rsidR="0028142C">
              <w:rPr>
                <w:webHidden/>
              </w:rPr>
              <w:fldChar w:fldCharType="end"/>
            </w:r>
          </w:hyperlink>
        </w:p>
        <w:p w14:paraId="79B5C1BE" w14:textId="6533A30C"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3" w:history="1">
            <w:r w:rsidR="0028142C" w:rsidRPr="00EC552D">
              <w:rPr>
                <w:rStyle w:val="Hyperlink"/>
              </w:rPr>
              <w:t>3.2.3.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Types of risk analysis</w:t>
            </w:r>
            <w:r w:rsidR="0028142C">
              <w:rPr>
                <w:webHidden/>
              </w:rPr>
              <w:tab/>
            </w:r>
            <w:r w:rsidR="0028142C">
              <w:rPr>
                <w:webHidden/>
              </w:rPr>
              <w:fldChar w:fldCharType="begin"/>
            </w:r>
            <w:r w:rsidR="0028142C">
              <w:rPr>
                <w:webHidden/>
              </w:rPr>
              <w:instrText xml:space="preserve"> PAGEREF _Toc133938143 \h </w:instrText>
            </w:r>
            <w:r w:rsidR="0028142C">
              <w:rPr>
                <w:webHidden/>
              </w:rPr>
            </w:r>
            <w:r w:rsidR="0028142C">
              <w:rPr>
                <w:webHidden/>
              </w:rPr>
              <w:fldChar w:fldCharType="separate"/>
            </w:r>
            <w:r w:rsidR="00FD64B0">
              <w:rPr>
                <w:webHidden/>
              </w:rPr>
              <w:t>34</w:t>
            </w:r>
            <w:r w:rsidR="0028142C">
              <w:rPr>
                <w:webHidden/>
              </w:rPr>
              <w:fldChar w:fldCharType="end"/>
            </w:r>
          </w:hyperlink>
        </w:p>
        <w:p w14:paraId="4CD6934E" w14:textId="510EBB1E"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4" w:history="1">
            <w:r w:rsidR="0028142C" w:rsidRPr="00EC552D">
              <w:rPr>
                <w:rStyle w:val="Hyperlink"/>
              </w:rPr>
              <w:t>3.2.4.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Use of standards and risk analysis methodologies</w:t>
            </w:r>
            <w:r w:rsidR="0028142C">
              <w:rPr>
                <w:webHidden/>
              </w:rPr>
              <w:tab/>
            </w:r>
            <w:r w:rsidR="0028142C">
              <w:rPr>
                <w:webHidden/>
              </w:rPr>
              <w:fldChar w:fldCharType="begin"/>
            </w:r>
            <w:r w:rsidR="0028142C">
              <w:rPr>
                <w:webHidden/>
              </w:rPr>
              <w:instrText xml:space="preserve"> PAGEREF _Toc133938144 \h </w:instrText>
            </w:r>
            <w:r w:rsidR="0028142C">
              <w:rPr>
                <w:webHidden/>
              </w:rPr>
            </w:r>
            <w:r w:rsidR="0028142C">
              <w:rPr>
                <w:webHidden/>
              </w:rPr>
              <w:fldChar w:fldCharType="separate"/>
            </w:r>
            <w:r w:rsidR="00FD64B0">
              <w:rPr>
                <w:webHidden/>
              </w:rPr>
              <w:t>35</w:t>
            </w:r>
            <w:r w:rsidR="0028142C">
              <w:rPr>
                <w:webHidden/>
              </w:rPr>
              <w:fldChar w:fldCharType="end"/>
            </w:r>
          </w:hyperlink>
        </w:p>
        <w:p w14:paraId="5EDDE5C9" w14:textId="0D3FCE2C"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5" w:history="1">
            <w:r w:rsidR="0028142C" w:rsidRPr="00EC552D">
              <w:rPr>
                <w:rStyle w:val="Hyperlink"/>
              </w:rPr>
              <w:t>3.2.5.</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Special considerations for human health risk analysis</w:t>
            </w:r>
            <w:r w:rsidR="0028142C">
              <w:rPr>
                <w:webHidden/>
              </w:rPr>
              <w:tab/>
            </w:r>
            <w:r w:rsidR="0028142C">
              <w:rPr>
                <w:webHidden/>
              </w:rPr>
              <w:fldChar w:fldCharType="begin"/>
            </w:r>
            <w:r w:rsidR="0028142C">
              <w:rPr>
                <w:webHidden/>
              </w:rPr>
              <w:instrText xml:space="preserve"> PAGEREF _Toc133938145 \h </w:instrText>
            </w:r>
            <w:r w:rsidR="0028142C">
              <w:rPr>
                <w:webHidden/>
              </w:rPr>
            </w:r>
            <w:r w:rsidR="0028142C">
              <w:rPr>
                <w:webHidden/>
              </w:rPr>
              <w:fldChar w:fldCharType="separate"/>
            </w:r>
            <w:r w:rsidR="00FD64B0">
              <w:rPr>
                <w:webHidden/>
              </w:rPr>
              <w:t>36</w:t>
            </w:r>
            <w:r w:rsidR="0028142C">
              <w:rPr>
                <w:webHidden/>
              </w:rPr>
              <w:fldChar w:fldCharType="end"/>
            </w:r>
          </w:hyperlink>
        </w:p>
        <w:p w14:paraId="01C530AE" w14:textId="02911C1F"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6" w:history="1">
            <w:r w:rsidR="0028142C" w:rsidRPr="00EC552D">
              <w:rPr>
                <w:rStyle w:val="Hyperlink"/>
              </w:rPr>
              <w:t>3.2.6.</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Uncertainty analysis</w:t>
            </w:r>
            <w:r w:rsidR="0028142C">
              <w:rPr>
                <w:webHidden/>
              </w:rPr>
              <w:tab/>
            </w:r>
            <w:r w:rsidR="0028142C">
              <w:rPr>
                <w:webHidden/>
              </w:rPr>
              <w:fldChar w:fldCharType="begin"/>
            </w:r>
            <w:r w:rsidR="0028142C">
              <w:rPr>
                <w:webHidden/>
              </w:rPr>
              <w:instrText xml:space="preserve"> PAGEREF _Toc133938146 \h </w:instrText>
            </w:r>
            <w:r w:rsidR="0028142C">
              <w:rPr>
                <w:webHidden/>
              </w:rPr>
            </w:r>
            <w:r w:rsidR="0028142C">
              <w:rPr>
                <w:webHidden/>
              </w:rPr>
              <w:fldChar w:fldCharType="separate"/>
            </w:r>
            <w:r w:rsidR="00FD64B0">
              <w:rPr>
                <w:webHidden/>
              </w:rPr>
              <w:t>38</w:t>
            </w:r>
            <w:r w:rsidR="0028142C">
              <w:rPr>
                <w:webHidden/>
              </w:rPr>
              <w:fldChar w:fldCharType="end"/>
            </w:r>
          </w:hyperlink>
        </w:p>
        <w:p w14:paraId="04E942D4" w14:textId="0C048524"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47" w:history="1">
            <w:r w:rsidR="0028142C" w:rsidRPr="00EC552D">
              <w:rPr>
                <w:rStyle w:val="Hyperlink"/>
                <w:rFonts w:eastAsiaTheme="minorHAnsi"/>
                <w:lang w:val="en-US"/>
              </w:rPr>
              <w:t>3.3.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characterisation</w:t>
            </w:r>
            <w:r w:rsidR="0028142C">
              <w:rPr>
                <w:webHidden/>
              </w:rPr>
              <w:tab/>
            </w:r>
            <w:r w:rsidR="0028142C">
              <w:rPr>
                <w:webHidden/>
              </w:rPr>
              <w:fldChar w:fldCharType="begin"/>
            </w:r>
            <w:r w:rsidR="0028142C">
              <w:rPr>
                <w:webHidden/>
              </w:rPr>
              <w:instrText xml:space="preserve"> PAGEREF _Toc133938147 \h </w:instrText>
            </w:r>
            <w:r w:rsidR="0028142C">
              <w:rPr>
                <w:webHidden/>
              </w:rPr>
            </w:r>
            <w:r w:rsidR="0028142C">
              <w:rPr>
                <w:webHidden/>
              </w:rPr>
              <w:fldChar w:fldCharType="separate"/>
            </w:r>
            <w:r w:rsidR="00FD64B0">
              <w:rPr>
                <w:webHidden/>
              </w:rPr>
              <w:t>39</w:t>
            </w:r>
            <w:r w:rsidR="0028142C">
              <w:rPr>
                <w:webHidden/>
              </w:rPr>
              <w:fldChar w:fldCharType="end"/>
            </w:r>
          </w:hyperlink>
        </w:p>
        <w:p w14:paraId="03B57AAA" w14:textId="2249EF84"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48" w:history="1">
            <w:r w:rsidR="0028142C" w:rsidRPr="00EC552D">
              <w:rPr>
                <w:rStyle w:val="Hyperlink"/>
                <w:rFonts w:cs="Arial"/>
                <w:noProof/>
                <w:lang w:val="en-GB"/>
              </w:rPr>
              <w:t>4.</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Risk management</w:t>
            </w:r>
            <w:r w:rsidR="0028142C">
              <w:rPr>
                <w:noProof/>
                <w:webHidden/>
              </w:rPr>
              <w:tab/>
            </w:r>
            <w:r w:rsidR="0028142C">
              <w:rPr>
                <w:noProof/>
                <w:webHidden/>
              </w:rPr>
              <w:fldChar w:fldCharType="begin"/>
            </w:r>
            <w:r w:rsidR="0028142C">
              <w:rPr>
                <w:noProof/>
                <w:webHidden/>
              </w:rPr>
              <w:instrText xml:space="preserve"> PAGEREF _Toc133938148 \h </w:instrText>
            </w:r>
            <w:r w:rsidR="0028142C">
              <w:rPr>
                <w:noProof/>
                <w:webHidden/>
              </w:rPr>
            </w:r>
            <w:r w:rsidR="0028142C">
              <w:rPr>
                <w:noProof/>
                <w:webHidden/>
              </w:rPr>
              <w:fldChar w:fldCharType="separate"/>
            </w:r>
            <w:r w:rsidR="00FD64B0">
              <w:rPr>
                <w:noProof/>
                <w:webHidden/>
              </w:rPr>
              <w:t>40</w:t>
            </w:r>
            <w:r w:rsidR="0028142C">
              <w:rPr>
                <w:noProof/>
                <w:webHidden/>
              </w:rPr>
              <w:fldChar w:fldCharType="end"/>
            </w:r>
          </w:hyperlink>
        </w:p>
        <w:p w14:paraId="642F8657" w14:textId="1EEFF27E"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49" w:history="1">
            <w:r w:rsidR="0028142C" w:rsidRPr="00EC552D">
              <w:rPr>
                <w:rStyle w:val="Hyperlink"/>
                <w:rFonts w:eastAsiaTheme="minorHAnsi"/>
                <w:lang w:val="en-US"/>
              </w:rPr>
              <w:t>4.1.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Implement controls</w:t>
            </w:r>
            <w:r w:rsidR="0028142C">
              <w:rPr>
                <w:webHidden/>
              </w:rPr>
              <w:tab/>
            </w:r>
            <w:r w:rsidR="0028142C">
              <w:rPr>
                <w:webHidden/>
              </w:rPr>
              <w:fldChar w:fldCharType="begin"/>
            </w:r>
            <w:r w:rsidR="0028142C">
              <w:rPr>
                <w:webHidden/>
              </w:rPr>
              <w:instrText xml:space="preserve"> PAGEREF _Toc133938149 \h </w:instrText>
            </w:r>
            <w:r w:rsidR="0028142C">
              <w:rPr>
                <w:webHidden/>
              </w:rPr>
            </w:r>
            <w:r w:rsidR="0028142C">
              <w:rPr>
                <w:webHidden/>
              </w:rPr>
              <w:fldChar w:fldCharType="separate"/>
            </w:r>
            <w:r w:rsidR="00FD64B0">
              <w:rPr>
                <w:webHidden/>
              </w:rPr>
              <w:t>40</w:t>
            </w:r>
            <w:r w:rsidR="0028142C">
              <w:rPr>
                <w:webHidden/>
              </w:rPr>
              <w:fldChar w:fldCharType="end"/>
            </w:r>
          </w:hyperlink>
        </w:p>
        <w:p w14:paraId="0E41AA34" w14:textId="24B3C0CD"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50" w:history="1">
            <w:r w:rsidR="0028142C" w:rsidRPr="00EC552D">
              <w:rPr>
                <w:rStyle w:val="Hyperlink"/>
                <w:rFonts w:eastAsiaTheme="minorHAnsi"/>
                <w:lang w:val="en-US"/>
              </w:rPr>
              <w:t>4.2.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Check controls</w:t>
            </w:r>
            <w:r w:rsidR="0028142C">
              <w:rPr>
                <w:webHidden/>
              </w:rPr>
              <w:tab/>
            </w:r>
            <w:r w:rsidR="0028142C">
              <w:rPr>
                <w:webHidden/>
              </w:rPr>
              <w:fldChar w:fldCharType="begin"/>
            </w:r>
            <w:r w:rsidR="0028142C">
              <w:rPr>
                <w:webHidden/>
              </w:rPr>
              <w:instrText xml:space="preserve"> PAGEREF _Toc133938150 \h </w:instrText>
            </w:r>
            <w:r w:rsidR="0028142C">
              <w:rPr>
                <w:webHidden/>
              </w:rPr>
            </w:r>
            <w:r w:rsidR="0028142C">
              <w:rPr>
                <w:webHidden/>
              </w:rPr>
              <w:fldChar w:fldCharType="separate"/>
            </w:r>
            <w:r w:rsidR="00FD64B0">
              <w:rPr>
                <w:webHidden/>
              </w:rPr>
              <w:t>40</w:t>
            </w:r>
            <w:r w:rsidR="0028142C">
              <w:rPr>
                <w:webHidden/>
              </w:rPr>
              <w:fldChar w:fldCharType="end"/>
            </w:r>
          </w:hyperlink>
        </w:p>
        <w:p w14:paraId="082B3D5F" w14:textId="360AA94A"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51" w:history="1">
            <w:r w:rsidR="0028142C" w:rsidRPr="00EC552D">
              <w:rPr>
                <w:rStyle w:val="Hyperlink"/>
                <w:rFonts w:cs="Arial"/>
                <w:noProof/>
                <w:lang w:val="en-GB"/>
              </w:rPr>
              <w:t>5.</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Stakeholder participation</w:t>
            </w:r>
            <w:r w:rsidR="0028142C">
              <w:rPr>
                <w:noProof/>
                <w:webHidden/>
              </w:rPr>
              <w:tab/>
            </w:r>
            <w:r w:rsidR="0028142C">
              <w:rPr>
                <w:noProof/>
                <w:webHidden/>
              </w:rPr>
              <w:fldChar w:fldCharType="begin"/>
            </w:r>
            <w:r w:rsidR="0028142C">
              <w:rPr>
                <w:noProof/>
                <w:webHidden/>
              </w:rPr>
              <w:instrText xml:space="preserve"> PAGEREF _Toc133938151 \h </w:instrText>
            </w:r>
            <w:r w:rsidR="0028142C">
              <w:rPr>
                <w:noProof/>
                <w:webHidden/>
              </w:rPr>
            </w:r>
            <w:r w:rsidR="0028142C">
              <w:rPr>
                <w:noProof/>
                <w:webHidden/>
              </w:rPr>
              <w:fldChar w:fldCharType="separate"/>
            </w:r>
            <w:r w:rsidR="00FD64B0">
              <w:rPr>
                <w:noProof/>
                <w:webHidden/>
              </w:rPr>
              <w:t>41</w:t>
            </w:r>
            <w:r w:rsidR="0028142C">
              <w:rPr>
                <w:noProof/>
                <w:webHidden/>
              </w:rPr>
              <w:fldChar w:fldCharType="end"/>
            </w:r>
          </w:hyperlink>
        </w:p>
        <w:p w14:paraId="7DDE2CFD" w14:textId="631D3D35"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52" w:history="1">
            <w:r w:rsidR="0028142C" w:rsidRPr="00EC552D">
              <w:rPr>
                <w:rStyle w:val="Hyperlink"/>
              </w:rPr>
              <w:t>5.1.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Benefits of stakeholder participation</w:t>
            </w:r>
            <w:r w:rsidR="0028142C">
              <w:rPr>
                <w:webHidden/>
              </w:rPr>
              <w:tab/>
            </w:r>
            <w:r w:rsidR="0028142C">
              <w:rPr>
                <w:webHidden/>
              </w:rPr>
              <w:fldChar w:fldCharType="begin"/>
            </w:r>
            <w:r w:rsidR="0028142C">
              <w:rPr>
                <w:webHidden/>
              </w:rPr>
              <w:instrText xml:space="preserve"> PAGEREF _Toc133938152 \h </w:instrText>
            </w:r>
            <w:r w:rsidR="0028142C">
              <w:rPr>
                <w:webHidden/>
              </w:rPr>
            </w:r>
            <w:r w:rsidR="0028142C">
              <w:rPr>
                <w:webHidden/>
              </w:rPr>
              <w:fldChar w:fldCharType="separate"/>
            </w:r>
            <w:r w:rsidR="00FD64B0">
              <w:rPr>
                <w:webHidden/>
              </w:rPr>
              <w:t>41</w:t>
            </w:r>
            <w:r w:rsidR="0028142C">
              <w:rPr>
                <w:webHidden/>
              </w:rPr>
              <w:fldChar w:fldCharType="end"/>
            </w:r>
          </w:hyperlink>
        </w:p>
        <w:p w14:paraId="4F70F10D" w14:textId="74F1750A"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53" w:history="1">
            <w:r w:rsidR="0028142C" w:rsidRPr="00EC552D">
              <w:rPr>
                <w:rStyle w:val="Hyperlink"/>
                <w:rFonts w:eastAsiaTheme="minorHAnsi"/>
                <w:lang w:val="en-US"/>
              </w:rPr>
              <w:t>5.2.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Planning process for stakeholder participation</w:t>
            </w:r>
            <w:r w:rsidR="0028142C">
              <w:rPr>
                <w:webHidden/>
              </w:rPr>
              <w:tab/>
            </w:r>
            <w:r w:rsidR="0028142C">
              <w:rPr>
                <w:webHidden/>
              </w:rPr>
              <w:fldChar w:fldCharType="begin"/>
            </w:r>
            <w:r w:rsidR="0028142C">
              <w:rPr>
                <w:webHidden/>
              </w:rPr>
              <w:instrText xml:space="preserve"> PAGEREF _Toc133938153 \h </w:instrText>
            </w:r>
            <w:r w:rsidR="0028142C">
              <w:rPr>
                <w:webHidden/>
              </w:rPr>
            </w:r>
            <w:r w:rsidR="0028142C">
              <w:rPr>
                <w:webHidden/>
              </w:rPr>
              <w:fldChar w:fldCharType="separate"/>
            </w:r>
            <w:r w:rsidR="00FD64B0">
              <w:rPr>
                <w:webHidden/>
              </w:rPr>
              <w:t>42</w:t>
            </w:r>
            <w:r w:rsidR="0028142C">
              <w:rPr>
                <w:webHidden/>
              </w:rPr>
              <w:fldChar w:fldCharType="end"/>
            </w:r>
          </w:hyperlink>
        </w:p>
        <w:p w14:paraId="3ADC6567" w14:textId="75E4E7A0"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54" w:history="1">
            <w:r w:rsidR="0028142C" w:rsidRPr="00EC552D">
              <w:rPr>
                <w:rStyle w:val="Hyperlink"/>
                <w:rFonts w:cs="Arial"/>
                <w:noProof/>
                <w:lang w:val="en-GB"/>
              </w:rPr>
              <w:t>6.</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Mixing zone and the risk assessment process</w:t>
            </w:r>
            <w:r w:rsidR="0028142C">
              <w:rPr>
                <w:noProof/>
                <w:webHidden/>
              </w:rPr>
              <w:tab/>
            </w:r>
            <w:r w:rsidR="0028142C">
              <w:rPr>
                <w:noProof/>
                <w:webHidden/>
              </w:rPr>
              <w:fldChar w:fldCharType="begin"/>
            </w:r>
            <w:r w:rsidR="0028142C">
              <w:rPr>
                <w:noProof/>
                <w:webHidden/>
              </w:rPr>
              <w:instrText xml:space="preserve"> PAGEREF _Toc133938154 \h </w:instrText>
            </w:r>
            <w:r w:rsidR="0028142C">
              <w:rPr>
                <w:noProof/>
                <w:webHidden/>
              </w:rPr>
            </w:r>
            <w:r w:rsidR="0028142C">
              <w:rPr>
                <w:noProof/>
                <w:webHidden/>
              </w:rPr>
              <w:fldChar w:fldCharType="separate"/>
            </w:r>
            <w:r w:rsidR="00FD64B0">
              <w:rPr>
                <w:noProof/>
                <w:webHidden/>
              </w:rPr>
              <w:t>45</w:t>
            </w:r>
            <w:r w:rsidR="0028142C">
              <w:rPr>
                <w:noProof/>
                <w:webHidden/>
              </w:rPr>
              <w:fldChar w:fldCharType="end"/>
            </w:r>
          </w:hyperlink>
        </w:p>
        <w:p w14:paraId="342AE68D" w14:textId="5AA9B320"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55" w:history="1">
            <w:r w:rsidR="0028142C" w:rsidRPr="00EC552D">
              <w:rPr>
                <w:rStyle w:val="Hyperlink"/>
                <w:rFonts w:cs="Arial"/>
                <w:noProof/>
                <w:lang w:val="en-GB"/>
              </w:rPr>
              <w:t>7.</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Case studies</w:t>
            </w:r>
            <w:r w:rsidR="0028142C">
              <w:rPr>
                <w:noProof/>
                <w:webHidden/>
              </w:rPr>
              <w:tab/>
            </w:r>
            <w:r w:rsidR="0028142C">
              <w:rPr>
                <w:noProof/>
                <w:webHidden/>
              </w:rPr>
              <w:fldChar w:fldCharType="begin"/>
            </w:r>
            <w:r w:rsidR="0028142C">
              <w:rPr>
                <w:noProof/>
                <w:webHidden/>
              </w:rPr>
              <w:instrText xml:space="preserve"> PAGEREF _Toc133938155 \h </w:instrText>
            </w:r>
            <w:r w:rsidR="0028142C">
              <w:rPr>
                <w:noProof/>
                <w:webHidden/>
              </w:rPr>
            </w:r>
            <w:r w:rsidR="0028142C">
              <w:rPr>
                <w:noProof/>
                <w:webHidden/>
              </w:rPr>
              <w:fldChar w:fldCharType="separate"/>
            </w:r>
            <w:r w:rsidR="00FD64B0">
              <w:rPr>
                <w:noProof/>
                <w:webHidden/>
              </w:rPr>
              <w:t>45</w:t>
            </w:r>
            <w:r w:rsidR="0028142C">
              <w:rPr>
                <w:noProof/>
                <w:webHidden/>
              </w:rPr>
              <w:fldChar w:fldCharType="end"/>
            </w:r>
          </w:hyperlink>
        </w:p>
        <w:p w14:paraId="6CDB89A9" w14:textId="182D1795"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56" w:history="1">
            <w:r w:rsidR="0028142C" w:rsidRPr="00EC552D">
              <w:rPr>
                <w:rStyle w:val="Hyperlink"/>
                <w:rFonts w:cs="Arial"/>
                <w:noProof/>
                <w:lang w:val="en-GB"/>
              </w:rPr>
              <w:t>8.</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Acknowledgments</w:t>
            </w:r>
            <w:r w:rsidR="0028142C">
              <w:rPr>
                <w:noProof/>
                <w:webHidden/>
              </w:rPr>
              <w:tab/>
            </w:r>
            <w:r w:rsidR="0028142C">
              <w:rPr>
                <w:noProof/>
                <w:webHidden/>
              </w:rPr>
              <w:fldChar w:fldCharType="begin"/>
            </w:r>
            <w:r w:rsidR="0028142C">
              <w:rPr>
                <w:noProof/>
                <w:webHidden/>
              </w:rPr>
              <w:instrText xml:space="preserve"> PAGEREF _Toc133938156 \h </w:instrText>
            </w:r>
            <w:r w:rsidR="0028142C">
              <w:rPr>
                <w:noProof/>
                <w:webHidden/>
              </w:rPr>
            </w:r>
            <w:r w:rsidR="0028142C">
              <w:rPr>
                <w:noProof/>
                <w:webHidden/>
              </w:rPr>
              <w:fldChar w:fldCharType="separate"/>
            </w:r>
            <w:r w:rsidR="00FD64B0">
              <w:rPr>
                <w:noProof/>
                <w:webHidden/>
              </w:rPr>
              <w:t>45</w:t>
            </w:r>
            <w:r w:rsidR="0028142C">
              <w:rPr>
                <w:noProof/>
                <w:webHidden/>
              </w:rPr>
              <w:fldChar w:fldCharType="end"/>
            </w:r>
          </w:hyperlink>
        </w:p>
        <w:p w14:paraId="3D3CFB73" w14:textId="184C85DB" w:rsidR="0028142C" w:rsidRDefault="00000000">
          <w:pPr>
            <w:pStyle w:val="TOC1"/>
            <w:rPr>
              <w:rFonts w:asciiTheme="minorHAnsi" w:eastAsiaTheme="minorEastAsia" w:hAnsiTheme="minorHAnsi" w:cstheme="minorBidi"/>
              <w:noProof/>
              <w:color w:val="auto"/>
              <w:kern w:val="2"/>
              <w:lang w:eastAsia="en-GB"/>
              <w14:ligatures w14:val="standardContextual"/>
            </w:rPr>
          </w:pPr>
          <w:hyperlink w:anchor="_Toc133938157" w:history="1">
            <w:r w:rsidR="0028142C" w:rsidRPr="00EC552D">
              <w:rPr>
                <w:rStyle w:val="Hyperlink"/>
                <w:rFonts w:cs="Arial"/>
                <w:noProof/>
                <w:lang w:val="en-GB"/>
              </w:rPr>
              <w:t>9.</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References</w:t>
            </w:r>
            <w:r w:rsidR="0028142C">
              <w:rPr>
                <w:noProof/>
                <w:webHidden/>
              </w:rPr>
              <w:tab/>
            </w:r>
            <w:r w:rsidR="0028142C">
              <w:rPr>
                <w:noProof/>
                <w:webHidden/>
              </w:rPr>
              <w:fldChar w:fldCharType="begin"/>
            </w:r>
            <w:r w:rsidR="0028142C">
              <w:rPr>
                <w:noProof/>
                <w:webHidden/>
              </w:rPr>
              <w:instrText xml:space="preserve"> PAGEREF _Toc133938157 \h </w:instrText>
            </w:r>
            <w:r w:rsidR="0028142C">
              <w:rPr>
                <w:noProof/>
                <w:webHidden/>
              </w:rPr>
            </w:r>
            <w:r w:rsidR="0028142C">
              <w:rPr>
                <w:noProof/>
                <w:webHidden/>
              </w:rPr>
              <w:fldChar w:fldCharType="separate"/>
            </w:r>
            <w:r w:rsidR="00FD64B0">
              <w:rPr>
                <w:noProof/>
                <w:webHidden/>
              </w:rPr>
              <w:t>45</w:t>
            </w:r>
            <w:r w:rsidR="0028142C">
              <w:rPr>
                <w:noProof/>
                <w:webHidden/>
              </w:rPr>
              <w:fldChar w:fldCharType="end"/>
            </w:r>
          </w:hyperlink>
        </w:p>
        <w:p w14:paraId="678749B6" w14:textId="08EB90D5" w:rsidR="0028142C" w:rsidRDefault="00000000">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58" w:history="1">
            <w:r w:rsidR="0028142C" w:rsidRPr="00EC552D">
              <w:rPr>
                <w:rStyle w:val="Hyperlink"/>
                <w:noProof/>
              </w:rPr>
              <w:t>Appendix A:</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Examples of conceptual models</w:t>
            </w:r>
            <w:r w:rsidR="0028142C">
              <w:rPr>
                <w:noProof/>
                <w:webHidden/>
              </w:rPr>
              <w:tab/>
            </w:r>
            <w:r w:rsidR="0028142C">
              <w:rPr>
                <w:noProof/>
                <w:webHidden/>
              </w:rPr>
              <w:fldChar w:fldCharType="begin"/>
            </w:r>
            <w:r w:rsidR="0028142C">
              <w:rPr>
                <w:noProof/>
                <w:webHidden/>
              </w:rPr>
              <w:instrText xml:space="preserve"> PAGEREF _Toc133938158 \h </w:instrText>
            </w:r>
            <w:r w:rsidR="0028142C">
              <w:rPr>
                <w:noProof/>
                <w:webHidden/>
              </w:rPr>
            </w:r>
            <w:r w:rsidR="0028142C">
              <w:rPr>
                <w:noProof/>
                <w:webHidden/>
              </w:rPr>
              <w:fldChar w:fldCharType="separate"/>
            </w:r>
            <w:r w:rsidR="00FD64B0">
              <w:rPr>
                <w:noProof/>
                <w:webHidden/>
              </w:rPr>
              <w:t>48</w:t>
            </w:r>
            <w:r w:rsidR="0028142C">
              <w:rPr>
                <w:noProof/>
                <w:webHidden/>
              </w:rPr>
              <w:fldChar w:fldCharType="end"/>
            </w:r>
          </w:hyperlink>
        </w:p>
        <w:p w14:paraId="4C23AA47" w14:textId="77375567" w:rsidR="0028142C" w:rsidRDefault="00000000">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59" w:history="1">
            <w:r w:rsidR="0028142C" w:rsidRPr="00EC552D">
              <w:rPr>
                <w:rStyle w:val="Hyperlink"/>
                <w:noProof/>
              </w:rPr>
              <w:t>Appendix B:</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Case studies</w:t>
            </w:r>
            <w:r w:rsidR="0028142C">
              <w:rPr>
                <w:noProof/>
                <w:webHidden/>
              </w:rPr>
              <w:tab/>
            </w:r>
            <w:r w:rsidR="0028142C">
              <w:rPr>
                <w:noProof/>
                <w:webHidden/>
              </w:rPr>
              <w:fldChar w:fldCharType="begin"/>
            </w:r>
            <w:r w:rsidR="0028142C">
              <w:rPr>
                <w:noProof/>
                <w:webHidden/>
              </w:rPr>
              <w:instrText xml:space="preserve"> PAGEREF _Toc133938159 \h </w:instrText>
            </w:r>
            <w:r w:rsidR="0028142C">
              <w:rPr>
                <w:noProof/>
                <w:webHidden/>
              </w:rPr>
            </w:r>
            <w:r w:rsidR="0028142C">
              <w:rPr>
                <w:noProof/>
                <w:webHidden/>
              </w:rPr>
              <w:fldChar w:fldCharType="separate"/>
            </w:r>
            <w:r w:rsidR="00FD64B0">
              <w:rPr>
                <w:noProof/>
                <w:webHidden/>
              </w:rPr>
              <w:t>50</w:t>
            </w:r>
            <w:r w:rsidR="0028142C">
              <w:rPr>
                <w:noProof/>
                <w:webHidden/>
              </w:rPr>
              <w:fldChar w:fldCharType="end"/>
            </w:r>
          </w:hyperlink>
        </w:p>
        <w:p w14:paraId="0F48337F" w14:textId="0D7BC632"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0" w:history="1">
            <w:r w:rsidR="0028142C" w:rsidRPr="00EC552D">
              <w:rPr>
                <w:rStyle w:val="Hyperlink"/>
              </w:rPr>
              <w:t>B.1.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Barwon Water – Black Rock treatment plant</w:t>
            </w:r>
            <w:r w:rsidR="0028142C">
              <w:rPr>
                <w:webHidden/>
              </w:rPr>
              <w:tab/>
            </w:r>
            <w:r w:rsidR="0028142C">
              <w:rPr>
                <w:webHidden/>
              </w:rPr>
              <w:fldChar w:fldCharType="begin"/>
            </w:r>
            <w:r w:rsidR="0028142C">
              <w:rPr>
                <w:webHidden/>
              </w:rPr>
              <w:instrText xml:space="preserve"> PAGEREF _Toc133938160 \h </w:instrText>
            </w:r>
            <w:r w:rsidR="0028142C">
              <w:rPr>
                <w:webHidden/>
              </w:rPr>
            </w:r>
            <w:r w:rsidR="0028142C">
              <w:rPr>
                <w:webHidden/>
              </w:rPr>
              <w:fldChar w:fldCharType="separate"/>
            </w:r>
            <w:r w:rsidR="00FD64B0">
              <w:rPr>
                <w:webHidden/>
              </w:rPr>
              <w:t>50</w:t>
            </w:r>
            <w:r w:rsidR="0028142C">
              <w:rPr>
                <w:webHidden/>
              </w:rPr>
              <w:fldChar w:fldCharType="end"/>
            </w:r>
          </w:hyperlink>
        </w:p>
        <w:p w14:paraId="5FEC5079" w14:textId="2562229E"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1" w:history="1">
            <w:r w:rsidR="0028142C" w:rsidRPr="00EC552D">
              <w:rPr>
                <w:rStyle w:val="Hyperlink"/>
              </w:rPr>
              <w:t>B.2.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Goulburn Valley Water – Shepparton, Alexandra and Eildon treatment plants</w:t>
            </w:r>
            <w:r w:rsidR="0028142C">
              <w:rPr>
                <w:webHidden/>
              </w:rPr>
              <w:tab/>
            </w:r>
            <w:r w:rsidR="0028142C">
              <w:rPr>
                <w:webHidden/>
              </w:rPr>
              <w:fldChar w:fldCharType="begin"/>
            </w:r>
            <w:r w:rsidR="0028142C">
              <w:rPr>
                <w:webHidden/>
              </w:rPr>
              <w:instrText xml:space="preserve"> PAGEREF _Toc133938161 \h </w:instrText>
            </w:r>
            <w:r w:rsidR="0028142C">
              <w:rPr>
                <w:webHidden/>
              </w:rPr>
            </w:r>
            <w:r w:rsidR="0028142C">
              <w:rPr>
                <w:webHidden/>
              </w:rPr>
              <w:fldChar w:fldCharType="separate"/>
            </w:r>
            <w:r w:rsidR="00FD64B0">
              <w:rPr>
                <w:webHidden/>
              </w:rPr>
              <w:t>58</w:t>
            </w:r>
            <w:r w:rsidR="0028142C">
              <w:rPr>
                <w:webHidden/>
              </w:rPr>
              <w:fldChar w:fldCharType="end"/>
            </w:r>
          </w:hyperlink>
        </w:p>
        <w:p w14:paraId="07D81AC9" w14:textId="0CFC24D0"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2" w:history="1">
            <w:r w:rsidR="0028142C" w:rsidRPr="00EC552D">
              <w:rPr>
                <w:rStyle w:val="Hyperlink"/>
              </w:rPr>
              <w:t>B.3.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North East Water: Beechworth treatment plant</w:t>
            </w:r>
            <w:r w:rsidR="0028142C">
              <w:rPr>
                <w:webHidden/>
              </w:rPr>
              <w:tab/>
            </w:r>
            <w:r w:rsidR="0028142C">
              <w:rPr>
                <w:webHidden/>
              </w:rPr>
              <w:fldChar w:fldCharType="begin"/>
            </w:r>
            <w:r w:rsidR="0028142C">
              <w:rPr>
                <w:webHidden/>
              </w:rPr>
              <w:instrText xml:space="preserve"> PAGEREF _Toc133938162 \h </w:instrText>
            </w:r>
            <w:r w:rsidR="0028142C">
              <w:rPr>
                <w:webHidden/>
              </w:rPr>
            </w:r>
            <w:r w:rsidR="0028142C">
              <w:rPr>
                <w:webHidden/>
              </w:rPr>
              <w:fldChar w:fldCharType="separate"/>
            </w:r>
            <w:r w:rsidR="00FD64B0">
              <w:rPr>
                <w:webHidden/>
              </w:rPr>
              <w:t>68</w:t>
            </w:r>
            <w:r w:rsidR="0028142C">
              <w:rPr>
                <w:webHidden/>
              </w:rPr>
              <w:fldChar w:fldCharType="end"/>
            </w:r>
          </w:hyperlink>
        </w:p>
        <w:p w14:paraId="088848EB" w14:textId="312EBD9C"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3" w:history="1">
            <w:r w:rsidR="0028142C" w:rsidRPr="00EC552D">
              <w:rPr>
                <w:rStyle w:val="Hyperlink"/>
              </w:rPr>
              <w:t>B.4.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assessment for a small wastewater treatment plant</w:t>
            </w:r>
            <w:r w:rsidR="0028142C">
              <w:rPr>
                <w:webHidden/>
              </w:rPr>
              <w:tab/>
            </w:r>
            <w:r w:rsidR="0028142C">
              <w:rPr>
                <w:webHidden/>
              </w:rPr>
              <w:fldChar w:fldCharType="begin"/>
            </w:r>
            <w:r w:rsidR="0028142C">
              <w:rPr>
                <w:webHidden/>
              </w:rPr>
              <w:instrText xml:space="preserve"> PAGEREF _Toc133938163 \h </w:instrText>
            </w:r>
            <w:r w:rsidR="0028142C">
              <w:rPr>
                <w:webHidden/>
              </w:rPr>
            </w:r>
            <w:r w:rsidR="0028142C">
              <w:rPr>
                <w:webHidden/>
              </w:rPr>
              <w:fldChar w:fldCharType="separate"/>
            </w:r>
            <w:r w:rsidR="00FD64B0">
              <w:rPr>
                <w:webHidden/>
              </w:rPr>
              <w:t>75</w:t>
            </w:r>
            <w:r w:rsidR="0028142C">
              <w:rPr>
                <w:webHidden/>
              </w:rPr>
              <w:fldChar w:fldCharType="end"/>
            </w:r>
          </w:hyperlink>
        </w:p>
        <w:p w14:paraId="6F62262D" w14:textId="76A2F27B" w:rsidR="0028142C" w:rsidRDefault="00000000">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64" w:history="1">
            <w:r w:rsidR="0028142C" w:rsidRPr="00EC552D">
              <w:rPr>
                <w:rStyle w:val="Hyperlink"/>
                <w:noProof/>
              </w:rPr>
              <w:t>Appendix C:</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Guidance for assessing human health risk of wastewater discharges to surface waters</w:t>
            </w:r>
            <w:r w:rsidR="0028142C">
              <w:rPr>
                <w:noProof/>
                <w:webHidden/>
              </w:rPr>
              <w:tab/>
            </w:r>
            <w:r w:rsidR="0028142C">
              <w:rPr>
                <w:noProof/>
                <w:webHidden/>
              </w:rPr>
              <w:tab/>
            </w:r>
            <w:r w:rsidR="0028142C">
              <w:rPr>
                <w:noProof/>
                <w:webHidden/>
              </w:rPr>
              <w:fldChar w:fldCharType="begin"/>
            </w:r>
            <w:r w:rsidR="0028142C">
              <w:rPr>
                <w:noProof/>
                <w:webHidden/>
              </w:rPr>
              <w:instrText xml:space="preserve"> PAGEREF _Toc133938164 \h </w:instrText>
            </w:r>
            <w:r w:rsidR="0028142C">
              <w:rPr>
                <w:noProof/>
                <w:webHidden/>
              </w:rPr>
            </w:r>
            <w:r w:rsidR="0028142C">
              <w:rPr>
                <w:noProof/>
                <w:webHidden/>
              </w:rPr>
              <w:fldChar w:fldCharType="separate"/>
            </w:r>
            <w:r w:rsidR="00FD64B0">
              <w:rPr>
                <w:noProof/>
                <w:webHidden/>
              </w:rPr>
              <w:t>80</w:t>
            </w:r>
            <w:r w:rsidR="0028142C">
              <w:rPr>
                <w:noProof/>
                <w:webHidden/>
              </w:rPr>
              <w:fldChar w:fldCharType="end"/>
            </w:r>
          </w:hyperlink>
        </w:p>
        <w:p w14:paraId="235F7F24" w14:textId="1D0F9640"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5" w:history="1">
            <w:r w:rsidR="0028142C" w:rsidRPr="00EC552D">
              <w:rPr>
                <w:rStyle w:val="Hyperlink"/>
              </w:rPr>
              <w:t>C.1.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Introduction</w:t>
            </w:r>
            <w:r w:rsidR="0028142C">
              <w:rPr>
                <w:webHidden/>
              </w:rPr>
              <w:tab/>
            </w:r>
            <w:r w:rsidR="0028142C">
              <w:rPr>
                <w:webHidden/>
              </w:rPr>
              <w:fldChar w:fldCharType="begin"/>
            </w:r>
            <w:r w:rsidR="0028142C">
              <w:rPr>
                <w:webHidden/>
              </w:rPr>
              <w:instrText xml:space="preserve"> PAGEREF _Toc133938165 \h </w:instrText>
            </w:r>
            <w:r w:rsidR="0028142C">
              <w:rPr>
                <w:webHidden/>
              </w:rPr>
            </w:r>
            <w:r w:rsidR="0028142C">
              <w:rPr>
                <w:webHidden/>
              </w:rPr>
              <w:fldChar w:fldCharType="separate"/>
            </w:r>
            <w:r w:rsidR="00FD64B0">
              <w:rPr>
                <w:webHidden/>
              </w:rPr>
              <w:t>80</w:t>
            </w:r>
            <w:r w:rsidR="0028142C">
              <w:rPr>
                <w:webHidden/>
              </w:rPr>
              <w:fldChar w:fldCharType="end"/>
            </w:r>
          </w:hyperlink>
        </w:p>
        <w:p w14:paraId="219D460C" w14:textId="015A552A"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6" w:history="1">
            <w:r w:rsidR="0028142C" w:rsidRPr="00EC552D">
              <w:rPr>
                <w:rStyle w:val="Hyperlink"/>
              </w:rPr>
              <w:t>C.2.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When should a health risk assessment be conducted?</w:t>
            </w:r>
            <w:r w:rsidR="0028142C">
              <w:rPr>
                <w:webHidden/>
              </w:rPr>
              <w:tab/>
            </w:r>
            <w:r w:rsidR="0028142C">
              <w:rPr>
                <w:webHidden/>
              </w:rPr>
              <w:fldChar w:fldCharType="begin"/>
            </w:r>
            <w:r w:rsidR="0028142C">
              <w:rPr>
                <w:webHidden/>
              </w:rPr>
              <w:instrText xml:space="preserve"> PAGEREF _Toc133938166 \h </w:instrText>
            </w:r>
            <w:r w:rsidR="0028142C">
              <w:rPr>
                <w:webHidden/>
              </w:rPr>
            </w:r>
            <w:r w:rsidR="0028142C">
              <w:rPr>
                <w:webHidden/>
              </w:rPr>
              <w:fldChar w:fldCharType="separate"/>
            </w:r>
            <w:r w:rsidR="00FD64B0">
              <w:rPr>
                <w:webHidden/>
              </w:rPr>
              <w:t>80</w:t>
            </w:r>
            <w:r w:rsidR="0028142C">
              <w:rPr>
                <w:webHidden/>
              </w:rPr>
              <w:fldChar w:fldCharType="end"/>
            </w:r>
          </w:hyperlink>
        </w:p>
        <w:p w14:paraId="2994F627" w14:textId="6E8DBFAD"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7" w:history="1">
            <w:r w:rsidR="0028142C" w:rsidRPr="00EC552D">
              <w:rPr>
                <w:rStyle w:val="Hyperlink"/>
              </w:rPr>
              <w:t>C.3.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What is a human health risk assessment?</w:t>
            </w:r>
            <w:r w:rsidR="0028142C">
              <w:rPr>
                <w:webHidden/>
              </w:rPr>
              <w:tab/>
            </w:r>
            <w:r w:rsidR="0028142C">
              <w:rPr>
                <w:webHidden/>
              </w:rPr>
              <w:fldChar w:fldCharType="begin"/>
            </w:r>
            <w:r w:rsidR="0028142C">
              <w:rPr>
                <w:webHidden/>
              </w:rPr>
              <w:instrText xml:space="preserve"> PAGEREF _Toc133938167 \h </w:instrText>
            </w:r>
            <w:r w:rsidR="0028142C">
              <w:rPr>
                <w:webHidden/>
              </w:rPr>
            </w:r>
            <w:r w:rsidR="0028142C">
              <w:rPr>
                <w:webHidden/>
              </w:rPr>
              <w:fldChar w:fldCharType="separate"/>
            </w:r>
            <w:r w:rsidR="00FD64B0">
              <w:rPr>
                <w:webHidden/>
              </w:rPr>
              <w:t>80</w:t>
            </w:r>
            <w:r w:rsidR="0028142C">
              <w:rPr>
                <w:webHidden/>
              </w:rPr>
              <w:fldChar w:fldCharType="end"/>
            </w:r>
          </w:hyperlink>
        </w:p>
        <w:p w14:paraId="52B40E0F" w14:textId="2F29C17C"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8" w:history="1">
            <w:r w:rsidR="0028142C" w:rsidRPr="00EC552D">
              <w:rPr>
                <w:rStyle w:val="Hyperlink"/>
              </w:rPr>
              <w:t>C.4.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Environmental values</w:t>
            </w:r>
            <w:r w:rsidR="0028142C">
              <w:rPr>
                <w:webHidden/>
              </w:rPr>
              <w:tab/>
            </w:r>
            <w:r w:rsidR="0028142C">
              <w:rPr>
                <w:webHidden/>
              </w:rPr>
              <w:fldChar w:fldCharType="begin"/>
            </w:r>
            <w:r w:rsidR="0028142C">
              <w:rPr>
                <w:webHidden/>
              </w:rPr>
              <w:instrText xml:space="preserve"> PAGEREF _Toc133938168 \h </w:instrText>
            </w:r>
            <w:r w:rsidR="0028142C">
              <w:rPr>
                <w:webHidden/>
              </w:rPr>
            </w:r>
            <w:r w:rsidR="0028142C">
              <w:rPr>
                <w:webHidden/>
              </w:rPr>
              <w:fldChar w:fldCharType="separate"/>
            </w:r>
            <w:r w:rsidR="00FD64B0">
              <w:rPr>
                <w:webHidden/>
              </w:rPr>
              <w:t>82</w:t>
            </w:r>
            <w:r w:rsidR="0028142C">
              <w:rPr>
                <w:webHidden/>
              </w:rPr>
              <w:fldChar w:fldCharType="end"/>
            </w:r>
          </w:hyperlink>
        </w:p>
        <w:p w14:paraId="608C31C2" w14:textId="77A112C0"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69" w:history="1">
            <w:r w:rsidR="0028142C" w:rsidRPr="00EC552D">
              <w:rPr>
                <w:rStyle w:val="Hyperlink"/>
              </w:rPr>
              <w:t>C.5.</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The microbial risk assessment framework</w:t>
            </w:r>
            <w:r w:rsidR="0028142C">
              <w:rPr>
                <w:webHidden/>
              </w:rPr>
              <w:tab/>
            </w:r>
            <w:r w:rsidR="0028142C">
              <w:rPr>
                <w:webHidden/>
              </w:rPr>
              <w:fldChar w:fldCharType="begin"/>
            </w:r>
            <w:r w:rsidR="0028142C">
              <w:rPr>
                <w:webHidden/>
              </w:rPr>
              <w:instrText xml:space="preserve"> PAGEREF _Toc133938169 \h </w:instrText>
            </w:r>
            <w:r w:rsidR="0028142C">
              <w:rPr>
                <w:webHidden/>
              </w:rPr>
            </w:r>
            <w:r w:rsidR="0028142C">
              <w:rPr>
                <w:webHidden/>
              </w:rPr>
              <w:fldChar w:fldCharType="separate"/>
            </w:r>
            <w:r w:rsidR="00FD64B0">
              <w:rPr>
                <w:webHidden/>
              </w:rPr>
              <w:t>85</w:t>
            </w:r>
            <w:r w:rsidR="0028142C">
              <w:rPr>
                <w:webHidden/>
              </w:rPr>
              <w:fldChar w:fldCharType="end"/>
            </w:r>
          </w:hyperlink>
        </w:p>
        <w:p w14:paraId="7D5DD749" w14:textId="7001708B"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70" w:history="1">
            <w:r w:rsidR="0028142C" w:rsidRPr="00EC552D">
              <w:rPr>
                <w:rStyle w:val="Hyperlink"/>
              </w:rPr>
              <w:t>C.6.</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Selecting a QMRA approach</w:t>
            </w:r>
            <w:r w:rsidR="0028142C">
              <w:rPr>
                <w:webHidden/>
              </w:rPr>
              <w:tab/>
            </w:r>
            <w:r w:rsidR="0028142C">
              <w:rPr>
                <w:webHidden/>
              </w:rPr>
              <w:fldChar w:fldCharType="begin"/>
            </w:r>
            <w:r w:rsidR="0028142C">
              <w:rPr>
                <w:webHidden/>
              </w:rPr>
              <w:instrText xml:space="preserve"> PAGEREF _Toc133938170 \h </w:instrText>
            </w:r>
            <w:r w:rsidR="0028142C">
              <w:rPr>
                <w:webHidden/>
              </w:rPr>
            </w:r>
            <w:r w:rsidR="0028142C">
              <w:rPr>
                <w:webHidden/>
              </w:rPr>
              <w:fldChar w:fldCharType="separate"/>
            </w:r>
            <w:r w:rsidR="00FD64B0">
              <w:rPr>
                <w:webHidden/>
              </w:rPr>
              <w:t>87</w:t>
            </w:r>
            <w:r w:rsidR="0028142C">
              <w:rPr>
                <w:webHidden/>
              </w:rPr>
              <w:fldChar w:fldCharType="end"/>
            </w:r>
          </w:hyperlink>
        </w:p>
        <w:p w14:paraId="1418F65F" w14:textId="0B2DEAA0"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71" w:history="1">
            <w:r w:rsidR="0028142C" w:rsidRPr="00EC552D">
              <w:rPr>
                <w:rStyle w:val="Hyperlink"/>
              </w:rPr>
              <w:t>C.7.</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Assessing microbial risks of wastewater discharge</w:t>
            </w:r>
            <w:r w:rsidR="0028142C">
              <w:rPr>
                <w:webHidden/>
              </w:rPr>
              <w:tab/>
            </w:r>
            <w:r w:rsidR="0028142C">
              <w:rPr>
                <w:webHidden/>
              </w:rPr>
              <w:fldChar w:fldCharType="begin"/>
            </w:r>
            <w:r w:rsidR="0028142C">
              <w:rPr>
                <w:webHidden/>
              </w:rPr>
              <w:instrText xml:space="preserve"> PAGEREF _Toc133938171 \h </w:instrText>
            </w:r>
            <w:r w:rsidR="0028142C">
              <w:rPr>
                <w:webHidden/>
              </w:rPr>
            </w:r>
            <w:r w:rsidR="0028142C">
              <w:rPr>
                <w:webHidden/>
              </w:rPr>
              <w:fldChar w:fldCharType="separate"/>
            </w:r>
            <w:r w:rsidR="00FD64B0">
              <w:rPr>
                <w:webHidden/>
              </w:rPr>
              <w:t>89</w:t>
            </w:r>
            <w:r w:rsidR="0028142C">
              <w:rPr>
                <w:webHidden/>
              </w:rPr>
              <w:fldChar w:fldCharType="end"/>
            </w:r>
          </w:hyperlink>
        </w:p>
        <w:p w14:paraId="1CB04EE4" w14:textId="2BEAF000"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2" w:history="1">
            <w:r w:rsidR="0028142C" w:rsidRPr="00EC552D">
              <w:rPr>
                <w:rStyle w:val="Hyperlink"/>
              </w:rPr>
              <w:t>C.7.1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Problem formulation</w:t>
            </w:r>
            <w:r w:rsidR="0028142C">
              <w:rPr>
                <w:webHidden/>
              </w:rPr>
              <w:tab/>
            </w:r>
            <w:r w:rsidR="0028142C">
              <w:rPr>
                <w:webHidden/>
              </w:rPr>
              <w:fldChar w:fldCharType="begin"/>
            </w:r>
            <w:r w:rsidR="0028142C">
              <w:rPr>
                <w:webHidden/>
              </w:rPr>
              <w:instrText xml:space="preserve"> PAGEREF _Toc133938172 \h </w:instrText>
            </w:r>
            <w:r w:rsidR="0028142C">
              <w:rPr>
                <w:webHidden/>
              </w:rPr>
            </w:r>
            <w:r w:rsidR="0028142C">
              <w:rPr>
                <w:webHidden/>
              </w:rPr>
              <w:fldChar w:fldCharType="separate"/>
            </w:r>
            <w:r w:rsidR="00FD64B0">
              <w:rPr>
                <w:webHidden/>
              </w:rPr>
              <w:t>89</w:t>
            </w:r>
            <w:r w:rsidR="0028142C">
              <w:rPr>
                <w:webHidden/>
              </w:rPr>
              <w:fldChar w:fldCharType="end"/>
            </w:r>
          </w:hyperlink>
        </w:p>
        <w:p w14:paraId="32CF3308" w14:textId="53DCE3FC"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3" w:history="1">
            <w:r w:rsidR="0028142C" w:rsidRPr="00EC552D">
              <w:rPr>
                <w:rStyle w:val="Hyperlink"/>
              </w:rPr>
              <w:t>C.7.2</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Exposure assessment</w:t>
            </w:r>
            <w:r w:rsidR="0028142C">
              <w:rPr>
                <w:webHidden/>
              </w:rPr>
              <w:tab/>
            </w:r>
            <w:r w:rsidR="0028142C">
              <w:rPr>
                <w:webHidden/>
              </w:rPr>
              <w:fldChar w:fldCharType="begin"/>
            </w:r>
            <w:r w:rsidR="0028142C">
              <w:rPr>
                <w:webHidden/>
              </w:rPr>
              <w:instrText xml:space="preserve"> PAGEREF _Toc133938173 \h </w:instrText>
            </w:r>
            <w:r w:rsidR="0028142C">
              <w:rPr>
                <w:webHidden/>
              </w:rPr>
            </w:r>
            <w:r w:rsidR="0028142C">
              <w:rPr>
                <w:webHidden/>
              </w:rPr>
              <w:fldChar w:fldCharType="separate"/>
            </w:r>
            <w:r w:rsidR="00FD64B0">
              <w:rPr>
                <w:webHidden/>
              </w:rPr>
              <w:t>97</w:t>
            </w:r>
            <w:r w:rsidR="0028142C">
              <w:rPr>
                <w:webHidden/>
              </w:rPr>
              <w:fldChar w:fldCharType="end"/>
            </w:r>
          </w:hyperlink>
        </w:p>
        <w:p w14:paraId="51E58835" w14:textId="4C52C349"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4" w:history="1">
            <w:r w:rsidR="0028142C" w:rsidRPr="00EC552D">
              <w:rPr>
                <w:rStyle w:val="Hyperlink"/>
              </w:rPr>
              <w:t>C.7.3</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Health effects assessment</w:t>
            </w:r>
            <w:r w:rsidR="0028142C">
              <w:rPr>
                <w:webHidden/>
              </w:rPr>
              <w:tab/>
            </w:r>
            <w:r w:rsidR="0028142C">
              <w:rPr>
                <w:webHidden/>
              </w:rPr>
              <w:fldChar w:fldCharType="begin"/>
            </w:r>
            <w:r w:rsidR="0028142C">
              <w:rPr>
                <w:webHidden/>
              </w:rPr>
              <w:instrText xml:space="preserve"> PAGEREF _Toc133938174 \h </w:instrText>
            </w:r>
            <w:r w:rsidR="0028142C">
              <w:rPr>
                <w:webHidden/>
              </w:rPr>
            </w:r>
            <w:r w:rsidR="0028142C">
              <w:rPr>
                <w:webHidden/>
              </w:rPr>
              <w:fldChar w:fldCharType="separate"/>
            </w:r>
            <w:r w:rsidR="00FD64B0">
              <w:rPr>
                <w:webHidden/>
              </w:rPr>
              <w:t>99</w:t>
            </w:r>
            <w:r w:rsidR="0028142C">
              <w:rPr>
                <w:webHidden/>
              </w:rPr>
              <w:fldChar w:fldCharType="end"/>
            </w:r>
          </w:hyperlink>
        </w:p>
        <w:p w14:paraId="6DA72BF9" w14:textId="0164B8CD"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5" w:history="1">
            <w:r w:rsidR="0028142C" w:rsidRPr="00EC552D">
              <w:rPr>
                <w:rStyle w:val="Hyperlink"/>
              </w:rPr>
              <w:t>C.7.4</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characterisation</w:t>
            </w:r>
            <w:r w:rsidR="0028142C">
              <w:rPr>
                <w:webHidden/>
              </w:rPr>
              <w:tab/>
            </w:r>
            <w:r w:rsidR="0028142C">
              <w:rPr>
                <w:webHidden/>
              </w:rPr>
              <w:fldChar w:fldCharType="begin"/>
            </w:r>
            <w:r w:rsidR="0028142C">
              <w:rPr>
                <w:webHidden/>
              </w:rPr>
              <w:instrText xml:space="preserve"> PAGEREF _Toc133938175 \h </w:instrText>
            </w:r>
            <w:r w:rsidR="0028142C">
              <w:rPr>
                <w:webHidden/>
              </w:rPr>
            </w:r>
            <w:r w:rsidR="0028142C">
              <w:rPr>
                <w:webHidden/>
              </w:rPr>
              <w:fldChar w:fldCharType="separate"/>
            </w:r>
            <w:r w:rsidR="00FD64B0">
              <w:rPr>
                <w:webHidden/>
              </w:rPr>
              <w:t>100</w:t>
            </w:r>
            <w:r w:rsidR="0028142C">
              <w:rPr>
                <w:webHidden/>
              </w:rPr>
              <w:fldChar w:fldCharType="end"/>
            </w:r>
          </w:hyperlink>
        </w:p>
        <w:p w14:paraId="414EDDAD" w14:textId="27BA1378"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76" w:history="1">
            <w:r w:rsidR="0028142C" w:rsidRPr="00EC552D">
              <w:rPr>
                <w:rStyle w:val="Hyperlink"/>
              </w:rPr>
              <w:t>C.8.</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Risk management</w:t>
            </w:r>
            <w:r w:rsidR="0028142C">
              <w:rPr>
                <w:webHidden/>
              </w:rPr>
              <w:tab/>
            </w:r>
            <w:r w:rsidR="0028142C">
              <w:rPr>
                <w:webHidden/>
              </w:rPr>
              <w:fldChar w:fldCharType="begin"/>
            </w:r>
            <w:r w:rsidR="0028142C">
              <w:rPr>
                <w:webHidden/>
              </w:rPr>
              <w:instrText xml:space="preserve"> PAGEREF _Toc133938176 \h </w:instrText>
            </w:r>
            <w:r w:rsidR="0028142C">
              <w:rPr>
                <w:webHidden/>
              </w:rPr>
            </w:r>
            <w:r w:rsidR="0028142C">
              <w:rPr>
                <w:webHidden/>
              </w:rPr>
              <w:fldChar w:fldCharType="separate"/>
            </w:r>
            <w:r w:rsidR="00FD64B0">
              <w:rPr>
                <w:webHidden/>
              </w:rPr>
              <w:t>100</w:t>
            </w:r>
            <w:r w:rsidR="0028142C">
              <w:rPr>
                <w:webHidden/>
              </w:rPr>
              <w:fldChar w:fldCharType="end"/>
            </w:r>
          </w:hyperlink>
        </w:p>
        <w:p w14:paraId="099B172F" w14:textId="456F62AF" w:rsidR="0028142C" w:rsidRDefault="00000000">
          <w:pPr>
            <w:pStyle w:val="TOC2"/>
            <w:rPr>
              <w:rFonts w:asciiTheme="minorHAnsi" w:eastAsiaTheme="minorEastAsia" w:hAnsiTheme="minorHAnsi" w:cstheme="minorBidi"/>
              <w:color w:val="auto"/>
              <w:kern w:val="2"/>
              <w:lang w:eastAsia="en-GB"/>
              <w14:ligatures w14:val="standardContextual"/>
            </w:rPr>
          </w:pPr>
          <w:hyperlink w:anchor="_Toc133938177" w:history="1">
            <w:r w:rsidR="0028142C" w:rsidRPr="00EC552D">
              <w:rPr>
                <w:rStyle w:val="Hyperlink"/>
              </w:rPr>
              <w:t>C.9.</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Variability and uncertainty</w:t>
            </w:r>
            <w:r w:rsidR="0028142C">
              <w:rPr>
                <w:webHidden/>
              </w:rPr>
              <w:tab/>
            </w:r>
            <w:r w:rsidR="0028142C">
              <w:rPr>
                <w:webHidden/>
              </w:rPr>
              <w:fldChar w:fldCharType="begin"/>
            </w:r>
            <w:r w:rsidR="0028142C">
              <w:rPr>
                <w:webHidden/>
              </w:rPr>
              <w:instrText xml:space="preserve"> PAGEREF _Toc133938177 \h </w:instrText>
            </w:r>
            <w:r w:rsidR="0028142C">
              <w:rPr>
                <w:webHidden/>
              </w:rPr>
            </w:r>
            <w:r w:rsidR="0028142C">
              <w:rPr>
                <w:webHidden/>
              </w:rPr>
              <w:fldChar w:fldCharType="separate"/>
            </w:r>
            <w:r w:rsidR="00FD64B0">
              <w:rPr>
                <w:webHidden/>
              </w:rPr>
              <w:t>102</w:t>
            </w:r>
            <w:r w:rsidR="0028142C">
              <w:rPr>
                <w:webHidden/>
              </w:rPr>
              <w:fldChar w:fldCharType="end"/>
            </w:r>
          </w:hyperlink>
        </w:p>
        <w:p w14:paraId="1DD517AE" w14:textId="22FE5C82" w:rsidR="0028142C" w:rsidRDefault="00000000">
          <w:pPr>
            <w:pStyle w:val="TOC2"/>
            <w:tabs>
              <w:tab w:val="left" w:pos="880"/>
            </w:tabs>
            <w:rPr>
              <w:rFonts w:asciiTheme="minorHAnsi" w:eastAsiaTheme="minorEastAsia" w:hAnsiTheme="minorHAnsi" w:cstheme="minorBidi"/>
              <w:color w:val="auto"/>
              <w:kern w:val="2"/>
              <w:lang w:eastAsia="en-GB"/>
              <w14:ligatures w14:val="standardContextual"/>
            </w:rPr>
          </w:pPr>
          <w:hyperlink w:anchor="_Toc133938178" w:history="1">
            <w:r w:rsidR="0028142C" w:rsidRPr="00EC552D">
              <w:rPr>
                <w:rStyle w:val="Hyperlink"/>
              </w:rPr>
              <w:t>C.10.</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Case studies</w:t>
            </w:r>
            <w:r w:rsidR="0028142C">
              <w:rPr>
                <w:webHidden/>
              </w:rPr>
              <w:tab/>
            </w:r>
            <w:r w:rsidR="0028142C">
              <w:rPr>
                <w:webHidden/>
              </w:rPr>
              <w:fldChar w:fldCharType="begin"/>
            </w:r>
            <w:r w:rsidR="0028142C">
              <w:rPr>
                <w:webHidden/>
              </w:rPr>
              <w:instrText xml:space="preserve"> PAGEREF _Toc133938178 \h </w:instrText>
            </w:r>
            <w:r w:rsidR="0028142C">
              <w:rPr>
                <w:webHidden/>
              </w:rPr>
            </w:r>
            <w:r w:rsidR="0028142C">
              <w:rPr>
                <w:webHidden/>
              </w:rPr>
              <w:fldChar w:fldCharType="separate"/>
            </w:r>
            <w:r w:rsidR="00FD64B0">
              <w:rPr>
                <w:webHidden/>
              </w:rPr>
              <w:t>103</w:t>
            </w:r>
            <w:r w:rsidR="0028142C">
              <w:rPr>
                <w:webHidden/>
              </w:rPr>
              <w:fldChar w:fldCharType="end"/>
            </w:r>
          </w:hyperlink>
        </w:p>
        <w:p w14:paraId="12FA2B21" w14:textId="271D5CBC" w:rsidR="0028142C" w:rsidRDefault="00000000">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9" w:history="1">
            <w:r w:rsidR="0028142C" w:rsidRPr="00EC552D">
              <w:rPr>
                <w:rStyle w:val="Hyperlink"/>
              </w:rPr>
              <w:t>C.10.1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Case study of a metropolitan wastewater treatment plant with receiving waters used for irrigation</w:t>
            </w:r>
            <w:r w:rsidR="0028142C">
              <w:rPr>
                <w:webHidden/>
              </w:rPr>
              <w:tab/>
            </w:r>
            <w:r w:rsidR="0028142C">
              <w:rPr>
                <w:webHidden/>
              </w:rPr>
              <w:fldChar w:fldCharType="begin"/>
            </w:r>
            <w:r w:rsidR="0028142C">
              <w:rPr>
                <w:webHidden/>
              </w:rPr>
              <w:instrText xml:space="preserve"> PAGEREF _Toc133938179 \h </w:instrText>
            </w:r>
            <w:r w:rsidR="0028142C">
              <w:rPr>
                <w:webHidden/>
              </w:rPr>
            </w:r>
            <w:r w:rsidR="0028142C">
              <w:rPr>
                <w:webHidden/>
              </w:rPr>
              <w:fldChar w:fldCharType="separate"/>
            </w:r>
            <w:r w:rsidR="00FD64B0">
              <w:rPr>
                <w:webHidden/>
              </w:rPr>
              <w:t>104</w:t>
            </w:r>
            <w:r w:rsidR="0028142C">
              <w:rPr>
                <w:webHidden/>
              </w:rPr>
              <w:fldChar w:fldCharType="end"/>
            </w:r>
          </w:hyperlink>
        </w:p>
        <w:p w14:paraId="22555E51" w14:textId="11DA33CF" w:rsidR="0028142C" w:rsidRDefault="00000000">
          <w:pPr>
            <w:pStyle w:val="TOC2"/>
            <w:tabs>
              <w:tab w:val="left" w:pos="880"/>
            </w:tabs>
            <w:rPr>
              <w:rFonts w:asciiTheme="minorHAnsi" w:eastAsiaTheme="minorEastAsia" w:hAnsiTheme="minorHAnsi" w:cstheme="minorBidi"/>
              <w:color w:val="auto"/>
              <w:kern w:val="2"/>
              <w:lang w:eastAsia="en-GB"/>
              <w14:ligatures w14:val="standardContextual"/>
            </w:rPr>
          </w:pPr>
          <w:hyperlink w:anchor="_Toc133938180" w:history="1">
            <w:r w:rsidR="0028142C" w:rsidRPr="00EC552D">
              <w:rPr>
                <w:rStyle w:val="Hyperlink"/>
              </w:rPr>
              <w:t>C.11.</w:t>
            </w:r>
            <w:r w:rsidR="0028142C">
              <w:rPr>
                <w:rFonts w:asciiTheme="minorHAnsi" w:eastAsiaTheme="minorEastAsia" w:hAnsiTheme="minorHAnsi" w:cstheme="minorBidi"/>
                <w:color w:val="auto"/>
                <w:kern w:val="2"/>
                <w:lang w:eastAsia="en-GB"/>
                <w14:ligatures w14:val="standardContextual"/>
              </w:rPr>
              <w:tab/>
            </w:r>
            <w:r w:rsidR="0028142C" w:rsidRPr="00EC552D">
              <w:rPr>
                <w:rStyle w:val="Hyperlink"/>
              </w:rPr>
              <w:t>References</w:t>
            </w:r>
            <w:r w:rsidR="0028142C">
              <w:rPr>
                <w:webHidden/>
              </w:rPr>
              <w:tab/>
            </w:r>
            <w:r w:rsidR="0028142C">
              <w:rPr>
                <w:webHidden/>
              </w:rPr>
              <w:fldChar w:fldCharType="begin"/>
            </w:r>
            <w:r w:rsidR="0028142C">
              <w:rPr>
                <w:webHidden/>
              </w:rPr>
              <w:instrText xml:space="preserve"> PAGEREF _Toc133938180 \h </w:instrText>
            </w:r>
            <w:r w:rsidR="0028142C">
              <w:rPr>
                <w:webHidden/>
              </w:rPr>
            </w:r>
            <w:r w:rsidR="0028142C">
              <w:rPr>
                <w:webHidden/>
              </w:rPr>
              <w:fldChar w:fldCharType="separate"/>
            </w:r>
            <w:r w:rsidR="00FD64B0">
              <w:rPr>
                <w:webHidden/>
              </w:rPr>
              <w:t>106</w:t>
            </w:r>
            <w:r w:rsidR="0028142C">
              <w:rPr>
                <w:webHidden/>
              </w:rPr>
              <w:fldChar w:fldCharType="end"/>
            </w:r>
          </w:hyperlink>
        </w:p>
        <w:p w14:paraId="3E212388" w14:textId="40100E49" w:rsidR="000A41EF" w:rsidRPr="00FA13E2" w:rsidRDefault="008F0F61" w:rsidP="00FA13E2">
          <w:pPr>
            <w:rPr>
              <w:color w:val="003F72"/>
            </w:rPr>
            <w:sectPr w:rsidR="000A41EF" w:rsidRPr="00FA13E2" w:rsidSect="00C146E2">
              <w:headerReference w:type="even" r:id="rId18"/>
              <w:footerReference w:type="even" r:id="rId19"/>
              <w:footerReference w:type="default" r:id="rId20"/>
              <w:footerReference w:type="first" r:id="rId21"/>
              <w:type w:val="nextColumn"/>
              <w:pgSz w:w="11906" w:h="16838" w:code="9"/>
              <w:pgMar w:top="1038" w:right="743" w:bottom="1321" w:left="987" w:header="737" w:footer="856" w:gutter="0"/>
              <w:cols w:space="720"/>
              <w:docGrid w:linePitch="360"/>
            </w:sectPr>
          </w:pPr>
          <w:r>
            <w:rPr>
              <w:rFonts w:ascii="VIC Medium" w:hAnsi="VIC Medium"/>
              <w:color w:val="003F72"/>
              <w:sz w:val="24"/>
              <w:szCs w:val="24"/>
            </w:rPr>
            <w:fldChar w:fldCharType="end"/>
          </w:r>
        </w:p>
      </w:sdtContent>
    </w:sdt>
    <w:p w14:paraId="68B6E7BE" w14:textId="3FD34DC4" w:rsidR="003F0C44" w:rsidRDefault="003F0C44" w:rsidP="00570AA8">
      <w:pPr>
        <w:pStyle w:val="Titlesecondarypage"/>
      </w:pPr>
      <w:r>
        <w:br w:type="page"/>
      </w:r>
    </w:p>
    <w:p w14:paraId="4D781167" w14:textId="672DF257" w:rsidR="00570AA8" w:rsidRPr="00570AA8" w:rsidRDefault="00675ED6" w:rsidP="00570AA8">
      <w:pPr>
        <w:pStyle w:val="Titlesecondarypage"/>
      </w:pPr>
      <w:r w:rsidRPr="00242A98">
        <w:lastRenderedPageBreak/>
        <w:t>Glossary of terms</w:t>
      </w:r>
    </w:p>
    <w:tbl>
      <w:tblPr>
        <w:tblStyle w:val="TableGrid"/>
        <w:tblW w:w="5000" w:type="pct"/>
        <w:tblLook w:val="04A0" w:firstRow="1" w:lastRow="0" w:firstColumn="1" w:lastColumn="0" w:noHBand="0" w:noVBand="1"/>
      </w:tblPr>
      <w:tblGrid>
        <w:gridCol w:w="3255"/>
        <w:gridCol w:w="6911"/>
      </w:tblGrid>
      <w:tr w:rsidR="00675ED6" w:rsidRPr="002A58AF" w14:paraId="4EBF1D51" w14:textId="77777777" w:rsidTr="000A239D">
        <w:tc>
          <w:tcPr>
            <w:tcW w:w="1601" w:type="pct"/>
          </w:tcPr>
          <w:p w14:paraId="37B896E0" w14:textId="77777777" w:rsidR="00675ED6" w:rsidRPr="002A58AF" w:rsidRDefault="00675ED6" w:rsidP="007E7A91">
            <w:r w:rsidRPr="002A58AF">
              <w:t>Act</w:t>
            </w:r>
          </w:p>
        </w:tc>
        <w:tc>
          <w:tcPr>
            <w:tcW w:w="3399" w:type="pct"/>
          </w:tcPr>
          <w:p w14:paraId="3F80E432" w14:textId="77777777" w:rsidR="00675ED6" w:rsidRPr="002A58AF" w:rsidRDefault="00675ED6" w:rsidP="007E7A91">
            <w:r w:rsidRPr="002A58AF">
              <w:t xml:space="preserve">The </w:t>
            </w:r>
            <w:r w:rsidRPr="002A58AF">
              <w:rPr>
                <w:i/>
                <w:iCs/>
              </w:rPr>
              <w:t>Environment Protection Act 2017</w:t>
            </w:r>
          </w:p>
        </w:tc>
      </w:tr>
      <w:tr w:rsidR="00675ED6" w:rsidRPr="002A58AF" w14:paraId="5A96BE31" w14:textId="77777777" w:rsidTr="000A239D">
        <w:tc>
          <w:tcPr>
            <w:tcW w:w="1601" w:type="pct"/>
          </w:tcPr>
          <w:p w14:paraId="14D48D63" w14:textId="77777777" w:rsidR="00675ED6" w:rsidRPr="002A58AF" w:rsidRDefault="00675ED6" w:rsidP="007E7A91">
            <w:r w:rsidRPr="002A58AF">
              <w:t>ANZG</w:t>
            </w:r>
          </w:p>
        </w:tc>
        <w:tc>
          <w:tcPr>
            <w:tcW w:w="3399" w:type="pct"/>
          </w:tcPr>
          <w:p w14:paraId="04AF77E2" w14:textId="17A6A793" w:rsidR="00675ED6" w:rsidRPr="000F6B37" w:rsidRDefault="00675ED6" w:rsidP="007E7A91">
            <w:pPr>
              <w:rPr>
                <w:rFonts w:cs="Arial"/>
                <w:color w:val="0000FF"/>
                <w:u w:val="single"/>
              </w:rPr>
            </w:pPr>
            <w:r w:rsidRPr="002A58AF">
              <w:rPr>
                <w:i/>
                <w:iCs/>
              </w:rPr>
              <w:t>Australian and New Zealand Guidelines for Fresh and Marine Water Quality</w:t>
            </w:r>
            <w:r w:rsidRPr="002A58AF">
              <w:t xml:space="preserve">, published by Australian and New Zealand Governments and Australian </w:t>
            </w:r>
            <w:r w:rsidR="007E42FE">
              <w:t>s</w:t>
            </w:r>
            <w:r w:rsidR="007E42FE" w:rsidRPr="002A58AF">
              <w:t xml:space="preserve">tate </w:t>
            </w:r>
            <w:r w:rsidRPr="002A58AF">
              <w:t xml:space="preserve">and </w:t>
            </w:r>
            <w:r w:rsidR="007E42FE">
              <w:t>t</w:t>
            </w:r>
            <w:r w:rsidR="007E42FE" w:rsidRPr="002A58AF">
              <w:t xml:space="preserve">erritory </w:t>
            </w:r>
            <w:r w:rsidR="007E42FE">
              <w:t>g</w:t>
            </w:r>
            <w:r w:rsidR="007E42FE" w:rsidRPr="002A58AF">
              <w:t xml:space="preserve">overnments </w:t>
            </w:r>
            <w:r w:rsidRPr="002A58AF">
              <w:t xml:space="preserve">in 2018 and available online at </w:t>
            </w:r>
            <w:hyperlink r:id="rId22" w:history="1">
              <w:r w:rsidRPr="002A58AF">
                <w:rPr>
                  <w:rStyle w:val="Hyperlink"/>
                  <w:rFonts w:cs="Arial"/>
                </w:rPr>
                <w:t>www.waterquality.gov.au/anz-guidelines</w:t>
              </w:r>
            </w:hyperlink>
            <w:r w:rsidR="007E42FE" w:rsidRPr="004B788D">
              <w:t>.</w:t>
            </w:r>
          </w:p>
        </w:tc>
      </w:tr>
      <w:tr w:rsidR="00675ED6" w:rsidRPr="002A58AF" w14:paraId="7FB2B38E" w14:textId="77777777" w:rsidTr="000A239D">
        <w:tc>
          <w:tcPr>
            <w:tcW w:w="1601" w:type="pct"/>
          </w:tcPr>
          <w:p w14:paraId="640B3444" w14:textId="77777777" w:rsidR="00675ED6" w:rsidRPr="002A58AF" w:rsidRDefault="00675ED6" w:rsidP="007E7A91">
            <w:r w:rsidRPr="002A58AF">
              <w:t xml:space="preserve">Diffuse source </w:t>
            </w:r>
          </w:p>
        </w:tc>
        <w:tc>
          <w:tcPr>
            <w:tcW w:w="3399" w:type="pct"/>
          </w:tcPr>
          <w:p w14:paraId="1CE10612" w14:textId="3461E41C" w:rsidR="00675ED6" w:rsidRPr="002A58AF" w:rsidRDefault="00675ED6" w:rsidP="007E7A91">
            <w:r w:rsidRPr="002A58AF">
              <w:t xml:space="preserve">A source of pollutants </w:t>
            </w:r>
            <w:r w:rsidR="00620D7B">
              <w:t>that</w:t>
            </w:r>
            <w:r w:rsidR="00620D7B" w:rsidRPr="002A58AF">
              <w:t xml:space="preserve"> </w:t>
            </w:r>
            <w:r w:rsidRPr="002A58AF">
              <w:t>is not an identifiable single point of discharge</w:t>
            </w:r>
            <w:r w:rsidR="007E42FE">
              <w:t>.</w:t>
            </w:r>
          </w:p>
        </w:tc>
      </w:tr>
      <w:tr w:rsidR="00675ED6" w:rsidRPr="002A58AF" w14:paraId="741C04E9" w14:textId="77777777" w:rsidTr="000A239D">
        <w:tc>
          <w:tcPr>
            <w:tcW w:w="1601" w:type="pct"/>
          </w:tcPr>
          <w:p w14:paraId="059F58AF" w14:textId="77777777" w:rsidR="00675ED6" w:rsidRPr="002A58AF" w:rsidRDefault="00675ED6" w:rsidP="007E7A91">
            <w:r w:rsidRPr="002A58AF">
              <w:t>Environment Reference Standard (ERS)</w:t>
            </w:r>
          </w:p>
        </w:tc>
        <w:tc>
          <w:tcPr>
            <w:tcW w:w="3399" w:type="pct"/>
          </w:tcPr>
          <w:p w14:paraId="4D19DC0F" w14:textId="2A78D0CD" w:rsidR="00675ED6" w:rsidRPr="002A58AF" w:rsidRDefault="00675ED6" w:rsidP="007E7A91">
            <w:r w:rsidRPr="002A58AF">
              <w:t xml:space="preserve">As defined in the Act. Environment Reference Standard </w:t>
            </w:r>
            <w:r w:rsidR="005A7FF2">
              <w:t>identifies</w:t>
            </w:r>
            <w:r w:rsidR="005A7FF2" w:rsidRPr="002A58AF">
              <w:t xml:space="preserve"> </w:t>
            </w:r>
            <w:r w:rsidRPr="002A58AF">
              <w:t>the environmental values of the ambient air, noise, land and water environments that are sought to be achieved or maintained in Victoria</w:t>
            </w:r>
            <w:r w:rsidR="00620D7B">
              <w:t>,</w:t>
            </w:r>
            <w:r w:rsidRPr="002A58AF">
              <w:t xml:space="preserve"> and </w:t>
            </w:r>
            <w:r w:rsidR="00620D7B">
              <w:t xml:space="preserve">the </w:t>
            </w:r>
            <w:r w:rsidRPr="002A58AF">
              <w:t>standards to support those values.</w:t>
            </w:r>
          </w:p>
        </w:tc>
      </w:tr>
      <w:tr w:rsidR="00675ED6" w:rsidRPr="002A58AF" w14:paraId="425E74FA" w14:textId="77777777" w:rsidTr="000A239D">
        <w:tc>
          <w:tcPr>
            <w:tcW w:w="1601" w:type="pct"/>
          </w:tcPr>
          <w:p w14:paraId="71F55A33" w14:textId="77777777" w:rsidR="00675ED6" w:rsidRPr="002A58AF" w:rsidRDefault="00675ED6" w:rsidP="007E7A91">
            <w:r w:rsidRPr="002A58AF">
              <w:t>Environmental value</w:t>
            </w:r>
          </w:p>
        </w:tc>
        <w:tc>
          <w:tcPr>
            <w:tcW w:w="3399" w:type="pct"/>
          </w:tcPr>
          <w:p w14:paraId="6C924498" w14:textId="008FB857" w:rsidR="00675ED6" w:rsidRPr="002A58AF" w:rsidRDefault="00675ED6" w:rsidP="007E7A91">
            <w:r w:rsidRPr="002A58AF">
              <w:t>As defined in the Act. Environmental value is a use, an attribute or a function of the environment. Some examples are having safe water to drink, being able to use water for agriculture or industrial activities, being able to breathe clean air, aesthetic enjoyment of land and waterways and being able to sleep without unreasonable noise disturbance. Environmental values are identified in the ERS.</w:t>
            </w:r>
          </w:p>
        </w:tc>
      </w:tr>
      <w:tr w:rsidR="00675ED6" w:rsidRPr="002A58AF" w14:paraId="5FE37C56" w14:textId="77777777" w:rsidTr="000A239D">
        <w:tc>
          <w:tcPr>
            <w:tcW w:w="1601" w:type="pct"/>
          </w:tcPr>
          <w:p w14:paraId="3CBA7B1B" w14:textId="77777777" w:rsidR="00675ED6" w:rsidRPr="002A58AF" w:rsidRDefault="00675ED6" w:rsidP="007E7A91">
            <w:r w:rsidRPr="002A58AF">
              <w:rPr>
                <w:color w:val="000000"/>
              </w:rPr>
              <w:t>General environmental duty (GED)</w:t>
            </w:r>
          </w:p>
        </w:tc>
        <w:tc>
          <w:tcPr>
            <w:tcW w:w="3399" w:type="pct"/>
          </w:tcPr>
          <w:p w14:paraId="0F197D2A" w14:textId="2267210B" w:rsidR="00EE105D" w:rsidRPr="002A58AF" w:rsidRDefault="00675ED6" w:rsidP="00294A01">
            <w:r w:rsidRPr="002A58AF">
              <w:t xml:space="preserve">The duty under section 25(1) in the Act. The GED is the duty for a person engaging in an activity </w:t>
            </w:r>
            <w:r w:rsidR="00565AF0">
              <w:t xml:space="preserve">or business </w:t>
            </w:r>
            <w:r w:rsidRPr="002A58AF">
              <w:t xml:space="preserve">that </w:t>
            </w:r>
            <w:r w:rsidR="00565AF0">
              <w:t xml:space="preserve">may </w:t>
            </w:r>
            <w:r w:rsidR="00636F94">
              <w:t xml:space="preserve">give </w:t>
            </w:r>
            <w:r w:rsidR="00565AF0">
              <w:t xml:space="preserve">rise to </w:t>
            </w:r>
            <w:r w:rsidRPr="002A58AF">
              <w:t>risk</w:t>
            </w:r>
            <w:r w:rsidR="00565AF0">
              <w:t>s</w:t>
            </w:r>
            <w:r w:rsidRPr="002A58AF">
              <w:t xml:space="preserve"> of harm to human health or the environment from pollution or waste</w:t>
            </w:r>
            <w:r w:rsidR="008B282C">
              <w:t>,</w:t>
            </w:r>
            <w:r w:rsidRPr="002A58AF">
              <w:t xml:space="preserve"> to minimise those risks</w:t>
            </w:r>
            <w:r w:rsidR="001D2A61">
              <w:t>,</w:t>
            </w:r>
            <w:r w:rsidR="00294A01">
              <w:t xml:space="preserve"> so far as reasonably practicable</w:t>
            </w:r>
            <w:r w:rsidRPr="002A58AF">
              <w:t>.</w:t>
            </w:r>
          </w:p>
        </w:tc>
      </w:tr>
      <w:tr w:rsidR="007372BA" w:rsidRPr="002A58AF" w14:paraId="3AD5EB8C" w14:textId="77777777" w:rsidTr="000A239D">
        <w:tc>
          <w:tcPr>
            <w:tcW w:w="1601" w:type="pct"/>
          </w:tcPr>
          <w:p w14:paraId="4BABA7CF" w14:textId="77777777" w:rsidR="007372BA" w:rsidRPr="002A58AF" w:rsidRDefault="007372BA" w:rsidP="00FA0121">
            <w:pPr>
              <w:rPr>
                <w:bCs/>
              </w:rPr>
            </w:pPr>
            <w:r>
              <w:t>Hazard</w:t>
            </w:r>
            <w:r w:rsidRPr="002A58AF">
              <w:t>s</w:t>
            </w:r>
          </w:p>
        </w:tc>
        <w:tc>
          <w:tcPr>
            <w:tcW w:w="3399" w:type="pct"/>
          </w:tcPr>
          <w:p w14:paraId="13518E89" w14:textId="77777777" w:rsidR="007372BA" w:rsidRPr="002A58AF" w:rsidRDefault="007372BA" w:rsidP="00FA0121">
            <w:pPr>
              <w:rPr>
                <w:bCs/>
              </w:rPr>
            </w:pPr>
            <w:r w:rsidRPr="002A58AF">
              <w:t>Any physical (for example, scouring, sediment deposition), chemical (for example, toxicants) or biological entity (for example, pathogens) that can induce a harmful</w:t>
            </w:r>
            <w:r w:rsidRPr="002A58AF" w:rsidDel="0001267E">
              <w:t xml:space="preserve"> </w:t>
            </w:r>
            <w:r w:rsidRPr="002A58AF">
              <w:t>response in an environmental value.</w:t>
            </w:r>
          </w:p>
        </w:tc>
      </w:tr>
      <w:tr w:rsidR="00675ED6" w:rsidRPr="002A58AF" w14:paraId="39974A09" w14:textId="77777777" w:rsidTr="000A239D">
        <w:tc>
          <w:tcPr>
            <w:tcW w:w="1601" w:type="pct"/>
          </w:tcPr>
          <w:p w14:paraId="3525E568" w14:textId="77777777" w:rsidR="00675ED6" w:rsidRPr="002A58AF" w:rsidRDefault="00675ED6" w:rsidP="007E7A91">
            <w:r w:rsidRPr="002A58AF">
              <w:t>Human health</w:t>
            </w:r>
          </w:p>
        </w:tc>
        <w:tc>
          <w:tcPr>
            <w:tcW w:w="3399" w:type="pct"/>
          </w:tcPr>
          <w:p w14:paraId="09DE8B6B" w14:textId="63D19492" w:rsidR="00675ED6" w:rsidRPr="002A58AF" w:rsidRDefault="00675ED6" w:rsidP="007E7A91">
            <w:r w:rsidRPr="002A58AF">
              <w:t xml:space="preserve">As defined in the Act. </w:t>
            </w:r>
            <w:r w:rsidRPr="002A58AF">
              <w:rPr>
                <w:color w:val="000000"/>
              </w:rPr>
              <w:t>Human health in the Act includes psychological health.</w:t>
            </w:r>
          </w:p>
        </w:tc>
      </w:tr>
      <w:tr w:rsidR="00675ED6" w:rsidRPr="002A58AF" w14:paraId="1A6A9ED4" w14:textId="77777777" w:rsidTr="000A239D">
        <w:tc>
          <w:tcPr>
            <w:tcW w:w="1601" w:type="pct"/>
          </w:tcPr>
          <w:p w14:paraId="7BFFFDA7" w14:textId="77777777" w:rsidR="00675ED6" w:rsidRPr="002A58AF" w:rsidRDefault="00675ED6" w:rsidP="007E7A91">
            <w:r w:rsidRPr="002A58AF">
              <w:rPr>
                <w:bCs/>
              </w:rPr>
              <w:lastRenderedPageBreak/>
              <w:t>Indicator</w:t>
            </w:r>
          </w:p>
        </w:tc>
        <w:tc>
          <w:tcPr>
            <w:tcW w:w="3399" w:type="pct"/>
          </w:tcPr>
          <w:p w14:paraId="26B2ED53" w14:textId="053D6931" w:rsidR="00675ED6" w:rsidRPr="002A58AF" w:rsidRDefault="00675ED6" w:rsidP="000A239D">
            <w:pPr>
              <w:keepNext/>
              <w:keepLines/>
              <w:rPr>
                <w:bCs/>
              </w:rPr>
            </w:pPr>
            <w:r w:rsidRPr="002A58AF">
              <w:rPr>
                <w:bCs/>
              </w:rPr>
              <w:t>As defined in the ERS. Indicator means a parameter or marker that can be measured and used to do one or more of the following:</w:t>
            </w:r>
            <w:bookmarkStart w:id="3" w:name="_Hlk8733430"/>
          </w:p>
          <w:p w14:paraId="72639DD6" w14:textId="77EF1F03" w:rsidR="00B555FD" w:rsidRDefault="001474ED" w:rsidP="00525686">
            <w:pPr>
              <w:pStyle w:val="ListParagraph"/>
              <w:keepNext/>
              <w:keepLines/>
              <w:numPr>
                <w:ilvl w:val="0"/>
                <w:numId w:val="20"/>
              </w:numPr>
              <w:spacing w:line="240" w:lineRule="auto"/>
              <w:rPr>
                <w:bCs/>
              </w:rPr>
            </w:pPr>
            <w:r>
              <w:rPr>
                <w:bCs/>
              </w:rPr>
              <w:t>P</w:t>
            </w:r>
            <w:r w:rsidRPr="00B555FD">
              <w:rPr>
                <w:bCs/>
              </w:rPr>
              <w:t xml:space="preserve">rovide </w:t>
            </w:r>
            <w:r w:rsidR="00675ED6" w:rsidRPr="00B555FD">
              <w:rPr>
                <w:bCs/>
              </w:rPr>
              <w:t>insight into the state of the environment or human health</w:t>
            </w:r>
            <w:r>
              <w:rPr>
                <w:bCs/>
              </w:rPr>
              <w:t>.</w:t>
            </w:r>
          </w:p>
          <w:p w14:paraId="7E26D5FF" w14:textId="42815AA6" w:rsidR="00B555FD" w:rsidRDefault="001474ED" w:rsidP="00525686">
            <w:pPr>
              <w:pStyle w:val="ListParagraph"/>
              <w:keepNext/>
              <w:keepLines/>
              <w:numPr>
                <w:ilvl w:val="0"/>
                <w:numId w:val="20"/>
              </w:numPr>
              <w:spacing w:line="240" w:lineRule="auto"/>
              <w:rPr>
                <w:bCs/>
              </w:rPr>
            </w:pPr>
            <w:r>
              <w:rPr>
                <w:bCs/>
              </w:rPr>
              <w:t>A</w:t>
            </w:r>
            <w:r w:rsidRPr="00B555FD">
              <w:rPr>
                <w:bCs/>
              </w:rPr>
              <w:t xml:space="preserve">ssess </w:t>
            </w:r>
            <w:r w:rsidR="00675ED6" w:rsidRPr="00B555FD">
              <w:rPr>
                <w:bCs/>
              </w:rPr>
              <w:t>and report on whether an environmental value is being achieved or maintained</w:t>
            </w:r>
            <w:r>
              <w:rPr>
                <w:bCs/>
              </w:rPr>
              <w:t>.</w:t>
            </w:r>
            <w:bookmarkStart w:id="4" w:name="_Hlk8733300"/>
          </w:p>
          <w:p w14:paraId="0A02E5F5" w14:textId="777F5DFB" w:rsidR="00675ED6" w:rsidRPr="00B555FD" w:rsidRDefault="001474ED" w:rsidP="00525686">
            <w:pPr>
              <w:pStyle w:val="ListParagraph"/>
              <w:keepNext/>
              <w:keepLines/>
              <w:numPr>
                <w:ilvl w:val="0"/>
                <w:numId w:val="20"/>
              </w:numPr>
              <w:spacing w:line="240" w:lineRule="auto"/>
              <w:rPr>
                <w:bCs/>
              </w:rPr>
            </w:pPr>
            <w:r>
              <w:rPr>
                <w:bCs/>
              </w:rPr>
              <w:t>I</w:t>
            </w:r>
            <w:r w:rsidRPr="00B555FD">
              <w:rPr>
                <w:bCs/>
              </w:rPr>
              <w:t xml:space="preserve">dentify </w:t>
            </w:r>
            <w:r w:rsidR="00675ED6" w:rsidRPr="00B555FD">
              <w:rPr>
                <w:bCs/>
              </w:rPr>
              <w:t>and assess risks to the environmental values from pollution and waste.</w:t>
            </w:r>
          </w:p>
          <w:bookmarkEnd w:id="3"/>
          <w:bookmarkEnd w:id="4"/>
          <w:p w14:paraId="2AC9CA82" w14:textId="1BC5E4F2" w:rsidR="00675ED6" w:rsidRPr="002A58AF" w:rsidRDefault="00675ED6" w:rsidP="000A239D">
            <w:pPr>
              <w:keepNext/>
              <w:keepLines/>
              <w:rPr>
                <w:bCs/>
              </w:rPr>
            </w:pPr>
            <w:r w:rsidRPr="002A58AF">
              <w:rPr>
                <w:bCs/>
              </w:rPr>
              <w:t>Examples of water quality indicators are suspended solids, nitrogen, phosphorus and salinity. Examples of biological indicators are macroinvertebrates and fish.</w:t>
            </w:r>
          </w:p>
        </w:tc>
      </w:tr>
      <w:tr w:rsidR="00675ED6" w:rsidRPr="002A58AF" w14:paraId="437B72D2" w14:textId="77777777" w:rsidTr="000A239D">
        <w:tc>
          <w:tcPr>
            <w:tcW w:w="1601" w:type="pct"/>
          </w:tcPr>
          <w:p w14:paraId="075BF2B0" w14:textId="77777777" w:rsidR="00675ED6" w:rsidRPr="002A58AF" w:rsidRDefault="00675ED6" w:rsidP="007E7A91">
            <w:r w:rsidRPr="002A58AF">
              <w:rPr>
                <w:bCs/>
              </w:rPr>
              <w:t>Objective (ERS objective)</w:t>
            </w:r>
          </w:p>
        </w:tc>
        <w:tc>
          <w:tcPr>
            <w:tcW w:w="3399" w:type="pct"/>
          </w:tcPr>
          <w:p w14:paraId="7D5BBD55" w14:textId="3ED033E8" w:rsidR="00675ED6" w:rsidRPr="002A58AF" w:rsidRDefault="00675ED6" w:rsidP="007E7A91">
            <w:r w:rsidRPr="002A58AF">
              <w:rPr>
                <w:bCs/>
              </w:rPr>
              <w:t xml:space="preserve">As defined in the ERS. Objective </w:t>
            </w:r>
            <w:r w:rsidRPr="002A58AF">
              <w:t xml:space="preserve">means the level, load, concentration, amount, benchmark or character of an indicator against which the achievement, maintenance of, or risk to, an environmental value is assessed. </w:t>
            </w:r>
          </w:p>
        </w:tc>
      </w:tr>
      <w:tr w:rsidR="00675ED6" w:rsidRPr="002A58AF" w14:paraId="4D994E5F" w14:textId="77777777" w:rsidTr="000A239D">
        <w:tc>
          <w:tcPr>
            <w:tcW w:w="1601" w:type="pct"/>
          </w:tcPr>
          <w:p w14:paraId="71F0AF63" w14:textId="77777777" w:rsidR="00675ED6" w:rsidRPr="002A58AF" w:rsidRDefault="00675ED6" w:rsidP="007E7A91">
            <w:pPr>
              <w:rPr>
                <w:bCs/>
              </w:rPr>
            </w:pPr>
            <w:r w:rsidRPr="002A58AF">
              <w:rPr>
                <w:bCs/>
              </w:rPr>
              <w:t>Permission</w:t>
            </w:r>
          </w:p>
        </w:tc>
        <w:tc>
          <w:tcPr>
            <w:tcW w:w="3399" w:type="pct"/>
          </w:tcPr>
          <w:p w14:paraId="398565A5" w14:textId="053C8FF7" w:rsidR="00675ED6" w:rsidRPr="002A58AF" w:rsidRDefault="00675ED6" w:rsidP="007E7A91">
            <w:pPr>
              <w:rPr>
                <w:bCs/>
              </w:rPr>
            </w:pPr>
            <w:r w:rsidRPr="002A58AF">
              <w:rPr>
                <w:bCs/>
              </w:rPr>
              <w:t>As defined in the Act. A permission means a development licence, an operating licence, a pilot project licence, a permit or a registration.</w:t>
            </w:r>
          </w:p>
        </w:tc>
      </w:tr>
      <w:tr w:rsidR="00675ED6" w:rsidRPr="002A58AF" w14:paraId="328D9D36" w14:textId="77777777" w:rsidTr="000A239D">
        <w:tc>
          <w:tcPr>
            <w:tcW w:w="1601" w:type="pct"/>
          </w:tcPr>
          <w:p w14:paraId="0D606DC7" w14:textId="77777777" w:rsidR="00675ED6" w:rsidRPr="002A58AF" w:rsidRDefault="00675ED6" w:rsidP="007E7A91">
            <w:pPr>
              <w:rPr>
                <w:bCs/>
              </w:rPr>
            </w:pPr>
            <w:r w:rsidRPr="002A58AF">
              <w:rPr>
                <w:bCs/>
              </w:rPr>
              <w:t>Prescribed permission activity</w:t>
            </w:r>
          </w:p>
          <w:p w14:paraId="476027E9" w14:textId="77777777" w:rsidR="00675ED6" w:rsidRPr="002A58AF" w:rsidRDefault="00675ED6" w:rsidP="007E7A91">
            <w:pPr>
              <w:rPr>
                <w:bCs/>
              </w:rPr>
            </w:pPr>
          </w:p>
        </w:tc>
        <w:tc>
          <w:tcPr>
            <w:tcW w:w="3399" w:type="pct"/>
          </w:tcPr>
          <w:p w14:paraId="4EE7ED76" w14:textId="45DAC99A" w:rsidR="00675ED6" w:rsidRPr="002A58AF" w:rsidRDefault="00675ED6" w:rsidP="007E7A91">
            <w:pPr>
              <w:rPr>
                <w:bCs/>
              </w:rPr>
            </w:pPr>
            <w:r w:rsidRPr="002A58AF">
              <w:rPr>
                <w:bCs/>
              </w:rPr>
              <w:t>As defined in the Act. An activity specified in a permission. Prescribed permission activities are listed in the Environment Protection Regulations 2021.</w:t>
            </w:r>
          </w:p>
        </w:tc>
      </w:tr>
      <w:tr w:rsidR="00675ED6" w:rsidRPr="002A58AF" w14:paraId="7793000B" w14:textId="77777777" w:rsidTr="000A239D">
        <w:tc>
          <w:tcPr>
            <w:tcW w:w="1601" w:type="pct"/>
          </w:tcPr>
          <w:p w14:paraId="7DD4F62F" w14:textId="60861C91" w:rsidR="00675ED6" w:rsidRPr="002A58AF" w:rsidRDefault="00675ED6" w:rsidP="007E7A91">
            <w:pPr>
              <w:rPr>
                <w:bCs/>
              </w:rPr>
            </w:pPr>
            <w:r w:rsidRPr="002A58AF">
              <w:rPr>
                <w:bCs/>
              </w:rPr>
              <w:t>Point</w:t>
            </w:r>
            <w:r w:rsidR="008F156B">
              <w:rPr>
                <w:bCs/>
              </w:rPr>
              <w:t>-</w:t>
            </w:r>
            <w:r w:rsidRPr="002A58AF">
              <w:rPr>
                <w:bCs/>
              </w:rPr>
              <w:t xml:space="preserve">source </w:t>
            </w:r>
          </w:p>
        </w:tc>
        <w:tc>
          <w:tcPr>
            <w:tcW w:w="3399" w:type="pct"/>
          </w:tcPr>
          <w:p w14:paraId="6DF5538B" w14:textId="77777777" w:rsidR="00675ED6" w:rsidRPr="002A58AF" w:rsidRDefault="00675ED6" w:rsidP="007E7A91">
            <w:pPr>
              <w:rPr>
                <w:bCs/>
              </w:rPr>
            </w:pPr>
            <w:r w:rsidRPr="002A58AF">
              <w:t>A single, identifiable, source of pollutants, such as a pipe, drain or ship.</w:t>
            </w:r>
          </w:p>
        </w:tc>
      </w:tr>
      <w:tr w:rsidR="00675ED6" w:rsidRPr="002A58AF" w14:paraId="06CC739F" w14:textId="77777777" w:rsidTr="000A239D">
        <w:tc>
          <w:tcPr>
            <w:tcW w:w="1601" w:type="pct"/>
          </w:tcPr>
          <w:p w14:paraId="5D758C46" w14:textId="77777777" w:rsidR="00675ED6" w:rsidRPr="002A58AF" w:rsidRDefault="00675ED6" w:rsidP="007E7A91">
            <w:pPr>
              <w:rPr>
                <w:bCs/>
              </w:rPr>
            </w:pPr>
            <w:r w:rsidRPr="002A58AF">
              <w:rPr>
                <w:bCs/>
              </w:rPr>
              <w:t>Pollutant</w:t>
            </w:r>
          </w:p>
        </w:tc>
        <w:tc>
          <w:tcPr>
            <w:tcW w:w="3399" w:type="pct"/>
          </w:tcPr>
          <w:p w14:paraId="01933106" w14:textId="77777777" w:rsidR="00675ED6" w:rsidRPr="002A58AF" w:rsidRDefault="00675ED6" w:rsidP="007E7A91">
            <w:r w:rsidRPr="002A58AF">
              <w:t xml:space="preserve">A substance associated with pollution or waste that has the potential to cause harm to human health or the environment through physical, chemical, biological or other hazardous properties. </w:t>
            </w:r>
          </w:p>
        </w:tc>
      </w:tr>
      <w:tr w:rsidR="00675ED6" w:rsidRPr="002A58AF" w14:paraId="6D6D2EEA" w14:textId="77777777" w:rsidTr="000A239D">
        <w:tc>
          <w:tcPr>
            <w:tcW w:w="1601" w:type="pct"/>
          </w:tcPr>
          <w:p w14:paraId="6C7C5654" w14:textId="77777777" w:rsidR="00675ED6" w:rsidRPr="002A58AF" w:rsidRDefault="00675ED6" w:rsidP="007E7A91">
            <w:r w:rsidRPr="002A58AF">
              <w:rPr>
                <w:bCs/>
              </w:rPr>
              <w:t>Primary contact recreation</w:t>
            </w:r>
          </w:p>
        </w:tc>
        <w:tc>
          <w:tcPr>
            <w:tcW w:w="3399" w:type="pct"/>
          </w:tcPr>
          <w:p w14:paraId="6121EC25" w14:textId="5DB7E766" w:rsidR="00675ED6" w:rsidRPr="002A58AF" w:rsidRDefault="00675ED6" w:rsidP="007E7A91">
            <w:r w:rsidRPr="002A58AF">
              <w:rPr>
                <w:bCs/>
              </w:rPr>
              <w:t>As defined in the ERS.</w:t>
            </w:r>
            <w:r w:rsidRPr="002A58AF">
              <w:t xml:space="preserve"> Primary contact recreation means </w:t>
            </w:r>
            <w:bookmarkStart w:id="5" w:name="_Hlk528940072"/>
            <w:r w:rsidRPr="002A58AF">
              <w:t>an activity in which the whole human body or face and trunk are frequently immersed</w:t>
            </w:r>
            <w:r w:rsidR="00AC5E83">
              <w:t xml:space="preserve"> in water</w:t>
            </w:r>
            <w:r w:rsidRPr="002A58AF">
              <w:t>, or the face is frequently wet by spray</w:t>
            </w:r>
            <w:r w:rsidR="00AC5E83">
              <w:t>;</w:t>
            </w:r>
            <w:r w:rsidR="00AC5E83" w:rsidRPr="002A58AF">
              <w:t xml:space="preserve"> </w:t>
            </w:r>
            <w:r w:rsidRPr="002A58AF">
              <w:t>and where it is likely that some water will be swallowed or inhaled, or come into contact with ears, nasal passages, mucous membranes or cuts in the skin</w:t>
            </w:r>
            <w:bookmarkEnd w:id="5"/>
            <w:r w:rsidRPr="002A58AF">
              <w:t>.</w:t>
            </w:r>
          </w:p>
        </w:tc>
      </w:tr>
      <w:tr w:rsidR="3FD28289" w14:paraId="56B7A357" w14:textId="77777777" w:rsidTr="000A239D">
        <w:tc>
          <w:tcPr>
            <w:tcW w:w="1601" w:type="pct"/>
          </w:tcPr>
          <w:p w14:paraId="266BE1D4" w14:textId="02F06A5C" w:rsidR="0646B75D" w:rsidRPr="00553A5F" w:rsidRDefault="0646B75D" w:rsidP="3FD28289">
            <w:pPr>
              <w:rPr>
                <w:lang w:val="fr-FR"/>
              </w:rPr>
            </w:pPr>
            <w:r w:rsidRPr="00553A5F">
              <w:rPr>
                <w:lang w:val="fr-FR"/>
              </w:rPr>
              <w:lastRenderedPageBreak/>
              <w:t>Quantitative microbial risk assessment (QMR</w:t>
            </w:r>
            <w:r w:rsidR="007234CE" w:rsidRPr="00553A5F">
              <w:rPr>
                <w:lang w:val="fr-FR"/>
              </w:rPr>
              <w:t>A</w:t>
            </w:r>
            <w:r w:rsidRPr="00553A5F">
              <w:rPr>
                <w:lang w:val="fr-FR"/>
              </w:rPr>
              <w:t>)</w:t>
            </w:r>
          </w:p>
        </w:tc>
        <w:tc>
          <w:tcPr>
            <w:tcW w:w="3399" w:type="pct"/>
          </w:tcPr>
          <w:p w14:paraId="238766BA" w14:textId="32884A38" w:rsidR="3FD28289" w:rsidRDefault="0053011D" w:rsidP="000A239D">
            <w:pPr>
              <w:keepNext/>
              <w:keepLines/>
            </w:pPr>
            <w:r>
              <w:t>As defined by the World Health Organi</w:t>
            </w:r>
            <w:r w:rsidR="001E04DC">
              <w:t>z</w:t>
            </w:r>
            <w:r>
              <w:t>ation</w:t>
            </w:r>
            <w:r w:rsidR="00F719C7">
              <w:t>.</w:t>
            </w:r>
            <w:r>
              <w:t xml:space="preserve"> </w:t>
            </w:r>
            <w:r w:rsidR="00B30C7E">
              <w:t xml:space="preserve">QMRA </w:t>
            </w:r>
            <w:r w:rsidR="00B30C7E">
              <w:rPr>
                <w:shd w:val="clear" w:color="auto" w:fill="FFFFFF"/>
              </w:rPr>
              <w:t xml:space="preserve">is a framework that uses quantitative scientific data, </w:t>
            </w:r>
            <w:r w:rsidR="00AC5E83">
              <w:rPr>
                <w:shd w:val="clear" w:color="auto" w:fill="FFFFFF"/>
              </w:rPr>
              <w:t xml:space="preserve">and </w:t>
            </w:r>
            <w:r w:rsidR="00B30C7E">
              <w:rPr>
                <w:shd w:val="clear" w:color="auto" w:fill="FFFFFF"/>
              </w:rPr>
              <w:t>interprets</w:t>
            </w:r>
            <w:r w:rsidR="00AC5E83">
              <w:rPr>
                <w:shd w:val="clear" w:color="auto" w:fill="FFFFFF"/>
              </w:rPr>
              <w:t xml:space="preserve"> </w:t>
            </w:r>
            <w:r w:rsidR="00B30C7E">
              <w:rPr>
                <w:shd w:val="clear" w:color="auto" w:fill="FFFFFF"/>
              </w:rPr>
              <w:t>them in the context of estimated health outcomes</w:t>
            </w:r>
            <w:r w:rsidR="00AC5E83">
              <w:rPr>
                <w:shd w:val="clear" w:color="auto" w:fill="FFFFFF"/>
              </w:rPr>
              <w:t xml:space="preserve"> to </w:t>
            </w:r>
            <w:r w:rsidR="00B30C7E">
              <w:rPr>
                <w:shd w:val="clear" w:color="auto" w:fill="FFFFFF"/>
              </w:rPr>
              <w:t>support</w:t>
            </w:r>
            <w:r w:rsidR="00AC5E83">
              <w:rPr>
                <w:shd w:val="clear" w:color="auto" w:fill="FFFFFF"/>
              </w:rPr>
              <w:t xml:space="preserve"> </w:t>
            </w:r>
            <w:r w:rsidR="00B30C7E">
              <w:rPr>
                <w:shd w:val="clear" w:color="auto" w:fill="FFFFFF"/>
              </w:rPr>
              <w:t>water management decisions and assist in the prioritisation of remedial or further research efforts.</w:t>
            </w:r>
          </w:p>
        </w:tc>
      </w:tr>
      <w:tr w:rsidR="00BA6180" w14:paraId="1931C012" w14:textId="77777777" w:rsidTr="000A239D">
        <w:tc>
          <w:tcPr>
            <w:tcW w:w="1601" w:type="pct"/>
          </w:tcPr>
          <w:p w14:paraId="0CE2C8F6" w14:textId="3C6975BD" w:rsidR="00BA6180" w:rsidRPr="3FD28289" w:rsidRDefault="00BA6180" w:rsidP="3FD28289">
            <w:r>
              <w:t>Reasonably practicable</w:t>
            </w:r>
          </w:p>
        </w:tc>
        <w:tc>
          <w:tcPr>
            <w:tcW w:w="3399" w:type="pct"/>
          </w:tcPr>
          <w:p w14:paraId="73442AFA" w14:textId="3DF90FB2" w:rsidR="00BA6180" w:rsidRDefault="00150AED" w:rsidP="00B30C7E">
            <w:r>
              <w:t>Means putting in controls</w:t>
            </w:r>
            <w:r w:rsidR="00AC5E83">
              <w:t>,</w:t>
            </w:r>
            <w:r>
              <w:t xml:space="preserve"> </w:t>
            </w:r>
            <w:r w:rsidR="00674617" w:rsidRPr="00422A64">
              <w:t xml:space="preserve">to eliminate or </w:t>
            </w:r>
            <w:r w:rsidR="00674617">
              <w:t>minimise</w:t>
            </w:r>
            <w:r w:rsidR="00674617" w:rsidRPr="00422A64">
              <w:t xml:space="preserve"> risks </w:t>
            </w:r>
            <w:r w:rsidR="00C30937">
              <w:t>of harm to human health or the environment</w:t>
            </w:r>
            <w:r w:rsidR="00AC5E83">
              <w:t>,</w:t>
            </w:r>
            <w:r w:rsidR="00C30937">
              <w:t xml:space="preserve"> that </w:t>
            </w:r>
            <w:r w:rsidR="00674617" w:rsidRPr="00422A64">
              <w:t>are proportionate to the risks</w:t>
            </w:r>
            <w:r w:rsidR="00C30937">
              <w:t>.</w:t>
            </w:r>
          </w:p>
        </w:tc>
      </w:tr>
      <w:tr w:rsidR="00675ED6" w:rsidRPr="002A58AF" w14:paraId="61E826E8" w14:textId="77777777" w:rsidTr="000A239D">
        <w:tc>
          <w:tcPr>
            <w:tcW w:w="1601" w:type="pct"/>
          </w:tcPr>
          <w:p w14:paraId="10ADC14B" w14:textId="77777777" w:rsidR="00675ED6" w:rsidRPr="002A58AF" w:rsidRDefault="1E7623FF" w:rsidP="007E7A91">
            <w:r>
              <w:t>Receiving waters</w:t>
            </w:r>
          </w:p>
        </w:tc>
        <w:tc>
          <w:tcPr>
            <w:tcW w:w="3399" w:type="pct"/>
          </w:tcPr>
          <w:p w14:paraId="74DD1E81" w14:textId="037E189E" w:rsidR="00675ED6" w:rsidRPr="002A58AF" w:rsidRDefault="00675ED6" w:rsidP="007E7A91">
            <w:r w:rsidRPr="002A58AF">
              <w:t xml:space="preserve">Waters which receive discharges from wastewater or stormwater, including surface waters </w:t>
            </w:r>
            <w:r w:rsidR="00AC5E83">
              <w:t>that</w:t>
            </w:r>
            <w:r w:rsidR="00AC5E83" w:rsidRPr="002A58AF">
              <w:t xml:space="preserve"> </w:t>
            </w:r>
            <w:r w:rsidRPr="002A58AF">
              <w:t>receive discharges from groundwater.</w:t>
            </w:r>
          </w:p>
        </w:tc>
      </w:tr>
      <w:tr w:rsidR="00675ED6" w:rsidRPr="002A58AF" w14:paraId="10E6B0BA" w14:textId="77777777" w:rsidTr="000A239D">
        <w:tc>
          <w:tcPr>
            <w:tcW w:w="1601" w:type="pct"/>
          </w:tcPr>
          <w:p w14:paraId="22298FCA" w14:textId="77777777" w:rsidR="00675ED6" w:rsidRPr="002A58AF" w:rsidRDefault="00675ED6" w:rsidP="007E7A91">
            <w:r w:rsidRPr="002A58AF">
              <w:t>Reference sites</w:t>
            </w:r>
          </w:p>
        </w:tc>
        <w:tc>
          <w:tcPr>
            <w:tcW w:w="3399" w:type="pct"/>
          </w:tcPr>
          <w:p w14:paraId="0E3B382C" w14:textId="62AE4A41" w:rsidR="00675ED6" w:rsidRPr="002A58AF" w:rsidRDefault="00675ED6" w:rsidP="007E7A91">
            <w:r w:rsidRPr="002A58AF">
              <w:t>A</w:t>
            </w:r>
            <w:r w:rsidRPr="002A58AF">
              <w:rPr>
                <w:bCs/>
              </w:rPr>
              <w:t xml:space="preserve">s defined in the ERS. Reference sites </w:t>
            </w:r>
            <w:r w:rsidRPr="002A58AF">
              <w:t>are sites within segments that characterise background water quality levels, desirable conditions</w:t>
            </w:r>
            <w:r w:rsidR="008B282C">
              <w:t>,</w:t>
            </w:r>
            <w:r w:rsidRPr="002A58AF">
              <w:t xml:space="preserve"> or the best available sites in that segment.</w:t>
            </w:r>
          </w:p>
        </w:tc>
      </w:tr>
      <w:tr w:rsidR="00675ED6" w:rsidRPr="002A58AF" w14:paraId="646810F1" w14:textId="77777777" w:rsidTr="000A239D">
        <w:tc>
          <w:tcPr>
            <w:tcW w:w="1601" w:type="pct"/>
          </w:tcPr>
          <w:p w14:paraId="7D1680A5" w14:textId="77777777" w:rsidR="00675ED6" w:rsidRPr="002A58AF" w:rsidRDefault="00675ED6" w:rsidP="007E7A91">
            <w:r w:rsidRPr="002A58AF">
              <w:rPr>
                <w:bCs/>
              </w:rPr>
              <w:t>Secondary contact recreation</w:t>
            </w:r>
          </w:p>
        </w:tc>
        <w:tc>
          <w:tcPr>
            <w:tcW w:w="3399" w:type="pct"/>
          </w:tcPr>
          <w:p w14:paraId="6352392B" w14:textId="427A4B93" w:rsidR="00675ED6" w:rsidRPr="002A58AF" w:rsidRDefault="00675ED6" w:rsidP="007E7A91">
            <w:r w:rsidRPr="002A58AF">
              <w:rPr>
                <w:bCs/>
              </w:rPr>
              <w:t xml:space="preserve">As defined in the ERS. </w:t>
            </w:r>
            <w:r w:rsidRPr="002A58AF">
              <w:t>Secondary contact recreation means an activity where the human limbs are regularly wet and in which greater contact (including swallowing water) is unusual (such as boating, fishing, wading), and includes occasional and inadvertent immersion through slipping or being swept into the water by a wave.</w:t>
            </w:r>
          </w:p>
        </w:tc>
      </w:tr>
      <w:tr w:rsidR="00675ED6" w:rsidRPr="002A58AF" w14:paraId="7D653E36" w14:textId="77777777" w:rsidTr="000A239D">
        <w:tc>
          <w:tcPr>
            <w:tcW w:w="1601" w:type="pct"/>
          </w:tcPr>
          <w:p w14:paraId="075EE417" w14:textId="77777777" w:rsidR="00675ED6" w:rsidRPr="002A58AF" w:rsidRDefault="00675ED6" w:rsidP="007E7A91">
            <w:pPr>
              <w:rPr>
                <w:bCs/>
              </w:rPr>
            </w:pPr>
            <w:r w:rsidRPr="002A58AF">
              <w:t>Segment</w:t>
            </w:r>
          </w:p>
        </w:tc>
        <w:tc>
          <w:tcPr>
            <w:tcW w:w="3399" w:type="pct"/>
          </w:tcPr>
          <w:p w14:paraId="4B685A83" w14:textId="3CFCC4FE" w:rsidR="00675ED6" w:rsidRPr="007F0CD2" w:rsidRDefault="00675ED6" w:rsidP="007E7A91">
            <w:r w:rsidRPr="002A58AF">
              <w:rPr>
                <w:bCs/>
              </w:rPr>
              <w:t>As defined in the ERS.</w:t>
            </w:r>
            <w:r w:rsidRPr="002A58AF">
              <w:t xml:space="preserve"> Segment means a geographic area or feature of the water environment that has common environmental conditions and natural characteristics</w:t>
            </w:r>
            <w:r w:rsidR="00AC5E83">
              <w:t xml:space="preserve">, </w:t>
            </w:r>
            <w:r w:rsidRPr="002A58AF">
              <w:t xml:space="preserve">such as levels of </w:t>
            </w:r>
            <w:r w:rsidR="005A7FF2">
              <w:t>t</w:t>
            </w:r>
            <w:r w:rsidR="00AC5E83">
              <w:t xml:space="preserve">otal </w:t>
            </w:r>
            <w:r w:rsidR="005A7FF2">
              <w:t>d</w:t>
            </w:r>
            <w:r w:rsidR="00AC5E83">
              <w:t xml:space="preserve">issolved </w:t>
            </w:r>
            <w:r w:rsidR="005A7FF2">
              <w:t>s</w:t>
            </w:r>
            <w:r w:rsidR="00AC5E83">
              <w:t>olids (TDS)</w:t>
            </w:r>
            <w:r w:rsidR="00AC5E83" w:rsidRPr="002A58AF">
              <w:t xml:space="preserve"> </w:t>
            </w:r>
            <w:r w:rsidRPr="002A58AF">
              <w:t xml:space="preserve">for groundwater. </w:t>
            </w:r>
          </w:p>
        </w:tc>
      </w:tr>
      <w:tr w:rsidR="0093639D" w:rsidRPr="002A58AF" w14:paraId="7EEB86D2" w14:textId="77777777" w:rsidTr="000A239D">
        <w:tc>
          <w:tcPr>
            <w:tcW w:w="1601" w:type="pct"/>
          </w:tcPr>
          <w:p w14:paraId="7D04A0D1" w14:textId="0DFE4C45" w:rsidR="0093639D" w:rsidRPr="002A58AF" w:rsidRDefault="0093639D" w:rsidP="007E7A91">
            <w:r>
              <w:t xml:space="preserve">State of Knowledge </w:t>
            </w:r>
          </w:p>
        </w:tc>
        <w:tc>
          <w:tcPr>
            <w:tcW w:w="3399" w:type="pct"/>
          </w:tcPr>
          <w:p w14:paraId="359A6398" w14:textId="672AE423" w:rsidR="00E11963" w:rsidRPr="007C7DAB" w:rsidRDefault="004B51FB" w:rsidP="007E7A91">
            <w:r>
              <w:t>State of knowledge describes the body of accepted knowledge that is known or ought to be reasonably known about the harm</w:t>
            </w:r>
            <w:r w:rsidR="005A7FF2">
              <w:t>,</w:t>
            </w:r>
            <w:r>
              <w:t xml:space="preserve"> or risks of harm</w:t>
            </w:r>
            <w:r w:rsidR="005A7FF2">
              <w:t>,</w:t>
            </w:r>
            <w:r>
              <w:t xml:space="preserve"> to human health and the environment</w:t>
            </w:r>
            <w:r w:rsidR="005A7FF2">
              <w:t>;</w:t>
            </w:r>
            <w:r>
              <w:t xml:space="preserve"> and the controls for eliminating or reducing those risks.</w:t>
            </w:r>
          </w:p>
        </w:tc>
      </w:tr>
      <w:tr w:rsidR="00675ED6" w:rsidRPr="002A58AF" w14:paraId="0DB49980" w14:textId="77777777" w:rsidTr="000A239D">
        <w:tc>
          <w:tcPr>
            <w:tcW w:w="1601" w:type="pct"/>
          </w:tcPr>
          <w:p w14:paraId="133EEDF1" w14:textId="77777777" w:rsidR="00675ED6" w:rsidRPr="002A58AF" w:rsidRDefault="00675ED6" w:rsidP="007E7A91">
            <w:pPr>
              <w:rPr>
                <w:bCs/>
              </w:rPr>
            </w:pPr>
            <w:r w:rsidRPr="002A58AF">
              <w:t>Surface waters</w:t>
            </w:r>
          </w:p>
        </w:tc>
        <w:tc>
          <w:tcPr>
            <w:tcW w:w="3399" w:type="pct"/>
          </w:tcPr>
          <w:p w14:paraId="6FC5AE17" w14:textId="481E1053" w:rsidR="00675ED6" w:rsidRPr="007F0CD2" w:rsidRDefault="00675ED6" w:rsidP="007E7A91">
            <w:r w:rsidRPr="002A58AF">
              <w:t>Waters other than groundwater, for example</w:t>
            </w:r>
            <w:r w:rsidR="005A7FF2">
              <w:t>:</w:t>
            </w:r>
            <w:r w:rsidR="005A7FF2" w:rsidRPr="002A58AF">
              <w:t xml:space="preserve"> </w:t>
            </w:r>
            <w:r w:rsidRPr="002A58AF">
              <w:t>river, stream, billabong, lake, tidal water, estuary, marine and coastal water.</w:t>
            </w:r>
          </w:p>
        </w:tc>
      </w:tr>
      <w:tr w:rsidR="00675ED6" w:rsidRPr="002A58AF" w14:paraId="1452FBC2" w14:textId="77777777" w:rsidTr="000A239D">
        <w:tc>
          <w:tcPr>
            <w:tcW w:w="1601" w:type="pct"/>
          </w:tcPr>
          <w:p w14:paraId="647181C3" w14:textId="77777777" w:rsidR="00675ED6" w:rsidRPr="002A58AF" w:rsidRDefault="00675ED6" w:rsidP="007E7A91">
            <w:pPr>
              <w:rPr>
                <w:bCs/>
              </w:rPr>
            </w:pPr>
            <w:r w:rsidRPr="002A58AF">
              <w:lastRenderedPageBreak/>
              <w:t>Water dependent ecosystems and species</w:t>
            </w:r>
          </w:p>
        </w:tc>
        <w:tc>
          <w:tcPr>
            <w:tcW w:w="3399" w:type="pct"/>
          </w:tcPr>
          <w:p w14:paraId="25E3196C" w14:textId="74A6FA20" w:rsidR="00675ED6" w:rsidRPr="00CC5B15" w:rsidRDefault="00675ED6" w:rsidP="003139FD">
            <w:pPr>
              <w:keepNext/>
              <w:keepLines/>
            </w:pPr>
            <w:r w:rsidRPr="002A58AF">
              <w:rPr>
                <w:bCs/>
              </w:rPr>
              <w:t>As defined in the ERS.</w:t>
            </w:r>
            <w:r w:rsidRPr="002A58AF">
              <w:t xml:space="preserve"> Water dependent ecosystems and species means any water environment</w:t>
            </w:r>
            <w:r w:rsidR="005A7FF2">
              <w:t>,</w:t>
            </w:r>
            <w:r w:rsidRPr="002A58AF">
              <w:t xml:space="preserve"> from small to large, from pond to ocean, in which plants and animals interact with the chemical and physical features of the environment. Water dependent ecosystems and species has the same meaning as aquatic ecosystems in the ANZG.</w:t>
            </w:r>
          </w:p>
        </w:tc>
      </w:tr>
      <w:tr w:rsidR="00675ED6" w:rsidRPr="002A58AF" w14:paraId="726D2D1A" w14:textId="77777777" w:rsidTr="000A239D">
        <w:tc>
          <w:tcPr>
            <w:tcW w:w="1601" w:type="pct"/>
          </w:tcPr>
          <w:p w14:paraId="4E910BCE" w14:textId="77777777" w:rsidR="00675ED6" w:rsidRPr="002A58AF" w:rsidRDefault="00675ED6" w:rsidP="007E7A91">
            <w:pPr>
              <w:rPr>
                <w:bCs/>
              </w:rPr>
            </w:pPr>
            <w:r w:rsidRPr="002A58AF">
              <w:t>Water quality</w:t>
            </w:r>
          </w:p>
        </w:tc>
        <w:tc>
          <w:tcPr>
            <w:tcW w:w="3399" w:type="pct"/>
          </w:tcPr>
          <w:p w14:paraId="2D7EBEDF" w14:textId="620D212C" w:rsidR="00675ED6" w:rsidRPr="002A58AF" w:rsidRDefault="00675ED6" w:rsidP="000A239D">
            <w:pPr>
              <w:keepNext/>
              <w:keepLines/>
              <w:rPr>
                <w:bCs/>
              </w:rPr>
            </w:pPr>
            <w:r w:rsidRPr="002A58AF">
              <w:t>The physical, chemical and biological characteristics of water and the measure of its condition</w:t>
            </w:r>
            <w:r w:rsidR="005A7FF2">
              <w:t>,</w:t>
            </w:r>
            <w:r w:rsidRPr="002A58AF">
              <w:t xml:space="preserve"> relative to the requirements for one or more biotic species or to any human need or purpose.</w:t>
            </w:r>
          </w:p>
        </w:tc>
      </w:tr>
      <w:tr w:rsidR="00675ED6" w:rsidRPr="002A58AF" w14:paraId="2F17AFB9" w14:textId="77777777" w:rsidTr="000A239D">
        <w:tc>
          <w:tcPr>
            <w:tcW w:w="1601" w:type="pct"/>
          </w:tcPr>
          <w:p w14:paraId="61683235" w14:textId="77777777" w:rsidR="00675ED6" w:rsidRPr="002A58AF" w:rsidRDefault="00675ED6" w:rsidP="007E7A91">
            <w:pPr>
              <w:rPr>
                <w:bCs/>
              </w:rPr>
            </w:pPr>
            <w:r w:rsidRPr="002A58AF">
              <w:t>Wastewater</w:t>
            </w:r>
          </w:p>
        </w:tc>
        <w:tc>
          <w:tcPr>
            <w:tcW w:w="3399" w:type="pct"/>
          </w:tcPr>
          <w:p w14:paraId="755B0D84" w14:textId="4C1B6F2D" w:rsidR="00675ED6" w:rsidRPr="002A58AF" w:rsidRDefault="00675ED6" w:rsidP="007E7A91">
            <w:pPr>
              <w:rPr>
                <w:lang w:eastAsia="en-AU"/>
              </w:rPr>
            </w:pPr>
            <w:r w:rsidRPr="002A58AF">
              <w:rPr>
                <w:lang w:eastAsia="en-AU"/>
              </w:rPr>
              <w:t>Wastewater in this guidance means treated waste mainly consisting of water, and includes any of the following:</w:t>
            </w:r>
          </w:p>
          <w:p w14:paraId="60E15D34" w14:textId="44652801" w:rsidR="00CC5B15" w:rsidRDefault="005A7FF2" w:rsidP="00525686">
            <w:pPr>
              <w:pStyle w:val="ListParagraph"/>
              <w:numPr>
                <w:ilvl w:val="0"/>
                <w:numId w:val="21"/>
              </w:numPr>
            </w:pPr>
            <w:r>
              <w:t>S</w:t>
            </w:r>
            <w:r w:rsidRPr="002A58AF">
              <w:t xml:space="preserve">ewage </w:t>
            </w:r>
            <w:r w:rsidR="00675ED6" w:rsidRPr="002A58AF">
              <w:t>or another human-derived wastewater</w:t>
            </w:r>
          </w:p>
          <w:p w14:paraId="5338C9F2" w14:textId="77BC7EC2" w:rsidR="00CC5B15" w:rsidRDefault="005A7FF2" w:rsidP="00525686">
            <w:pPr>
              <w:pStyle w:val="ListParagraph"/>
              <w:numPr>
                <w:ilvl w:val="0"/>
                <w:numId w:val="21"/>
              </w:numPr>
            </w:pPr>
            <w:r>
              <w:t>C</w:t>
            </w:r>
            <w:r w:rsidRPr="002A58AF">
              <w:t xml:space="preserve">ooling </w:t>
            </w:r>
            <w:r w:rsidR="00675ED6" w:rsidRPr="002A58AF">
              <w:t>water</w:t>
            </w:r>
          </w:p>
          <w:p w14:paraId="572B17BA" w14:textId="658DC37A" w:rsidR="00CC5B15" w:rsidRPr="00CC5B15" w:rsidRDefault="005A7FF2" w:rsidP="00525686">
            <w:pPr>
              <w:pStyle w:val="ListParagraph"/>
              <w:numPr>
                <w:ilvl w:val="0"/>
                <w:numId w:val="21"/>
              </w:numPr>
              <w:rPr>
                <w:color w:val="333333"/>
              </w:rPr>
            </w:pPr>
            <w:r>
              <w:t>P</w:t>
            </w:r>
            <w:r w:rsidRPr="0088359F">
              <w:t>olluted</w:t>
            </w:r>
            <w:r w:rsidRPr="002A58AF">
              <w:t xml:space="preserve"> </w:t>
            </w:r>
            <w:r w:rsidR="00675ED6" w:rsidRPr="002A58AF">
              <w:t>stormwater or groundwater</w:t>
            </w:r>
          </w:p>
          <w:p w14:paraId="68055195" w14:textId="0A910B12" w:rsidR="00675ED6" w:rsidRPr="002A58AF" w:rsidRDefault="005A7FF2" w:rsidP="00525686">
            <w:pPr>
              <w:pStyle w:val="ListParagraph"/>
              <w:numPr>
                <w:ilvl w:val="0"/>
                <w:numId w:val="21"/>
              </w:numPr>
              <w:rPr>
                <w:color w:val="333333"/>
              </w:rPr>
            </w:pPr>
            <w:r>
              <w:t>W</w:t>
            </w:r>
            <w:r w:rsidRPr="002A58AF">
              <w:t xml:space="preserve">ater </w:t>
            </w:r>
            <w:r w:rsidR="00675ED6" w:rsidRPr="002A58AF">
              <w:t>containing any commercial, industrial or trade waste</w:t>
            </w:r>
            <w:r w:rsidR="00536A18" w:rsidRPr="00AF40AE">
              <w:t>,</w:t>
            </w:r>
            <w:r w:rsidR="00650835" w:rsidRPr="00AF40AE">
              <w:t xml:space="preserve"> </w:t>
            </w:r>
            <w:r w:rsidR="00AF40AE" w:rsidRPr="005C2538">
              <w:t>including animal effluents.</w:t>
            </w:r>
          </w:p>
        </w:tc>
      </w:tr>
    </w:tbl>
    <w:p w14:paraId="5F5D1930" w14:textId="119C297F" w:rsidR="00FA13E2" w:rsidRDefault="003F0C44" w:rsidP="00FA13E2">
      <w:pPr>
        <w:pStyle w:val="Heading1"/>
        <w:numPr>
          <w:ilvl w:val="0"/>
          <w:numId w:val="0"/>
        </w:numPr>
      </w:pPr>
      <w:r>
        <w:br w:type="page"/>
      </w:r>
    </w:p>
    <w:p w14:paraId="1EAFCA9D" w14:textId="6D69AC14" w:rsidR="00675ED6" w:rsidRDefault="00675ED6" w:rsidP="00FA13E2">
      <w:pPr>
        <w:pStyle w:val="Heading1"/>
      </w:pPr>
      <w:bookmarkStart w:id="6" w:name="_Toc133938123"/>
      <w:r>
        <w:lastRenderedPageBreak/>
        <w:t>Introduction</w:t>
      </w:r>
      <w:bookmarkEnd w:id="6"/>
    </w:p>
    <w:p w14:paraId="58FCA461" w14:textId="734AA515" w:rsidR="00675ED6" w:rsidRPr="008F5DC8" w:rsidRDefault="00D03F3F" w:rsidP="00675ED6">
      <w:r>
        <w:t>An e</w:t>
      </w:r>
      <w:r w:rsidR="00675ED6" w:rsidRPr="008F5DC8">
        <w:t xml:space="preserve">nvironmental and human health </w:t>
      </w:r>
      <w:r w:rsidR="00675ED6" w:rsidRPr="000647F9">
        <w:t>risk assessment evaluate</w:t>
      </w:r>
      <w:r w:rsidR="00621E34">
        <w:t>s</w:t>
      </w:r>
      <w:r w:rsidR="00675ED6" w:rsidRPr="000647F9">
        <w:t xml:space="preserve"> the likely or actual </w:t>
      </w:r>
      <w:r w:rsidR="00AF40AE">
        <w:t xml:space="preserve">harm </w:t>
      </w:r>
      <w:r w:rsidR="00675ED6" w:rsidRPr="000647F9">
        <w:t xml:space="preserve">of one or more </w:t>
      </w:r>
      <w:r w:rsidR="007372BA">
        <w:t>hazard</w:t>
      </w:r>
      <w:r w:rsidR="00675ED6" w:rsidRPr="000647F9">
        <w:t>s</w:t>
      </w:r>
      <w:r w:rsidR="002F3FE6">
        <w:t xml:space="preserve"> –</w:t>
      </w:r>
      <w:r w:rsidR="002F3FE6" w:rsidRPr="000647F9">
        <w:t xml:space="preserve"> </w:t>
      </w:r>
      <w:r w:rsidR="00675ED6" w:rsidRPr="000647F9">
        <w:t>such as pollutants</w:t>
      </w:r>
      <w:r w:rsidR="002F3FE6">
        <w:t>,</w:t>
      </w:r>
      <w:r w:rsidR="00675ED6" w:rsidRPr="000647F9">
        <w:t xml:space="preserve"> pathogens or anthropogenic activities</w:t>
      </w:r>
      <w:r w:rsidR="002F3FE6">
        <w:t xml:space="preserve"> – </w:t>
      </w:r>
      <w:r w:rsidR="00675ED6" w:rsidRPr="000647F9">
        <w:t xml:space="preserve">on the environment and human health. </w:t>
      </w:r>
      <w:r w:rsidR="00675ED6" w:rsidRPr="008F5DC8">
        <w:t>The rigour of a risk assessment process produces information that is targeted and transparent. This information is useful to decision</w:t>
      </w:r>
      <w:r w:rsidR="008F156B">
        <w:t xml:space="preserve"> </w:t>
      </w:r>
      <w:r w:rsidR="00675ED6" w:rsidRPr="008F5DC8">
        <w:t>makers and managers who must evaluate alternative technologies, compare and prioritise risks and evaluate cost-effective actions to maximise environmental gains.</w:t>
      </w:r>
    </w:p>
    <w:p w14:paraId="6F3AF1AE" w14:textId="77777777" w:rsidR="00675ED6" w:rsidRPr="00570AA8" w:rsidRDefault="00675ED6" w:rsidP="00570AA8">
      <w:pPr>
        <w:pStyle w:val="Heading2"/>
      </w:pPr>
      <w:bookmarkStart w:id="7" w:name="_Toc133938124"/>
      <w:r w:rsidRPr="00570AA8">
        <w:t>Objective and users</w:t>
      </w:r>
      <w:bookmarkEnd w:id="7"/>
    </w:p>
    <w:p w14:paraId="43569540" w14:textId="55DF1421" w:rsidR="00675ED6" w:rsidRPr="00E52435" w:rsidRDefault="00234C48" w:rsidP="00BE4315">
      <w:pPr>
        <w:rPr>
          <w:sz w:val="24"/>
          <w:szCs w:val="24"/>
        </w:rPr>
      </w:pPr>
      <w:r>
        <w:t xml:space="preserve">This </w:t>
      </w:r>
      <w:r w:rsidR="00675ED6" w:rsidRPr="10077A7C">
        <w:rPr>
          <w:i/>
          <w:iCs/>
        </w:rPr>
        <w:t xml:space="preserve">Guidance for environmental and human health risk assessment of wastewater discharges to surface waters </w:t>
      </w:r>
      <w:r w:rsidR="00675ED6">
        <w:t xml:space="preserve">provides a step-by-step </w:t>
      </w:r>
      <w:r w:rsidR="00585C6E">
        <w:t xml:space="preserve">guide </w:t>
      </w:r>
      <w:r w:rsidR="00675ED6">
        <w:t>to assess the environmental and human health risks associated with point-source wastewater discharges to surface waters</w:t>
      </w:r>
      <w:r w:rsidR="00953135">
        <w:t xml:space="preserve">. </w:t>
      </w:r>
      <w:r w:rsidR="00675ED6">
        <w:t xml:space="preserve">It has been developed to help those responsible for prescribed permission activities (as defined in the Environment Protection Regulations 2021) </w:t>
      </w:r>
      <w:r>
        <w:t>involving</w:t>
      </w:r>
      <w:r w:rsidR="00675ED6">
        <w:t xml:space="preserve"> wastewater discharges to surface waters, </w:t>
      </w:r>
      <w:r w:rsidR="00675ED6" w:rsidRPr="10077A7C">
        <w:rPr>
          <w:lang w:val="en-US"/>
        </w:rPr>
        <w:t xml:space="preserve">and the risk assessors/consultants conducting environmental and human health risk assessments on their behalf. </w:t>
      </w:r>
      <w:r>
        <w:rPr>
          <w:lang w:val="en-US"/>
        </w:rPr>
        <w:t>This guidance</w:t>
      </w:r>
      <w:r>
        <w:t xml:space="preserve"> </w:t>
      </w:r>
      <w:r w:rsidR="00675ED6">
        <w:t>supports minimising the risk of harm (</w:t>
      </w:r>
      <w:hyperlink r:id="rId23">
        <w:r w:rsidR="00953135" w:rsidRPr="10077A7C">
          <w:rPr>
            <w:rStyle w:val="Hyperlink"/>
          </w:rPr>
          <w:t>www.epa.vic.gov.au/for-business/how-to/manage-environmental-risk</w:t>
        </w:r>
      </w:hyperlink>
      <w:r w:rsidR="00953135">
        <w:t>)</w:t>
      </w:r>
      <w:r w:rsidR="00675ED6">
        <w:t xml:space="preserve"> </w:t>
      </w:r>
      <w:bookmarkStart w:id="8" w:name="_Int_DY3NVEaU"/>
      <w:r w:rsidR="00675ED6">
        <w:t>to</w:t>
      </w:r>
      <w:bookmarkEnd w:id="8"/>
      <w:r w:rsidR="00675ED6">
        <w:t xml:space="preserve"> human health and the environment</w:t>
      </w:r>
      <w:r>
        <w:t>,</w:t>
      </w:r>
      <w:r w:rsidR="00675ED6">
        <w:t xml:space="preserve"> and provides information that will help permission holders </w:t>
      </w:r>
      <w:r>
        <w:t xml:space="preserve">to </w:t>
      </w:r>
      <w:r w:rsidR="00675ED6">
        <w:t>comply with their legal obligations and meet community expectations.</w:t>
      </w:r>
    </w:p>
    <w:p w14:paraId="6BA88799" w14:textId="77777777" w:rsidR="00675ED6" w:rsidRDefault="00675ED6" w:rsidP="00570AA8">
      <w:pPr>
        <w:pStyle w:val="Heading2"/>
      </w:pPr>
      <w:bookmarkStart w:id="9" w:name="_Ref88209645"/>
      <w:bookmarkStart w:id="10" w:name="_Toc133938125"/>
      <w:r>
        <w:t>Scope</w:t>
      </w:r>
      <w:bookmarkEnd w:id="9"/>
      <w:bookmarkEnd w:id="10"/>
    </w:p>
    <w:p w14:paraId="73B0D6DC" w14:textId="04EC4FF2" w:rsidR="00E90199" w:rsidRDefault="00675ED6" w:rsidP="00675ED6">
      <w:pPr>
        <w:rPr>
          <w:lang w:val="en-US"/>
        </w:rPr>
      </w:pPr>
      <w:r w:rsidRPr="10077A7C">
        <w:rPr>
          <w:lang w:val="en-US"/>
        </w:rPr>
        <w:t xml:space="preserve">This guidance has been primarily developed for prescribed permission activities with point-source wastewater discharges to </w:t>
      </w:r>
      <w:r w:rsidR="0CCEFE0B" w:rsidRPr="10077A7C">
        <w:rPr>
          <w:lang w:val="en-US"/>
        </w:rPr>
        <w:t>surface</w:t>
      </w:r>
      <w:r w:rsidRPr="10077A7C">
        <w:rPr>
          <w:lang w:val="en-US"/>
        </w:rPr>
        <w:t xml:space="preserve"> waters. However, the information provided can be applied to a range of </w:t>
      </w:r>
      <w:r w:rsidR="00234C48">
        <w:rPr>
          <w:lang w:val="en-US"/>
        </w:rPr>
        <w:t xml:space="preserve">discharge </w:t>
      </w:r>
      <w:r w:rsidRPr="10077A7C">
        <w:rPr>
          <w:lang w:val="en-US"/>
        </w:rPr>
        <w:t xml:space="preserve">sources and assessment needs. For example, it can be used to identify and assess risk from diffuse sources of pollution, such as surface run-off associated with construction and agricultural activities. </w:t>
      </w:r>
      <w:r w:rsidR="00AF40AE" w:rsidRPr="00AF40AE">
        <w:rPr>
          <w:lang w:val="en-US"/>
        </w:rPr>
        <w:t>The type</w:t>
      </w:r>
      <w:r w:rsidR="00DF6968">
        <w:rPr>
          <w:lang w:val="en-US"/>
        </w:rPr>
        <w:t xml:space="preserve"> </w:t>
      </w:r>
      <w:r w:rsidR="00DF6968" w:rsidRPr="00AF40AE">
        <w:rPr>
          <w:lang w:val="en-US"/>
        </w:rPr>
        <w:t>and complexity of the risk assessment</w:t>
      </w:r>
      <w:r w:rsidR="00AF40AE" w:rsidRPr="00AF40AE">
        <w:rPr>
          <w:lang w:val="en-US"/>
        </w:rPr>
        <w:t xml:space="preserve"> (see section </w:t>
      </w:r>
      <w:r w:rsidR="00AF40AE" w:rsidRPr="00AF40AE">
        <w:rPr>
          <w:i/>
          <w:iCs/>
          <w:lang w:val="en-US"/>
        </w:rPr>
        <w:fldChar w:fldCharType="begin"/>
      </w:r>
      <w:r w:rsidR="00AF40AE" w:rsidRPr="00AF40AE">
        <w:rPr>
          <w:i/>
          <w:iCs/>
          <w:lang w:val="en-US"/>
        </w:rPr>
        <w:instrText xml:space="preserve"> REF _Ref109901202 \h  \* MERGEFORMAT </w:instrText>
      </w:r>
      <w:r w:rsidR="00AF40AE" w:rsidRPr="00AF40AE">
        <w:rPr>
          <w:i/>
          <w:iCs/>
          <w:lang w:val="en-US"/>
        </w:rPr>
      </w:r>
      <w:r w:rsidR="00AF40AE" w:rsidRPr="00AF40AE">
        <w:rPr>
          <w:i/>
          <w:iCs/>
          <w:lang w:val="en-US"/>
        </w:rPr>
        <w:fldChar w:fldCharType="separate"/>
      </w:r>
      <w:r w:rsidR="00FD64B0" w:rsidRPr="00FD64B0">
        <w:rPr>
          <w:i/>
          <w:iCs/>
        </w:rPr>
        <w:t>Types of risk assessment</w:t>
      </w:r>
      <w:r w:rsidR="00AF40AE" w:rsidRPr="00AF40AE">
        <w:rPr>
          <w:i/>
          <w:iCs/>
          <w:lang w:val="en-US"/>
        </w:rPr>
        <w:fldChar w:fldCharType="end"/>
      </w:r>
      <w:r w:rsidR="00AF40AE" w:rsidRPr="00AF40AE">
        <w:rPr>
          <w:i/>
          <w:iCs/>
          <w:lang w:val="en-US"/>
        </w:rPr>
        <w:t>)</w:t>
      </w:r>
      <w:r w:rsidR="00AF40AE" w:rsidRPr="00AF40AE">
        <w:rPr>
          <w:lang w:val="en-US"/>
        </w:rPr>
        <w:t xml:space="preserve"> needs to be proportionate to the problem and the harm</w:t>
      </w:r>
      <w:r w:rsidR="00234C48">
        <w:rPr>
          <w:lang w:val="en-US"/>
        </w:rPr>
        <w:t>,</w:t>
      </w:r>
      <w:r w:rsidR="00AF40AE" w:rsidRPr="00AF40AE">
        <w:rPr>
          <w:lang w:val="en-US"/>
        </w:rPr>
        <w:t xml:space="preserve"> or risks of harm</w:t>
      </w:r>
      <w:r w:rsidR="00234C48">
        <w:rPr>
          <w:lang w:val="en-US"/>
        </w:rPr>
        <w:t>,</w:t>
      </w:r>
      <w:r w:rsidR="00AF40AE" w:rsidRPr="00AF40AE">
        <w:rPr>
          <w:lang w:val="en-US"/>
        </w:rPr>
        <w:t xml:space="preserve"> associated with the activity.</w:t>
      </w:r>
    </w:p>
    <w:p w14:paraId="274DA5B4" w14:textId="0A5EC49D" w:rsidR="009F2E32" w:rsidRDefault="00234C48" w:rsidP="00675ED6">
      <w:pPr>
        <w:rPr>
          <w:rFonts w:cs="Arial"/>
        </w:rPr>
      </w:pPr>
      <w:r w:rsidRPr="00F04614">
        <w:rPr>
          <w:rFonts w:cs="Arial"/>
        </w:rPr>
        <w:t>Th</w:t>
      </w:r>
      <w:r>
        <w:rPr>
          <w:rFonts w:cs="Arial"/>
        </w:rPr>
        <w:t>is</w:t>
      </w:r>
      <w:r w:rsidRPr="00F04614">
        <w:rPr>
          <w:rFonts w:cs="Arial"/>
        </w:rPr>
        <w:t xml:space="preserve"> </w:t>
      </w:r>
      <w:r w:rsidR="00675ED6" w:rsidRPr="00F04614">
        <w:rPr>
          <w:rFonts w:cs="Arial"/>
        </w:rPr>
        <w:t xml:space="preserve">guidance </w:t>
      </w:r>
      <w:r w:rsidR="00675ED6" w:rsidRPr="00F04614">
        <w:rPr>
          <w:lang w:val="en-US"/>
        </w:rPr>
        <w:t xml:space="preserve">follows the four-step process outlined in </w:t>
      </w:r>
      <w:r w:rsidR="00675ED6" w:rsidRPr="00F04614">
        <w:rPr>
          <w:i/>
          <w:iCs/>
          <w:lang w:val="en-US"/>
        </w:rPr>
        <w:t>Assessing and controlling risk: a guide for business</w:t>
      </w:r>
      <w:r w:rsidR="00675ED6" w:rsidRPr="00F04614">
        <w:rPr>
          <w:lang w:val="en-US"/>
        </w:rPr>
        <w:t xml:space="preserve"> (</w:t>
      </w:r>
      <w:r w:rsidR="00260DC7">
        <w:rPr>
          <w:lang w:val="en-US"/>
        </w:rPr>
        <w:t>EPA publication</w:t>
      </w:r>
      <w:r w:rsidR="00675ED6" w:rsidRPr="00F04614">
        <w:rPr>
          <w:lang w:val="en-US"/>
        </w:rPr>
        <w:t xml:space="preserve"> 1695.1) with a focus on </w:t>
      </w:r>
      <w:r w:rsidR="00675ED6" w:rsidRPr="00F04614">
        <w:rPr>
          <w:rFonts w:cs="Arial"/>
        </w:rPr>
        <w:t xml:space="preserve">the identification of hazards and assessment of risks. </w:t>
      </w:r>
    </w:p>
    <w:p w14:paraId="74B15363" w14:textId="79E2FEDC" w:rsidR="00675ED6" w:rsidRPr="00F04614" w:rsidRDefault="00675ED6" w:rsidP="00675ED6">
      <w:pPr>
        <w:rPr>
          <w:rFonts w:cs="Arial"/>
        </w:rPr>
      </w:pPr>
      <w:r w:rsidRPr="00F04614">
        <w:rPr>
          <w:rFonts w:cs="Arial"/>
        </w:rPr>
        <w:t>R</w:t>
      </w:r>
      <w:r w:rsidRPr="00F04614">
        <w:t xml:space="preserve">isk assessment and risk management are </w:t>
      </w:r>
      <w:r w:rsidR="004F093D">
        <w:t>interlinked</w:t>
      </w:r>
      <w:r w:rsidRPr="00F04614">
        <w:t xml:space="preserve">. In risk assessment, the risk of a certain situation is determined, </w:t>
      </w:r>
      <w:r w:rsidR="00DA4CDE">
        <w:t>then</w:t>
      </w:r>
      <w:r w:rsidR="004F093D" w:rsidRPr="00F04614">
        <w:t xml:space="preserve"> </w:t>
      </w:r>
      <w:r w:rsidRPr="00F04614">
        <w:t xml:space="preserve">risk management </w:t>
      </w:r>
      <w:r w:rsidR="00DA4CDE">
        <w:t>applies</w:t>
      </w:r>
      <w:r w:rsidR="00DA4CDE" w:rsidRPr="00F04614">
        <w:t xml:space="preserve"> </w:t>
      </w:r>
      <w:r w:rsidRPr="00F04614">
        <w:t>solutions to the problem.</w:t>
      </w:r>
      <w:r w:rsidRPr="00F04614">
        <w:rPr>
          <w:rFonts w:cs="Arial"/>
        </w:rPr>
        <w:t xml:space="preserve"> </w:t>
      </w:r>
      <w:r w:rsidR="00DA4CDE">
        <w:rPr>
          <w:rFonts w:cs="Arial"/>
        </w:rPr>
        <w:t>R</w:t>
      </w:r>
      <w:r w:rsidRPr="00F04614">
        <w:rPr>
          <w:rFonts w:cs="Arial"/>
        </w:rPr>
        <w:t>isk assessment is not only about identifying whether an activity will pose a risk to</w:t>
      </w:r>
      <w:r w:rsidR="00041364">
        <w:rPr>
          <w:rFonts w:cs="Arial"/>
        </w:rPr>
        <w:t xml:space="preserve"> human</w:t>
      </w:r>
      <w:r w:rsidRPr="00F04614">
        <w:rPr>
          <w:rFonts w:cs="Arial"/>
        </w:rPr>
        <w:t xml:space="preserve"> health and the environment. It is also part of planning an effective risk management strategy because assessing and understanding the risk helps </w:t>
      </w:r>
      <w:r w:rsidR="00DA4CDE">
        <w:rPr>
          <w:rFonts w:cs="Arial"/>
        </w:rPr>
        <w:t>to</w:t>
      </w:r>
      <w:r w:rsidRPr="00F04614">
        <w:rPr>
          <w:rFonts w:cs="Arial"/>
        </w:rPr>
        <w:t xml:space="preserve"> </w:t>
      </w:r>
      <w:r w:rsidR="00DA4CDE" w:rsidRPr="00F04614">
        <w:rPr>
          <w:rFonts w:cs="Arial"/>
        </w:rPr>
        <w:t>identif</w:t>
      </w:r>
      <w:r w:rsidR="00DA4CDE">
        <w:rPr>
          <w:rFonts w:cs="Arial"/>
        </w:rPr>
        <w:t>y</w:t>
      </w:r>
      <w:r w:rsidR="00DA4CDE" w:rsidRPr="00F04614">
        <w:rPr>
          <w:rFonts w:cs="Arial"/>
        </w:rPr>
        <w:t xml:space="preserve"> </w:t>
      </w:r>
      <w:r w:rsidRPr="00F04614">
        <w:rPr>
          <w:rFonts w:cs="Arial"/>
        </w:rPr>
        <w:t xml:space="preserve">appropriate risk </w:t>
      </w:r>
      <w:r w:rsidR="004F1D8F" w:rsidRPr="00F04614">
        <w:rPr>
          <w:rFonts w:cs="Arial"/>
        </w:rPr>
        <w:t>m</w:t>
      </w:r>
      <w:r w:rsidR="004F1D8F">
        <w:rPr>
          <w:rFonts w:cs="Arial"/>
        </w:rPr>
        <w:t>anagement</w:t>
      </w:r>
      <w:r w:rsidR="001C7C61" w:rsidRPr="00F04614">
        <w:rPr>
          <w:rFonts w:cs="Arial"/>
        </w:rPr>
        <w:t xml:space="preserve"> </w:t>
      </w:r>
      <w:r w:rsidRPr="00F04614">
        <w:rPr>
          <w:rFonts w:cs="Arial"/>
        </w:rPr>
        <w:t>actions. As a result, risk management is introduced in this guidance; however, detailed risk control measures are not presented</w:t>
      </w:r>
      <w:r w:rsidR="00DA4CDE">
        <w:rPr>
          <w:rFonts w:cs="Arial"/>
        </w:rPr>
        <w:t>,</w:t>
      </w:r>
      <w:r w:rsidRPr="00F04614">
        <w:rPr>
          <w:rFonts w:cs="Arial"/>
        </w:rPr>
        <w:t xml:space="preserve"> as these will depend on the scale and complexity of the activity</w:t>
      </w:r>
      <w:r w:rsidR="00DA4CDE">
        <w:rPr>
          <w:rFonts w:cs="Arial"/>
        </w:rPr>
        <w:t>,</w:t>
      </w:r>
      <w:r w:rsidRPr="00F04614">
        <w:rPr>
          <w:rFonts w:cs="Arial"/>
        </w:rPr>
        <w:t xml:space="preserve"> and the type and magnitude of the risks identified.</w:t>
      </w:r>
    </w:p>
    <w:p w14:paraId="610C302B" w14:textId="115F41DB" w:rsidR="003F0C44" w:rsidRDefault="00675ED6" w:rsidP="00675ED6">
      <w:r w:rsidRPr="00F04614">
        <w:rPr>
          <w:rFonts w:cs="Arial"/>
        </w:rPr>
        <w:t>This guidance focuses on, but is not limited to, the assessment of risks to any environmental values identified</w:t>
      </w:r>
      <w:r w:rsidRPr="00F04614">
        <w:t xml:space="preserve"> in the Environment Reference Standard (</w:t>
      </w:r>
      <w:r w:rsidR="00AE3848">
        <w:t>ERS</w:t>
      </w:r>
      <w:r w:rsidR="0085668E">
        <w:t>)</w:t>
      </w:r>
      <w:r w:rsidR="00AE3848">
        <w:t xml:space="preserve"> </w:t>
      </w:r>
      <w:r w:rsidR="0085668E">
        <w:t>(</w:t>
      </w:r>
      <w:r w:rsidR="00AF40AE" w:rsidRPr="00650EB0">
        <w:rPr>
          <w:rFonts w:cs="Arial"/>
          <w:lang w:eastAsia="ja-JP"/>
        </w:rPr>
        <w:t>see box:</w:t>
      </w:r>
      <w:r w:rsidR="00AF40AE">
        <w:rPr>
          <w:rFonts w:cs="Arial"/>
          <w:lang w:eastAsia="ja-JP"/>
        </w:rPr>
        <w:t xml:space="preserve"> </w:t>
      </w:r>
      <w:r w:rsidRPr="003862D8">
        <w:rPr>
          <w:b/>
          <w:bCs/>
          <w:i/>
          <w:iCs/>
        </w:rPr>
        <w:t>Environment Reference Standard and environmental values</w:t>
      </w:r>
      <w:r w:rsidRPr="00F04614">
        <w:t>).</w:t>
      </w:r>
    </w:p>
    <w:p w14:paraId="51D8F167" w14:textId="2EF0A58F" w:rsidR="00675ED6" w:rsidRPr="00F04614" w:rsidRDefault="00675ED6" w:rsidP="00675ED6">
      <w:pPr>
        <w:rPr>
          <w:rFonts w:cs="Arial"/>
        </w:rPr>
      </w:pPr>
      <w:r w:rsidRPr="00F04614">
        <w:lastRenderedPageBreak/>
        <w:t>These environmental values include:</w:t>
      </w:r>
      <w:r w:rsidRPr="00F04614">
        <w:rPr>
          <w:rFonts w:cs="Arial"/>
        </w:rPr>
        <w:t xml:space="preserve"> </w:t>
      </w:r>
    </w:p>
    <w:p w14:paraId="0AB1E0C0" w14:textId="77777777" w:rsidR="00675ED6" w:rsidRPr="00F04614" w:rsidRDefault="00675ED6" w:rsidP="006F1C84">
      <w:pPr>
        <w:pStyle w:val="ListBullet"/>
      </w:pPr>
      <w:r w:rsidRPr="00F04614">
        <w:t xml:space="preserve">water dependent ecosystems and species </w:t>
      </w:r>
    </w:p>
    <w:p w14:paraId="6507E18A" w14:textId="77777777" w:rsidR="00675ED6" w:rsidRPr="00F04614" w:rsidRDefault="00675ED6" w:rsidP="006F1C84">
      <w:pPr>
        <w:pStyle w:val="ListBullet"/>
      </w:pPr>
      <w:r w:rsidRPr="00F04614">
        <w:t>human consumption after appropriate treatment</w:t>
      </w:r>
    </w:p>
    <w:p w14:paraId="7A646962" w14:textId="77777777" w:rsidR="00675ED6" w:rsidRPr="00F04614" w:rsidRDefault="00675ED6" w:rsidP="006F1C84">
      <w:pPr>
        <w:pStyle w:val="ListBullet"/>
      </w:pPr>
      <w:r w:rsidRPr="00F04614">
        <w:t>agriculture and irrigation</w:t>
      </w:r>
    </w:p>
    <w:p w14:paraId="792BD746" w14:textId="77777777" w:rsidR="00675ED6" w:rsidRPr="00F04614" w:rsidRDefault="00675ED6" w:rsidP="006F1C84">
      <w:pPr>
        <w:pStyle w:val="ListBullet"/>
      </w:pPr>
      <w:r w:rsidRPr="00F04614">
        <w:t>human consumption of aquatic foods</w:t>
      </w:r>
    </w:p>
    <w:p w14:paraId="21EE903E" w14:textId="77777777" w:rsidR="00675ED6" w:rsidRPr="00F04614" w:rsidRDefault="00675ED6" w:rsidP="006F1C84">
      <w:pPr>
        <w:pStyle w:val="ListBullet"/>
      </w:pPr>
      <w:r w:rsidRPr="00F04614">
        <w:t>aquaculture</w:t>
      </w:r>
    </w:p>
    <w:p w14:paraId="58205F15" w14:textId="77CF3A8E" w:rsidR="00675ED6" w:rsidRPr="00F04614" w:rsidRDefault="00675ED6" w:rsidP="006F1C84">
      <w:pPr>
        <w:pStyle w:val="ListBullet"/>
      </w:pPr>
      <w:r w:rsidRPr="00F04614">
        <w:t xml:space="preserve">industrial and commercial </w:t>
      </w:r>
    </w:p>
    <w:p w14:paraId="6CEC8A2F" w14:textId="77777777" w:rsidR="00675ED6" w:rsidRPr="00F04614" w:rsidRDefault="00675ED6" w:rsidP="006F1C84">
      <w:pPr>
        <w:pStyle w:val="ListBullet"/>
      </w:pPr>
      <w:r w:rsidRPr="00F04614">
        <w:t>water-based recreation (primary contact)</w:t>
      </w:r>
    </w:p>
    <w:p w14:paraId="497E19F2" w14:textId="77777777" w:rsidR="00675ED6" w:rsidRPr="00F04614" w:rsidRDefault="00675ED6" w:rsidP="006F1C84">
      <w:pPr>
        <w:pStyle w:val="ListBullet"/>
      </w:pPr>
      <w:r w:rsidRPr="00F04614">
        <w:t xml:space="preserve">water-based recreation (secondary contact) </w:t>
      </w:r>
    </w:p>
    <w:p w14:paraId="05B62FE9" w14:textId="77777777" w:rsidR="00675ED6" w:rsidRPr="00F04614" w:rsidRDefault="00675ED6" w:rsidP="006F1C84">
      <w:pPr>
        <w:pStyle w:val="ListBullet"/>
      </w:pPr>
      <w:r w:rsidRPr="00F04614">
        <w:t>water-based recreation (aesthetic enjoyment)</w:t>
      </w:r>
    </w:p>
    <w:p w14:paraId="3958ACB3" w14:textId="277C19A2" w:rsidR="00675ED6" w:rsidRPr="003862D8" w:rsidRDefault="00675ED6" w:rsidP="006F1C84">
      <w:pPr>
        <w:pStyle w:val="ListBullet"/>
      </w:pPr>
      <w:r w:rsidRPr="00F04614">
        <w:t>Traditional Owner cultural values</w:t>
      </w:r>
      <w:r>
        <w:t xml:space="preserve"> (</w:t>
      </w:r>
      <w:r w:rsidR="00CD745F">
        <w:rPr>
          <w:lang w:eastAsia="ja-JP"/>
        </w:rPr>
        <w:t xml:space="preserve">see box: </w:t>
      </w:r>
      <w:r w:rsidRPr="003862D8">
        <w:rPr>
          <w:b/>
          <w:bCs/>
          <w:i/>
          <w:iCs/>
        </w:rPr>
        <w:t>Traditional Owner cultural values</w:t>
      </w:r>
      <w:r>
        <w:t>)</w:t>
      </w:r>
    </w:p>
    <w:p w14:paraId="3E6322FD" w14:textId="0C9D6566" w:rsidR="004322FE" w:rsidRDefault="00675ED6" w:rsidP="00FA13E2">
      <w:pPr>
        <w:pStyle w:val="ListBullet"/>
      </w:pPr>
      <w:r w:rsidRPr="00F04614">
        <w:t>navigation and shipping.</w:t>
      </w:r>
    </w:p>
    <w:p w14:paraId="477AEFAF" w14:textId="77777777" w:rsidR="004322FE" w:rsidRPr="004F1D8F" w:rsidRDefault="004322FE" w:rsidP="00FA13E2">
      <w:pPr>
        <w:keepNext/>
        <w:keepLines/>
        <w:pBdr>
          <w:top w:val="single" w:sz="4" w:space="1" w:color="auto"/>
          <w:left w:val="single" w:sz="4" w:space="4" w:color="auto"/>
          <w:bottom w:val="single" w:sz="4" w:space="1" w:color="auto"/>
          <w:right w:val="single" w:sz="4" w:space="4" w:color="auto"/>
        </w:pBdr>
        <w:rPr>
          <w:b/>
          <w:bCs/>
        </w:rPr>
      </w:pPr>
      <w:r w:rsidRPr="004F1D8F">
        <w:rPr>
          <w:b/>
          <w:bCs/>
        </w:rPr>
        <w:t>Environment Reference Standard and environmental values</w:t>
      </w:r>
    </w:p>
    <w:p w14:paraId="5249DE65" w14:textId="2DA2B90A" w:rsidR="004322FE" w:rsidRDefault="004322FE" w:rsidP="00FA13E2">
      <w:pPr>
        <w:keepNext/>
        <w:keepLines/>
        <w:pBdr>
          <w:top w:val="single" w:sz="4" w:space="1" w:color="auto"/>
          <w:left w:val="single" w:sz="4" w:space="4" w:color="auto"/>
          <w:bottom w:val="single" w:sz="4" w:space="1" w:color="auto"/>
          <w:right w:val="single" w:sz="4" w:space="4" w:color="auto"/>
        </w:pBdr>
        <w:rPr>
          <w:rFonts w:cs="Arial"/>
          <w:lang w:eastAsia="en-AU"/>
        </w:rPr>
      </w:pPr>
      <w:r w:rsidRPr="00F04614">
        <w:t xml:space="preserve">The </w:t>
      </w:r>
      <w:r>
        <w:t>ERS</w:t>
      </w:r>
      <w:r w:rsidRPr="00F04614">
        <w:t xml:space="preserve"> is a new legislative instrument made under the </w:t>
      </w:r>
      <w:r w:rsidRPr="00F04614">
        <w:rPr>
          <w:i/>
          <w:iCs/>
        </w:rPr>
        <w:t>Environment Protection Act 2017</w:t>
      </w:r>
      <w:r w:rsidRPr="00F04614">
        <w:t>. The ERS brings together environmental values, indicators and objectives that describe environmental and human health outcomes to be achieved or maintained in Victoria. These values, indicators and objectives provid</w:t>
      </w:r>
      <w:r>
        <w:t>e</w:t>
      </w:r>
      <w:r w:rsidRPr="00F04614">
        <w:t xml:space="preserve"> a reference point to consider whether a proposal or activity is consistent with the environmental values identified in the ERS. The ERS also allows </w:t>
      </w:r>
      <w:r>
        <w:t>the</w:t>
      </w:r>
      <w:r w:rsidRPr="00F04614">
        <w:t xml:space="preserve"> evaluat</w:t>
      </w:r>
      <w:r>
        <w:t>ion of</w:t>
      </w:r>
      <w:r w:rsidRPr="00F04614">
        <w:t xml:space="preserve"> potential impacts on human health and the environment that may result from a proposal or activity. </w:t>
      </w:r>
      <w:r w:rsidRPr="00F04614">
        <w:rPr>
          <w:rFonts w:cs="Arial"/>
          <w:lang w:eastAsia="en-AU"/>
        </w:rPr>
        <w:t xml:space="preserve">More information about the ERS can be found in </w:t>
      </w:r>
      <w:r w:rsidRPr="00F04614">
        <w:rPr>
          <w:rFonts w:cs="Arial"/>
          <w:i/>
          <w:iCs/>
          <w:lang w:eastAsia="en-AU"/>
        </w:rPr>
        <w:t>Guide to the Environment Reference Standard</w:t>
      </w:r>
      <w:r w:rsidRPr="00F04614">
        <w:rPr>
          <w:rFonts w:cs="Arial"/>
          <w:lang w:eastAsia="en-AU"/>
        </w:rPr>
        <w:t xml:space="preserve"> (</w:t>
      </w:r>
      <w:r w:rsidR="00260DC7">
        <w:rPr>
          <w:rFonts w:cs="Arial"/>
          <w:lang w:eastAsia="en-AU"/>
        </w:rPr>
        <w:t>EPA publication</w:t>
      </w:r>
      <w:r w:rsidRPr="00F04614">
        <w:rPr>
          <w:rFonts w:cs="Arial"/>
          <w:lang w:eastAsia="en-AU"/>
        </w:rPr>
        <w:t xml:space="preserve"> 1992)</w:t>
      </w:r>
      <w:r>
        <w:rPr>
          <w:rFonts w:cs="Arial"/>
          <w:lang w:eastAsia="en-AU"/>
        </w:rPr>
        <w:t>.</w:t>
      </w:r>
    </w:p>
    <w:p w14:paraId="0F624197" w14:textId="77777777" w:rsidR="004322FE" w:rsidRPr="004F1D8F" w:rsidRDefault="004322FE" w:rsidP="006F1C84"/>
    <w:p w14:paraId="37382CD6" w14:textId="77777777" w:rsidR="004322FE" w:rsidRPr="004322FE" w:rsidRDefault="004322FE" w:rsidP="00924E83">
      <w:pPr>
        <w:pBdr>
          <w:top w:val="single" w:sz="4" w:space="1" w:color="auto"/>
          <w:left w:val="single" w:sz="4" w:space="4" w:color="auto"/>
          <w:bottom w:val="single" w:sz="4" w:space="1" w:color="auto"/>
          <w:right w:val="single" w:sz="4" w:space="1" w:color="auto"/>
        </w:pBdr>
        <w:rPr>
          <w:b/>
          <w:bCs/>
        </w:rPr>
      </w:pPr>
      <w:r w:rsidRPr="004322FE">
        <w:rPr>
          <w:b/>
          <w:bCs/>
        </w:rPr>
        <w:t>Traditional Owner cultural values</w:t>
      </w:r>
    </w:p>
    <w:p w14:paraId="011CE543" w14:textId="77777777" w:rsidR="004322FE" w:rsidRDefault="004322FE" w:rsidP="00924E83">
      <w:pPr>
        <w:pBdr>
          <w:top w:val="single" w:sz="4" w:space="1" w:color="auto"/>
          <w:left w:val="single" w:sz="4" w:space="4" w:color="auto"/>
          <w:bottom w:val="single" w:sz="4" w:space="1" w:color="auto"/>
          <w:right w:val="single" w:sz="4" w:space="1" w:color="auto"/>
        </w:pBdr>
        <w:rPr>
          <w:rFonts w:ascii="Times New Roman" w:hAnsi="Times New Roman"/>
          <w:sz w:val="24"/>
          <w:szCs w:val="24"/>
        </w:rPr>
      </w:pPr>
      <w:r>
        <w:t>For Traditional Owners, Country is embedded with culture, stories, songlines including ceremonial places and sites of significance. These ‘cultural values’ that are embedded in Country, connect everything and everyone. There are no distinctions between water, land and air.</w:t>
      </w:r>
    </w:p>
    <w:p w14:paraId="4C93F4CF" w14:textId="77777777" w:rsidR="004322FE" w:rsidRDefault="004322FE" w:rsidP="00924E83">
      <w:pPr>
        <w:pBdr>
          <w:top w:val="single" w:sz="4" w:space="1" w:color="auto"/>
          <w:left w:val="single" w:sz="4" w:space="4" w:color="auto"/>
          <w:bottom w:val="single" w:sz="4" w:space="1" w:color="auto"/>
          <w:right w:val="single" w:sz="4" w:space="1" w:color="auto"/>
        </w:pBdr>
      </w:pPr>
      <w:r>
        <w:t>Assessing risks of harm against this environmental value requires careful consideration of the interconnections of water, land and air – for example, not just considering the direct effect on a target species, but the effects on the wider environment, food sources and predatory species connected to that target species. Developing a conceptual model, which outlines and visualises these interconnections, can be a useful tool in building an understanding of the cultural landscape.</w:t>
      </w:r>
    </w:p>
    <w:p w14:paraId="63238F40" w14:textId="77777777" w:rsidR="004322FE" w:rsidRDefault="004322FE" w:rsidP="00924E83">
      <w:pPr>
        <w:pBdr>
          <w:top w:val="single" w:sz="4" w:space="1" w:color="auto"/>
          <w:left w:val="single" w:sz="4" w:space="4" w:color="auto"/>
          <w:bottom w:val="single" w:sz="4" w:space="1" w:color="auto"/>
          <w:right w:val="single" w:sz="4" w:space="1" w:color="auto"/>
        </w:pBdr>
      </w:pPr>
      <w:r>
        <w:t>Even in highly disturbed areas, culture, stories and songlines will remain. Efforts to minimise risk of harm and ensure activities don’t maintain existing contamination in such areas can contribute to the healing of Country.</w:t>
      </w:r>
    </w:p>
    <w:p w14:paraId="663B7EB0" w14:textId="43015C89" w:rsidR="004322FE" w:rsidRDefault="004322FE" w:rsidP="00924E83">
      <w:pPr>
        <w:pBdr>
          <w:top w:val="single" w:sz="4" w:space="1" w:color="auto"/>
          <w:left w:val="single" w:sz="4" w:space="4" w:color="auto"/>
          <w:bottom w:val="single" w:sz="4" w:space="1" w:color="auto"/>
          <w:right w:val="single" w:sz="4" w:space="1" w:color="auto"/>
        </w:pBdr>
      </w:pPr>
      <w:r>
        <w:t xml:space="preserve">The assessment of Traditional Owner cultural values of surface waters should consider relevant state programs, strategies or national guidance. Reference sources include the Victorian Aboriginal Cultural Heritage Register and Information System (ACHRIS, </w:t>
      </w:r>
      <w:hyperlink r:id="rId24" w:history="1">
        <w:r w:rsidRPr="002D7AC9">
          <w:rPr>
            <w:rStyle w:val="Hyperlink"/>
          </w:rPr>
          <w:t>https://achris.vic.gov.au</w:t>
        </w:r>
      </w:hyperlink>
      <w:r>
        <w:t xml:space="preserve">), </w:t>
      </w:r>
      <w:r w:rsidRPr="00F57E80">
        <w:t>Cultural water for cultural economies</w:t>
      </w:r>
      <w:r>
        <w:t xml:space="preserve"> (O’Donnell et al., 2021), </w:t>
      </w:r>
      <w:r w:rsidRPr="00297D90">
        <w:t>Water is Life: Traditional Owner access to water roadmap</w:t>
      </w:r>
      <w:r>
        <w:t xml:space="preserve"> (DELWP, 2022), Aboriginal Waterway Assessments (available through the DELWP hosted Aboriginal water program website: </w:t>
      </w:r>
      <w:hyperlink r:id="rId25" w:history="1">
        <w:r w:rsidRPr="007746EA">
          <w:rPr>
            <w:rStyle w:val="Hyperlink"/>
          </w:rPr>
          <w:t>www.water.vic.gov.au/aboriginal-values/the-aboriginal-water-program</w:t>
        </w:r>
      </w:hyperlink>
      <w:r>
        <w:t xml:space="preserve">) and the </w:t>
      </w:r>
      <w:r w:rsidRPr="004B788D">
        <w:t xml:space="preserve">Victorian Waterway Management Strategy </w:t>
      </w:r>
      <w:r>
        <w:t>(DELWP, 2013). Part 2, Division 3 of the Aboriginal Heritage Regulations 2018 outlines areas of cultural heritage sensitivity, including old waterways, ancient lakes and identifiable geological areas and formations. Advice may also be sought from First Peoples - State Relations (</w:t>
      </w:r>
      <w:hyperlink r:id="rId26" w:history="1">
        <w:r w:rsidRPr="002D7AC9">
          <w:rPr>
            <w:rStyle w:val="Hyperlink"/>
          </w:rPr>
          <w:t>www.firstpeoplesrelations.vic.gov.au</w:t>
        </w:r>
      </w:hyperlink>
      <w:r>
        <w:t>), Catchment Management Authorities and/or the Department of Energy, Environment and Climate Action (DEECA) on specific engagement with Registered Aboriginal Parties (RAPs) and/or other Traditional Owner groups (including referencing their Country Plans).</w:t>
      </w:r>
    </w:p>
    <w:p w14:paraId="13780A1F" w14:textId="2BD5A947" w:rsidR="004322FE" w:rsidRDefault="004322FE" w:rsidP="00924E83">
      <w:pPr>
        <w:pBdr>
          <w:top w:val="single" w:sz="4" w:space="1" w:color="auto"/>
          <w:left w:val="single" w:sz="4" w:space="4" w:color="auto"/>
          <w:bottom w:val="single" w:sz="4" w:space="1" w:color="auto"/>
          <w:right w:val="single" w:sz="4" w:space="1" w:color="auto"/>
        </w:pBdr>
      </w:pPr>
      <w:r>
        <w:t xml:space="preserve">Consideration of the principles and guidelines in the </w:t>
      </w:r>
      <w:r w:rsidRPr="00F04614">
        <w:rPr>
          <w:shd w:val="clear" w:color="auto" w:fill="FFFFFF"/>
        </w:rPr>
        <w:t>Australian and New Zealand Guidelines for Fresh and Marine Water Quality</w:t>
      </w:r>
      <w:r>
        <w:t xml:space="preserve"> (ANZG) may also assist in measuring risk of harm against this environmental value </w:t>
      </w:r>
      <w:r w:rsidRPr="00F04614">
        <w:rPr>
          <w:rFonts w:cs="Arial"/>
        </w:rPr>
        <w:t>(</w:t>
      </w:r>
      <w:hyperlink r:id="rId27" w:history="1">
        <w:r w:rsidRPr="00F04614">
          <w:rPr>
            <w:rStyle w:val="Hyperlink"/>
          </w:rPr>
          <w:t>www.waterquality.gov.au/anz-guidelines/guideline-values/derive/cultural-values</w:t>
        </w:r>
      </w:hyperlink>
      <w:r w:rsidRPr="00F41F30">
        <w:rPr>
          <w:rStyle w:val="Hyperlink"/>
          <w:color w:val="auto"/>
          <w:u w:val="none"/>
        </w:rPr>
        <w:t>)</w:t>
      </w:r>
      <w:r>
        <w:t>. As indicated in ANZG, cultural values for any element of the environment cannot be ascertained in the absence of engagement and consultation with Traditional Owners.</w:t>
      </w:r>
    </w:p>
    <w:p w14:paraId="7F28F51D" w14:textId="77777777" w:rsidR="004322FE" w:rsidRDefault="004322FE" w:rsidP="00924E83">
      <w:pPr>
        <w:pBdr>
          <w:top w:val="single" w:sz="4" w:space="1" w:color="auto"/>
          <w:left w:val="single" w:sz="4" w:space="4" w:color="auto"/>
          <w:bottom w:val="single" w:sz="4" w:space="1" w:color="auto"/>
          <w:right w:val="single" w:sz="4" w:space="1" w:color="auto"/>
        </w:pBdr>
      </w:pPr>
      <w:r>
        <w:t xml:space="preserve">It is acknowledged that engagement with the RAPs or other Traditional Owner group is an evolving process. However, it is important to consider that any activity undertaken is on a landscape that has a story and Aboriginal history. As a minimum, assessments should identify whether there are issues, areas or sites of relevance and concern to Traditional Owners, and establish a process to ensure appropriate engagement is undertaken to form indicators and objectives that minimise the risks of harm with respect to this environmental value. If the site under assessment has a Cultural Heritage Management Plan, or is identified on the </w:t>
      </w:r>
      <w:r w:rsidRPr="004B788D">
        <w:t>Aboriginal Cultural Heritage Register and Information System (ACHRIS)</w:t>
      </w:r>
      <w:r w:rsidRPr="00391225">
        <w:t xml:space="preserve"> </w:t>
      </w:r>
      <w:r>
        <w:t>as being on or near an area of cultural sensitivity or waterway, then this will indicate that there are matters of cultural concern to consider. However, the primary source of information is the relevant RAPs or other Traditional Owner groups.</w:t>
      </w:r>
    </w:p>
    <w:p w14:paraId="764E9D3A" w14:textId="2A8F22E5" w:rsidR="00320DB6" w:rsidRPr="00320DB6" w:rsidRDefault="004322FE" w:rsidP="00320DB6">
      <w:pPr>
        <w:pBdr>
          <w:top w:val="single" w:sz="4" w:space="1" w:color="auto"/>
          <w:left w:val="single" w:sz="4" w:space="4" w:color="auto"/>
          <w:bottom w:val="single" w:sz="4" w:space="1" w:color="auto"/>
          <w:right w:val="single" w:sz="4" w:space="1" w:color="auto"/>
        </w:pBdr>
        <w:rPr>
          <w:color w:val="0000FF"/>
          <w:u w:val="single"/>
        </w:rPr>
      </w:pPr>
      <w:r>
        <w:t>It is not appropriate to simply consider Traditional Owner cultural values using the other environmental values as a proxy. ANZG outlines a process to determine whether the existing water quality guidelines can support assessment of risks of harm with respect to this environmental value, but emphasises that the process does not replace the need to consult with Traditional Owners.</w:t>
      </w:r>
      <w:r w:rsidRPr="00071B66">
        <w:t xml:space="preserve"> See: </w:t>
      </w:r>
      <w:hyperlink r:id="rId28" w:tgtFrame="_blank" w:tooltip="https://www.waterquality.gov.au/anz-guidelines/guideline-values/derive/cultural-values)" w:history="1">
        <w:r w:rsidRPr="00924E83">
          <w:rPr>
            <w:rStyle w:val="Hyperlink"/>
          </w:rPr>
          <w:t>www.waterquality.gov.au/anz-guidelines/guideline-values/derive/cultural-values</w:t>
        </w:r>
      </w:hyperlink>
      <w:bookmarkStart w:id="11" w:name="_Ref88209639"/>
    </w:p>
    <w:p w14:paraId="3C884E48" w14:textId="54AC6FEC" w:rsidR="00675ED6" w:rsidRDefault="00675ED6" w:rsidP="00570AA8">
      <w:pPr>
        <w:pStyle w:val="Heading2"/>
      </w:pPr>
      <w:bookmarkStart w:id="12" w:name="_Toc133938126"/>
      <w:r>
        <w:t>How to use this guidance</w:t>
      </w:r>
      <w:bookmarkEnd w:id="11"/>
      <w:bookmarkEnd w:id="12"/>
    </w:p>
    <w:p w14:paraId="542FFC3E" w14:textId="518A1B5A" w:rsidR="00675ED6" w:rsidRDefault="00675ED6" w:rsidP="00675ED6">
      <w:r w:rsidRPr="00827015">
        <w:t xml:space="preserve">You can use this guidance to assess the risks </w:t>
      </w:r>
      <w:r w:rsidR="00091507">
        <w:t>of a</w:t>
      </w:r>
      <w:r w:rsidR="00091507" w:rsidRPr="00827015">
        <w:t xml:space="preserve"> </w:t>
      </w:r>
      <w:r w:rsidRPr="00827015">
        <w:t xml:space="preserve">wastewater discharge so that </w:t>
      </w:r>
      <w:r>
        <w:t>risks</w:t>
      </w:r>
      <w:r w:rsidRPr="00827015">
        <w:t xml:space="preserve"> can be minimised so far as reasonably practicable.</w:t>
      </w:r>
    </w:p>
    <w:p w14:paraId="76986FAF" w14:textId="1932A560" w:rsidR="00657C99" w:rsidRPr="00827015" w:rsidRDefault="00657C99" w:rsidP="00657C99">
      <w:r w:rsidRPr="00827015">
        <w:t>EPA requires an environmental risk assessment as part of an application for a permission, or as part of an existing permission amendment or review, with wastewater discharges to surface waters. EPA will consider the environmental and human health risk assessment reports when assessing the application/review. This enables EPA to set risk-based discharge limits</w:t>
      </w:r>
      <w:r w:rsidR="003139FD">
        <w:t xml:space="preserve">, </w:t>
      </w:r>
      <w:r w:rsidRPr="00827015">
        <w:t xml:space="preserve">which </w:t>
      </w:r>
      <w:r w:rsidRPr="00827015">
        <w:lastRenderedPageBreak/>
        <w:t>consider appropriate spatial and temporal environmental conditions and values to protect the environment and human health.</w:t>
      </w:r>
    </w:p>
    <w:p w14:paraId="51018283" w14:textId="419A80A2" w:rsidR="00657C99" w:rsidRDefault="00657C99" w:rsidP="00657C99">
      <w:r w:rsidRPr="00827015">
        <w:t>EPA also requires licence holders to have in place a risk management and monitoring program (RMMP) that enables the licence holder and EPA to determine compliance with the general environmental duty (</w:t>
      </w:r>
      <w:r>
        <w:rPr>
          <w:rFonts w:cs="Arial"/>
          <w:lang w:eastAsia="ja-JP"/>
        </w:rPr>
        <w:t xml:space="preserve">see box: </w:t>
      </w:r>
      <w:r w:rsidRPr="00312A6E">
        <w:rPr>
          <w:rFonts w:cs="Arial"/>
          <w:b/>
          <w:i/>
          <w:iCs/>
        </w:rPr>
        <w:t>General environmental duty and state of knowledge</w:t>
      </w:r>
      <w:r w:rsidRPr="00827015">
        <w:rPr>
          <w:rFonts w:cs="Arial"/>
          <w:bCs/>
        </w:rPr>
        <w:t>)</w:t>
      </w:r>
      <w:r w:rsidRPr="00827015">
        <w:t xml:space="preserve">. You can use this guidance to collect and analyse the information needed for your RMMP. </w:t>
      </w:r>
    </w:p>
    <w:p w14:paraId="3CBD352B" w14:textId="77777777" w:rsidR="00F46616" w:rsidRPr="00827015" w:rsidRDefault="00F46616" w:rsidP="00F46616">
      <w:pPr>
        <w:rPr>
          <w:lang w:eastAsia="en-AU"/>
        </w:rPr>
      </w:pPr>
      <w:r w:rsidRPr="00827015">
        <w:rPr>
          <w:lang w:eastAsia="en-AU"/>
        </w:rPr>
        <w:t>This guidance is presented in three parts:</w:t>
      </w:r>
    </w:p>
    <w:p w14:paraId="2FAB8146" w14:textId="0C9D474D" w:rsidR="00675ED6" w:rsidRPr="006F1C84" w:rsidRDefault="00675ED6" w:rsidP="006F1C84">
      <w:pPr>
        <w:pStyle w:val="ListParagraph"/>
      </w:pPr>
      <w:r w:rsidRPr="006F1C84">
        <w:t xml:space="preserve">The main body of </w:t>
      </w:r>
      <w:r w:rsidR="00091507" w:rsidRPr="006F1C84">
        <w:t xml:space="preserve">this </w:t>
      </w:r>
      <w:r w:rsidRPr="006F1C84">
        <w:t>guidance describes the environmental and human health risk assessment framework. The framework was presented in the first version of this guidance published in 2009. This updated version includes new sections (for example, section</w:t>
      </w:r>
      <w:r w:rsidR="00022EBC" w:rsidRPr="006F1C84">
        <w:t xml:space="preserve"> </w:t>
      </w:r>
      <w:r w:rsidR="00022EBC" w:rsidRPr="006F1C84">
        <w:fldChar w:fldCharType="begin"/>
      </w:r>
      <w:r w:rsidR="00022EBC" w:rsidRPr="006F1C84">
        <w:instrText xml:space="preserve"> REF _Ref88209411 \r \h  \* MERGEFORMAT </w:instrText>
      </w:r>
      <w:r w:rsidR="00022EBC" w:rsidRPr="006F1C84">
        <w:fldChar w:fldCharType="separate"/>
      </w:r>
      <w:r w:rsidR="00FD64B0">
        <w:t>2.3</w:t>
      </w:r>
      <w:r w:rsidR="00022EBC" w:rsidRPr="006F1C84">
        <w:fldChar w:fldCharType="end"/>
      </w:r>
      <w:r w:rsidR="00E16136" w:rsidRPr="006F1C84">
        <w:rPr>
          <w:i/>
          <w:iCs/>
        </w:rPr>
        <w:t xml:space="preserve"> </w:t>
      </w:r>
      <w:r w:rsidR="00F63CA7" w:rsidRPr="006F1C84">
        <w:rPr>
          <w:i/>
          <w:iCs/>
        </w:rPr>
        <w:fldChar w:fldCharType="begin"/>
      </w:r>
      <w:r w:rsidR="00F63CA7" w:rsidRPr="006F1C84">
        <w:rPr>
          <w:i/>
          <w:iCs/>
        </w:rPr>
        <w:instrText xml:space="preserve"> REF _Ref88209411 \h </w:instrText>
      </w:r>
      <w:r w:rsidR="008510A9" w:rsidRPr="006F1C84">
        <w:rPr>
          <w:i/>
          <w:iCs/>
        </w:rPr>
        <w:instrText xml:space="preserve"> \* MERGEFORMAT </w:instrText>
      </w:r>
      <w:r w:rsidR="00F63CA7" w:rsidRPr="006F1C84">
        <w:rPr>
          <w:i/>
          <w:iCs/>
        </w:rPr>
      </w:r>
      <w:r w:rsidR="00F63CA7" w:rsidRPr="006F1C84">
        <w:rPr>
          <w:i/>
          <w:iCs/>
        </w:rPr>
        <w:fldChar w:fldCharType="separate"/>
      </w:r>
      <w:r w:rsidR="00FD64B0" w:rsidRPr="00FD64B0">
        <w:rPr>
          <w:i/>
          <w:iCs/>
        </w:rPr>
        <w:t>Prioritising discharges for risk assessment</w:t>
      </w:r>
      <w:r w:rsidR="00F63CA7" w:rsidRPr="006F1C84">
        <w:rPr>
          <w:i/>
          <w:iCs/>
        </w:rPr>
        <w:fldChar w:fldCharType="end"/>
      </w:r>
      <w:r w:rsidRPr="006F1C84">
        <w:t xml:space="preserve"> and development of a monitoring plan in</w:t>
      </w:r>
      <w:r w:rsidR="00471EBD" w:rsidRPr="006F1C84">
        <w:t xml:space="preserve"> section</w:t>
      </w:r>
      <w:r w:rsidR="00022EBC" w:rsidRPr="006F1C84">
        <w:t xml:space="preserve"> </w:t>
      </w:r>
      <w:r w:rsidR="00A035A5" w:rsidRPr="006F1C84">
        <w:fldChar w:fldCharType="begin"/>
      </w:r>
      <w:r w:rsidR="00A035A5" w:rsidRPr="006F1C84">
        <w:instrText xml:space="preserve"> REF _Ref88209736 \w \h </w:instrText>
      </w:r>
      <w:r w:rsidR="005900BD" w:rsidRPr="006F1C84">
        <w:instrText xml:space="preserve"> \* MERGEFORMAT </w:instrText>
      </w:r>
      <w:r w:rsidR="00A035A5" w:rsidRPr="006F1C84">
        <w:fldChar w:fldCharType="separate"/>
      </w:r>
      <w:r w:rsidR="00FD64B0">
        <w:t>3.1.6</w:t>
      </w:r>
      <w:r w:rsidR="00A035A5" w:rsidRPr="006F1C84">
        <w:fldChar w:fldCharType="end"/>
      </w:r>
      <w:r w:rsidR="005900BD" w:rsidRPr="006F1C84">
        <w:rPr>
          <w:i/>
          <w:iCs/>
        </w:rPr>
        <w:t xml:space="preserve"> </w:t>
      </w:r>
      <w:r w:rsidR="00AC6060" w:rsidRPr="006F1C84">
        <w:rPr>
          <w:i/>
          <w:iCs/>
        </w:rPr>
        <w:fldChar w:fldCharType="begin"/>
      </w:r>
      <w:r w:rsidR="00AC6060" w:rsidRPr="006F1C84">
        <w:rPr>
          <w:i/>
          <w:iCs/>
        </w:rPr>
        <w:instrText xml:space="preserve"> REF _Ref88209736 \h  \* MERGEFORMAT </w:instrText>
      </w:r>
      <w:r w:rsidR="00AC6060" w:rsidRPr="006F1C84">
        <w:rPr>
          <w:i/>
          <w:iCs/>
        </w:rPr>
      </w:r>
      <w:r w:rsidR="00AC6060" w:rsidRPr="006F1C84">
        <w:rPr>
          <w:i/>
          <w:iCs/>
        </w:rPr>
        <w:fldChar w:fldCharType="separate"/>
      </w:r>
      <w:r w:rsidR="00FD64B0" w:rsidRPr="00FD64B0">
        <w:rPr>
          <w:i/>
          <w:iCs/>
        </w:rPr>
        <w:t>Risk analysis plan</w:t>
      </w:r>
      <w:r w:rsidR="00AC6060" w:rsidRPr="006F1C84">
        <w:rPr>
          <w:i/>
          <w:iCs/>
        </w:rPr>
        <w:fldChar w:fldCharType="end"/>
      </w:r>
      <w:r w:rsidRPr="006F1C84">
        <w:t xml:space="preserve">) and focuses on both environmental and human health risk assessment. </w:t>
      </w:r>
    </w:p>
    <w:p w14:paraId="428951F8" w14:textId="7130F112" w:rsidR="002424B9" w:rsidRPr="006F1C84" w:rsidRDefault="00675ED6" w:rsidP="006F1C84">
      <w:pPr>
        <w:pStyle w:val="ListParagraph"/>
      </w:pPr>
      <w:bookmarkStart w:id="13" w:name="_Ref88209629"/>
      <w:r w:rsidRPr="006F1C84">
        <w:t>Appendices A and B present case studies.</w:t>
      </w:r>
      <w:bookmarkEnd w:id="13"/>
    </w:p>
    <w:p w14:paraId="1F8B4DE5" w14:textId="62309230" w:rsidR="00AA35A4" w:rsidRPr="00985D19" w:rsidRDefault="00675ED6" w:rsidP="00985D19">
      <w:pPr>
        <w:pStyle w:val="ListParagraph"/>
      </w:pPr>
      <w:r w:rsidRPr="006F1C84">
        <w:t xml:space="preserve">Appendix C is a new section introduced in this updated guidance and presents a detailed </w:t>
      </w:r>
      <w:r w:rsidR="00C351B0" w:rsidRPr="006F1C84">
        <w:t xml:space="preserve">microbial </w:t>
      </w:r>
      <w:r w:rsidRPr="006F1C84">
        <w:t>human health risk assessment framework.</w:t>
      </w:r>
    </w:p>
    <w:p w14:paraId="7DF1C472" w14:textId="77777777" w:rsidR="00675ED6" w:rsidRDefault="00675ED6" w:rsidP="00570AA8">
      <w:pPr>
        <w:pStyle w:val="Heading2"/>
      </w:pPr>
      <w:bookmarkStart w:id="14" w:name="_Toc133938127"/>
      <w:r>
        <w:t>Status</w:t>
      </w:r>
      <w:bookmarkEnd w:id="14"/>
    </w:p>
    <w:p w14:paraId="7F603110" w14:textId="0A82040F" w:rsidR="00320DB6" w:rsidRPr="003F0C44" w:rsidRDefault="00675ED6" w:rsidP="0061633D">
      <w:r w:rsidRPr="007D2641">
        <w:rPr>
          <w:rFonts w:cs="Arial"/>
          <w:lang w:eastAsia="ja-JP"/>
        </w:rPr>
        <w:t>This guidance contributes to the state of knowledge (</w:t>
      </w:r>
      <w:r w:rsidR="000B44BA">
        <w:rPr>
          <w:rFonts w:cs="Arial"/>
          <w:lang w:eastAsia="ja-JP"/>
        </w:rPr>
        <w:t xml:space="preserve">see box: </w:t>
      </w:r>
      <w:r w:rsidRPr="00A70333">
        <w:rPr>
          <w:rFonts w:cs="Arial"/>
          <w:b/>
          <w:i/>
          <w:iCs/>
        </w:rPr>
        <w:t>General environmental duty and state of knowledge</w:t>
      </w:r>
      <w:r w:rsidRPr="007D2641">
        <w:rPr>
          <w:rFonts w:cs="Arial"/>
          <w:lang w:eastAsia="ja-JP"/>
        </w:rPr>
        <w:t xml:space="preserve">) and supports </w:t>
      </w:r>
      <w:r w:rsidRPr="007D2641">
        <w:t xml:space="preserve">those </w:t>
      </w:r>
      <w:r w:rsidR="00091507">
        <w:t>who hold</w:t>
      </w:r>
      <w:r w:rsidR="00091507" w:rsidRPr="007D2641">
        <w:t xml:space="preserve"> </w:t>
      </w:r>
      <w:r w:rsidRPr="007D2641">
        <w:t xml:space="preserve">a permission or </w:t>
      </w:r>
      <w:r w:rsidR="00091507">
        <w:t xml:space="preserve">are </w:t>
      </w:r>
      <w:r w:rsidRPr="007D2641">
        <w:t xml:space="preserve">applying for a permission with EPA to </w:t>
      </w:r>
      <w:r w:rsidRPr="006C07B2">
        <w:t xml:space="preserve">understand their discharges to surface waters, so that risks to </w:t>
      </w:r>
      <w:r>
        <w:t xml:space="preserve">the environment and human </w:t>
      </w:r>
      <w:r w:rsidRPr="006C07B2">
        <w:t>health can be effectively managed and minimised</w:t>
      </w:r>
      <w:r w:rsidRPr="007D2641">
        <w:rPr>
          <w:rFonts w:cs="Arial"/>
          <w:lang w:eastAsia="ja-JP"/>
        </w:rPr>
        <w:t xml:space="preserve">. </w:t>
      </w:r>
      <w:r w:rsidRPr="006C07B2">
        <w:t>EPA has developed a range of guidance for business, much of which is relevant to activities that emit pollutants into the environment. Guidance by topic can be found on EPA's website (</w:t>
      </w:r>
      <w:hyperlink r:id="rId29" w:history="1">
        <w:r w:rsidRPr="00924E83">
          <w:rPr>
            <w:rStyle w:val="Hyperlink"/>
          </w:rPr>
          <w:t>www.epa.vic.gov.au/for-business/find-a-topic</w:t>
        </w:r>
      </w:hyperlink>
      <w:r w:rsidRPr="006C07B2">
        <w:t>).</w:t>
      </w:r>
    </w:p>
    <w:p w14:paraId="3B08B474" w14:textId="147F2A8C" w:rsidR="004F1D8F" w:rsidRPr="004F1D8F" w:rsidRDefault="004F1D8F" w:rsidP="00675ED6">
      <w:pPr>
        <w:pBdr>
          <w:top w:val="single" w:sz="4" w:space="1" w:color="auto"/>
          <w:left w:val="single" w:sz="4" w:space="4" w:color="auto"/>
          <w:bottom w:val="single" w:sz="4" w:space="1" w:color="auto"/>
          <w:right w:val="single" w:sz="4" w:space="4" w:color="auto"/>
        </w:pBdr>
        <w:spacing w:line="259" w:lineRule="auto"/>
        <w:rPr>
          <w:rFonts w:cs="Arial"/>
          <w:b/>
          <w:bCs/>
        </w:rPr>
      </w:pPr>
      <w:r w:rsidRPr="004F1D8F">
        <w:rPr>
          <w:rFonts w:cs="Arial"/>
          <w:b/>
          <w:bCs/>
        </w:rPr>
        <w:t xml:space="preserve">General environmental duty and state of </w:t>
      </w:r>
      <w:r w:rsidR="003F0BB5" w:rsidRPr="004F1D8F">
        <w:rPr>
          <w:rFonts w:cs="Arial"/>
          <w:b/>
          <w:bCs/>
        </w:rPr>
        <w:t>knowledge</w:t>
      </w:r>
    </w:p>
    <w:p w14:paraId="1F90D7A4" w14:textId="32BAADC8" w:rsidR="00675ED6" w:rsidRPr="00320DB6" w:rsidRDefault="00675ED6" w:rsidP="00675ED6">
      <w:pPr>
        <w:pBdr>
          <w:top w:val="single" w:sz="4" w:space="1" w:color="auto"/>
          <w:left w:val="single" w:sz="4" w:space="4" w:color="auto"/>
          <w:bottom w:val="single" w:sz="4" w:space="1" w:color="auto"/>
          <w:right w:val="single" w:sz="4" w:space="4" w:color="auto"/>
        </w:pBdr>
        <w:spacing w:line="259" w:lineRule="auto"/>
        <w:rPr>
          <w:rFonts w:cs="Arial"/>
        </w:rPr>
      </w:pPr>
      <w:r w:rsidRPr="00422A64">
        <w:rPr>
          <w:rFonts w:cs="Arial"/>
        </w:rPr>
        <w:t xml:space="preserve">The general environmental duty (GED) is introduced in the </w:t>
      </w:r>
      <w:r w:rsidRPr="00422A64">
        <w:rPr>
          <w:rFonts w:cs="Arial"/>
          <w:i/>
          <w:iCs/>
        </w:rPr>
        <w:t>Environment Protection Act 2017</w:t>
      </w:r>
      <w:r w:rsidRPr="00422A64">
        <w:rPr>
          <w:rFonts w:cs="Arial"/>
        </w:rPr>
        <w:t xml:space="preserve"> and means:</w:t>
      </w:r>
      <w:r w:rsidR="00320DB6">
        <w:rPr>
          <w:rFonts w:cs="Arial"/>
        </w:rPr>
        <w:t xml:space="preserve"> </w:t>
      </w:r>
      <w:r w:rsidRPr="00422A64">
        <w:rPr>
          <w:rFonts w:cs="Arial"/>
        </w:rPr>
        <w:t xml:space="preserve">‘A person who is engaging in an activity or business that may </w:t>
      </w:r>
      <w:r w:rsidR="0052158E">
        <w:rPr>
          <w:rFonts w:cs="Arial"/>
        </w:rPr>
        <w:t xml:space="preserve">give </w:t>
      </w:r>
      <w:r w:rsidRPr="00422A64">
        <w:rPr>
          <w:rFonts w:cs="Arial"/>
        </w:rPr>
        <w:t xml:space="preserve">rise to risks of harm to human health or the environment from pollution or waste must minimise those risks, so far as reasonably </w:t>
      </w:r>
      <w:r w:rsidRPr="00422A64">
        <w:t>practicable.’</w:t>
      </w:r>
    </w:p>
    <w:p w14:paraId="6637CC12" w14:textId="1313181E" w:rsidR="00924E83" w:rsidRPr="00320DB6" w:rsidRDefault="00675ED6" w:rsidP="00320DB6">
      <w:pPr>
        <w:pBdr>
          <w:top w:val="single" w:sz="4" w:space="1" w:color="auto"/>
          <w:left w:val="single" w:sz="4" w:space="4" w:color="auto"/>
          <w:bottom w:val="single" w:sz="4" w:space="1" w:color="auto"/>
          <w:right w:val="single" w:sz="4" w:space="4" w:color="auto"/>
        </w:pBdr>
        <w:spacing w:line="259" w:lineRule="auto"/>
        <w:rPr>
          <w:rFonts w:cs="Arial"/>
          <w:lang w:eastAsia="en-AU"/>
        </w:rPr>
      </w:pPr>
      <w:r w:rsidRPr="00422A64">
        <w:t xml:space="preserve">Measures or controls to eliminate or </w:t>
      </w:r>
      <w:r w:rsidR="00674617">
        <w:t>minimise</w:t>
      </w:r>
      <w:r w:rsidRPr="00422A64">
        <w:t xml:space="preserve"> risks are reasonably practicable when they are proportionate to the risks from </w:t>
      </w:r>
      <w:r w:rsidR="00274606">
        <w:t xml:space="preserve">the </w:t>
      </w:r>
      <w:r w:rsidRPr="00422A64">
        <w:t xml:space="preserve">pollution or waste. Further, </w:t>
      </w:r>
      <w:r w:rsidR="00274606">
        <w:t xml:space="preserve">to determine </w:t>
      </w:r>
      <w:r w:rsidRPr="00422A64">
        <w:t>whether measures or controls are reasonably practicable</w:t>
      </w:r>
      <w:r w:rsidR="00274606">
        <w:t>,</w:t>
      </w:r>
      <w:r w:rsidRPr="00422A64">
        <w:t xml:space="preserve"> consider what a person engaging in an activity knows, or ought reasonably to know, about the </w:t>
      </w:r>
      <w:r w:rsidR="009159FD">
        <w:t xml:space="preserve">harm or </w:t>
      </w:r>
      <w:r w:rsidRPr="00422A64">
        <w:t>risks</w:t>
      </w:r>
      <w:r w:rsidR="009159FD">
        <w:t xml:space="preserve"> of harm to human health and the environment</w:t>
      </w:r>
      <w:r w:rsidRPr="00422A64">
        <w:t xml:space="preserve"> and </w:t>
      </w:r>
      <w:r w:rsidR="00464335">
        <w:t xml:space="preserve">the controls for </w:t>
      </w:r>
      <w:r w:rsidRPr="00422A64">
        <w:t xml:space="preserve">eliminating or reducing </w:t>
      </w:r>
      <w:r w:rsidR="00464335">
        <w:t>them</w:t>
      </w:r>
      <w:r w:rsidRPr="00422A64">
        <w:t xml:space="preserve">. This is called </w:t>
      </w:r>
      <w:r w:rsidRPr="00422A64">
        <w:rPr>
          <w:rFonts w:ascii="Times New Roman" w:hAnsi="Times New Roman"/>
        </w:rPr>
        <w:t>‛</w:t>
      </w:r>
      <w:r w:rsidRPr="00422A64">
        <w:t>state of knowledge</w:t>
      </w:r>
      <w:r w:rsidRPr="00422A64">
        <w:rPr>
          <w:rFonts w:cs="Arial"/>
        </w:rPr>
        <w:t>’</w:t>
      </w:r>
      <w:r w:rsidRPr="00422A64">
        <w:t xml:space="preserve">. </w:t>
      </w:r>
      <w:r w:rsidRPr="00422A64">
        <w:rPr>
          <w:rFonts w:cs="Arial"/>
          <w:lang w:eastAsia="en-AU"/>
        </w:rPr>
        <w:t xml:space="preserve">More information about the general environmental duty and state of knowledge can be found in </w:t>
      </w:r>
      <w:r w:rsidRPr="00422A64">
        <w:rPr>
          <w:rFonts w:cs="Arial"/>
          <w:i/>
          <w:iCs/>
        </w:rPr>
        <w:t>Industry guidance: supporting you to comply with the general environmental duty</w:t>
      </w:r>
      <w:r w:rsidRPr="00422A64">
        <w:rPr>
          <w:rFonts w:cs="Arial"/>
        </w:rPr>
        <w:t xml:space="preserve"> (</w:t>
      </w:r>
      <w:r w:rsidR="00260DC7">
        <w:rPr>
          <w:rFonts w:cs="Arial"/>
        </w:rPr>
        <w:t>EPA publication</w:t>
      </w:r>
      <w:r w:rsidRPr="00422A64">
        <w:rPr>
          <w:rFonts w:cs="Arial"/>
        </w:rPr>
        <w:t xml:space="preserve"> 1741.1).</w:t>
      </w:r>
      <w:r w:rsidRPr="00422A64">
        <w:t xml:space="preserve"> More information about </w:t>
      </w:r>
      <w:r w:rsidR="00274606">
        <w:t>‘</w:t>
      </w:r>
      <w:r w:rsidRPr="00422A64">
        <w:t>reasonably practicable</w:t>
      </w:r>
      <w:r w:rsidR="00274606">
        <w:t>’</w:t>
      </w:r>
      <w:r w:rsidRPr="00422A64">
        <w:t xml:space="preserve"> </w:t>
      </w:r>
      <w:r w:rsidRPr="00422A64">
        <w:rPr>
          <w:rFonts w:cs="Arial"/>
          <w:lang w:eastAsia="en-AU"/>
        </w:rPr>
        <w:t xml:space="preserve">can be found in </w:t>
      </w:r>
      <w:r w:rsidRPr="00422A64">
        <w:rPr>
          <w:rFonts w:cs="Arial"/>
          <w:i/>
          <w:iCs/>
          <w:lang w:eastAsia="en-AU"/>
        </w:rPr>
        <w:t xml:space="preserve">Reasonably </w:t>
      </w:r>
      <w:r w:rsidR="007C55C6">
        <w:rPr>
          <w:rFonts w:cs="Arial"/>
          <w:i/>
          <w:iCs/>
          <w:lang w:eastAsia="en-AU"/>
        </w:rPr>
        <w:t>p</w:t>
      </w:r>
      <w:r w:rsidRPr="00422A64">
        <w:rPr>
          <w:rFonts w:cs="Arial"/>
          <w:i/>
          <w:iCs/>
          <w:lang w:eastAsia="en-AU"/>
        </w:rPr>
        <w:t>racticable</w:t>
      </w:r>
      <w:r w:rsidRPr="00422A64">
        <w:rPr>
          <w:rFonts w:cs="Arial"/>
          <w:lang w:eastAsia="en-AU"/>
        </w:rPr>
        <w:t xml:space="preserve"> (</w:t>
      </w:r>
      <w:r w:rsidR="00260DC7">
        <w:rPr>
          <w:rFonts w:cs="Arial"/>
          <w:lang w:eastAsia="en-AU"/>
        </w:rPr>
        <w:t>EPA publication</w:t>
      </w:r>
      <w:r w:rsidRPr="00422A64">
        <w:rPr>
          <w:rFonts w:cs="Arial"/>
          <w:lang w:eastAsia="en-AU"/>
        </w:rPr>
        <w:t xml:space="preserve"> 1856).</w:t>
      </w:r>
    </w:p>
    <w:p w14:paraId="2326E746" w14:textId="60A99EA3" w:rsidR="00675ED6" w:rsidRDefault="00675ED6" w:rsidP="002D070A">
      <w:pPr>
        <w:pStyle w:val="Heading1"/>
      </w:pPr>
      <w:bookmarkStart w:id="15" w:name="_Toc133938128"/>
      <w:r>
        <w:lastRenderedPageBreak/>
        <w:t>Risk assessment</w:t>
      </w:r>
      <w:bookmarkEnd w:id="15"/>
    </w:p>
    <w:p w14:paraId="26832EF0" w14:textId="03875347" w:rsidR="00675ED6" w:rsidRDefault="00675ED6" w:rsidP="002D070A">
      <w:pPr>
        <w:pStyle w:val="Heading2"/>
      </w:pPr>
      <w:bookmarkStart w:id="16" w:name="_Toc133938129"/>
      <w:r>
        <w:t>What is risk assessment?</w:t>
      </w:r>
      <w:bookmarkEnd w:id="16"/>
    </w:p>
    <w:p w14:paraId="5ED8011C" w14:textId="5E90F0AB" w:rsidR="00892F99" w:rsidRPr="005C6918" w:rsidRDefault="00675ED6" w:rsidP="00675ED6">
      <w:pPr>
        <w:rPr>
          <w:lang w:val="en-US"/>
        </w:rPr>
      </w:pPr>
      <w:r w:rsidRPr="00973C94">
        <w:rPr>
          <w:lang w:val="en-US"/>
        </w:rPr>
        <w:t>Risk assessment is the formal process of evaluating and understanding risk</w:t>
      </w:r>
      <w:r w:rsidR="008F156B">
        <w:rPr>
          <w:lang w:val="en-US"/>
        </w:rPr>
        <w:t>,</w:t>
      </w:r>
      <w:r w:rsidRPr="00973C94">
        <w:rPr>
          <w:lang w:val="en-US"/>
        </w:rPr>
        <w:t xml:space="preserve"> based on its likelihood and consequences</w:t>
      </w:r>
      <w:r w:rsidRPr="00AF40AE">
        <w:rPr>
          <w:lang w:val="en-US"/>
        </w:rPr>
        <w:t xml:space="preserve">. </w:t>
      </w:r>
      <w:r w:rsidR="00AF40AE" w:rsidRPr="00AF40AE">
        <w:rPr>
          <w:lang w:val="en-US"/>
        </w:rPr>
        <w:t>Likelihood is the probability or chance that the hazard will cause harm</w:t>
      </w:r>
      <w:r w:rsidR="00184FD9">
        <w:rPr>
          <w:lang w:val="en-US"/>
        </w:rPr>
        <w:t xml:space="preserve"> (see box: </w:t>
      </w:r>
      <w:r w:rsidR="00184FD9" w:rsidRPr="005A32CB">
        <w:rPr>
          <w:b/>
          <w:bCs/>
          <w:i/>
          <w:iCs/>
          <w:lang w:val="en-US"/>
        </w:rPr>
        <w:t>Harm</w:t>
      </w:r>
      <w:r w:rsidR="00184FD9">
        <w:rPr>
          <w:lang w:val="en-US"/>
        </w:rPr>
        <w:t>)</w:t>
      </w:r>
      <w:r w:rsidR="00AF40AE" w:rsidRPr="00AF40AE">
        <w:rPr>
          <w:lang w:val="en-US"/>
        </w:rPr>
        <w:t>. Consequence is the level of harm or severity of impact that a hazard can cause.</w:t>
      </w:r>
    </w:p>
    <w:p w14:paraId="2E031C77" w14:textId="77777777" w:rsidR="00AF40AE" w:rsidRPr="00AF40AE" w:rsidRDefault="00AF40AE" w:rsidP="00AF40AE">
      <w:pPr>
        <w:pBdr>
          <w:top w:val="single" w:sz="4" w:space="1" w:color="auto"/>
          <w:left w:val="single" w:sz="4" w:space="4" w:color="auto"/>
          <w:bottom w:val="single" w:sz="4" w:space="1" w:color="auto"/>
          <w:right w:val="single" w:sz="4" w:space="4" w:color="auto"/>
        </w:pBdr>
        <w:rPr>
          <w:b/>
          <w:bCs/>
          <w:lang w:val="en-US"/>
        </w:rPr>
      </w:pPr>
      <w:r w:rsidRPr="00AF40AE">
        <w:rPr>
          <w:b/>
          <w:bCs/>
          <w:lang w:val="en-US"/>
        </w:rPr>
        <w:t>Harm</w:t>
      </w:r>
    </w:p>
    <w:p w14:paraId="2AC082B5" w14:textId="3EA9B2B0" w:rsidR="00892F99" w:rsidRPr="00320DB6" w:rsidRDefault="00AF40AE" w:rsidP="00320DB6">
      <w:pPr>
        <w:pBdr>
          <w:top w:val="single" w:sz="4" w:space="1" w:color="auto"/>
          <w:left w:val="single" w:sz="4" w:space="4" w:color="auto"/>
          <w:bottom w:val="single" w:sz="4" w:space="1" w:color="auto"/>
          <w:right w:val="single" w:sz="4" w:space="4" w:color="auto"/>
        </w:pBdr>
        <w:rPr>
          <w:lang w:val="en-US"/>
        </w:rPr>
      </w:pPr>
      <w:r w:rsidRPr="00AF40AE">
        <w:rPr>
          <w:lang w:val="en-US"/>
        </w:rPr>
        <w:t xml:space="preserve">Harm is defined in section 4 of the </w:t>
      </w:r>
      <w:r w:rsidRPr="00AF40AE">
        <w:rPr>
          <w:rFonts w:cs="Arial"/>
          <w:i/>
          <w:iCs/>
        </w:rPr>
        <w:t>Environment Protection Act 2017</w:t>
      </w:r>
      <w:r w:rsidRPr="00AF40AE">
        <w:rPr>
          <w:rFonts w:cs="Arial"/>
        </w:rPr>
        <w:t xml:space="preserve"> </w:t>
      </w:r>
      <w:r w:rsidRPr="00AF40AE">
        <w:rPr>
          <w:lang w:val="en-US"/>
        </w:rPr>
        <w:t>as “…an adverse effect to human health or the environment (of whatever degree or duration)…” Section 4 determines that</w:t>
      </w:r>
      <w:r w:rsidR="00AD0C33" w:rsidRPr="00AF40AE">
        <w:rPr>
          <w:lang w:val="en-US"/>
        </w:rPr>
        <w:t xml:space="preserve"> </w:t>
      </w:r>
      <w:r w:rsidR="0084216A" w:rsidRPr="00F35DEA">
        <w:rPr>
          <w:lang w:val="en-US"/>
        </w:rPr>
        <w:t>“..</w:t>
      </w:r>
      <w:r w:rsidR="0084216A" w:rsidRPr="00F35DEA">
        <w:t xml:space="preserve">harm may arise as a result of the </w:t>
      </w:r>
      <w:r w:rsidR="0084216A" w:rsidRPr="00F35DEA">
        <w:rPr>
          <w:b/>
          <w:bCs/>
        </w:rPr>
        <w:t>cumulative effect of harm</w:t>
      </w:r>
      <w:r w:rsidR="0084216A" w:rsidRPr="00F35DEA">
        <w:t xml:space="preserve"> arising from an activity combined with harm arising from other activities or factors.” The concept of cumulative effect of harm is important</w:t>
      </w:r>
      <w:r w:rsidR="0084216A">
        <w:t xml:space="preserve"> </w:t>
      </w:r>
      <w:r w:rsidR="0084216A" w:rsidRPr="00F35DEA">
        <w:t xml:space="preserve">when </w:t>
      </w:r>
      <w:r w:rsidR="0084216A" w:rsidRPr="00F35DEA">
        <w:rPr>
          <w:rFonts w:cs="Arial"/>
          <w:lang w:val="en-US"/>
        </w:rPr>
        <w:t>surface waters have a history of previous impacts and/or the potential for present or future impacts from multiple activities/industries in the catchment.</w:t>
      </w:r>
    </w:p>
    <w:p w14:paraId="0C6E2676" w14:textId="37AD298D" w:rsidR="00BE66FA" w:rsidRDefault="5B21C362" w:rsidP="001926A7">
      <w:pPr>
        <w:spacing w:line="259" w:lineRule="auto"/>
        <w:rPr>
          <w:color w:val="000000"/>
          <w:lang w:val="en-US"/>
        </w:rPr>
      </w:pPr>
      <w:r w:rsidRPr="00973C94">
        <w:t xml:space="preserve">Environmental </w:t>
      </w:r>
      <w:r>
        <w:t xml:space="preserve">and human health </w:t>
      </w:r>
      <w:r w:rsidRPr="00973C94">
        <w:t>risk assessment</w:t>
      </w:r>
      <w:r w:rsidRPr="00973C94">
        <w:rPr>
          <w:color w:val="000000"/>
          <w:lang w:val="en-US"/>
        </w:rPr>
        <w:t xml:space="preserve"> </w:t>
      </w:r>
      <w:r w:rsidRPr="00973C94">
        <w:t>evaluates</w:t>
      </w:r>
      <w:r w:rsidRPr="00973C94">
        <w:rPr>
          <w:color w:val="000000"/>
          <w:lang w:val="en-US"/>
        </w:rPr>
        <w:t xml:space="preserve"> the interactions between environmental values </w:t>
      </w:r>
      <w:r>
        <w:rPr>
          <w:color w:val="000000"/>
          <w:lang w:val="en-US"/>
        </w:rPr>
        <w:t xml:space="preserve">(as described in the ERS, but not limited to them) </w:t>
      </w:r>
      <w:r w:rsidRPr="00973C94">
        <w:rPr>
          <w:color w:val="000000"/>
          <w:lang w:val="en-US"/>
        </w:rPr>
        <w:t xml:space="preserve">and the </w:t>
      </w:r>
      <w:r w:rsidR="0F5A01F2">
        <w:rPr>
          <w:color w:val="000000"/>
          <w:lang w:val="en-US"/>
        </w:rPr>
        <w:t>hazard</w:t>
      </w:r>
      <w:r w:rsidRPr="00973C94">
        <w:rPr>
          <w:color w:val="000000"/>
          <w:lang w:val="en-US"/>
        </w:rPr>
        <w:t xml:space="preserve">s </w:t>
      </w:r>
      <w:r w:rsidR="00E97523">
        <w:rPr>
          <w:color w:val="000000"/>
          <w:lang w:val="en-US"/>
        </w:rPr>
        <w:t>that could affect</w:t>
      </w:r>
      <w:r w:rsidR="00E97523" w:rsidRPr="00973C94">
        <w:rPr>
          <w:color w:val="000000"/>
          <w:lang w:val="en-US"/>
        </w:rPr>
        <w:t xml:space="preserve"> </w:t>
      </w:r>
      <w:r w:rsidRPr="00973C94">
        <w:rPr>
          <w:color w:val="000000"/>
          <w:lang w:val="en-US"/>
        </w:rPr>
        <w:t xml:space="preserve">these. </w:t>
      </w:r>
      <w:r w:rsidRPr="00973C94">
        <w:rPr>
          <w:color w:val="000000"/>
          <w:spacing w:val="-2"/>
          <w:lang w:val="en-US"/>
        </w:rPr>
        <w:t xml:space="preserve">This is done in a consistent, clear and structured </w:t>
      </w:r>
      <w:r w:rsidRPr="00973C94">
        <w:rPr>
          <w:color w:val="000000"/>
          <w:lang w:val="en-US"/>
        </w:rPr>
        <w:t>way using a risk assessment framework (</w:t>
      </w:r>
      <w:r w:rsidR="00F209A5">
        <w:rPr>
          <w:color w:val="000000"/>
          <w:lang w:val="en-US"/>
        </w:rPr>
        <w:fldChar w:fldCharType="begin"/>
      </w:r>
      <w:r w:rsidR="00F209A5">
        <w:rPr>
          <w:color w:val="000000"/>
          <w:lang w:val="en-US"/>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973C94">
        <w:rPr>
          <w:color w:val="000000"/>
          <w:lang w:val="en-US"/>
        </w:rPr>
        <w:t xml:space="preserve">). </w:t>
      </w:r>
      <w:r w:rsidRPr="00973C94">
        <w:t xml:space="preserve">This framework is based on nationally and internationally accepted risk assessment frameworks (US EPA, 1998; </w:t>
      </w:r>
      <w:r w:rsidRPr="00973C94">
        <w:rPr>
          <w:spacing w:val="-2"/>
        </w:rPr>
        <w:t xml:space="preserve">US EPA, 2001; Hart et al., 2005; Burgman, 2005; Suter, 2006; Fox and Burgman, 2008; </w:t>
      </w:r>
      <w:r w:rsidRPr="00973C94">
        <w:t>enHealth, 2012</w:t>
      </w:r>
      <w:r w:rsidR="00E97523">
        <w:t>; and</w:t>
      </w:r>
      <w:r w:rsidR="00E97523" w:rsidRPr="00973C94">
        <w:t xml:space="preserve"> </w:t>
      </w:r>
      <w:r w:rsidRPr="00973C94">
        <w:rPr>
          <w:spacing w:val="-2"/>
        </w:rPr>
        <w:t xml:space="preserve">ANZG, available at </w:t>
      </w:r>
      <w:hyperlink r:id="rId30" w:history="1">
        <w:r w:rsidRPr="00973C94">
          <w:rPr>
            <w:rStyle w:val="Hyperlink"/>
            <w:spacing w:val="-2"/>
          </w:rPr>
          <w:t>www.waterquality.gov.au/anz-guidelines</w:t>
        </w:r>
      </w:hyperlink>
      <w:r w:rsidRPr="00973C94">
        <w:rPr>
          <w:spacing w:val="-2"/>
        </w:rPr>
        <w:t xml:space="preserve">). It </w:t>
      </w:r>
      <w:r w:rsidRPr="00973C94">
        <w:rPr>
          <w:color w:val="000000"/>
          <w:lang w:val="en-US"/>
        </w:rPr>
        <w:t xml:space="preserve">ensures all potential risks can be clearly identified and appropriately assessed, and </w:t>
      </w:r>
      <w:r w:rsidR="1A902ABE" w:rsidRPr="00973C94">
        <w:rPr>
          <w:color w:val="000000"/>
          <w:lang w:val="en-US"/>
        </w:rPr>
        <w:t>facilitates</w:t>
      </w:r>
      <w:r w:rsidRPr="00973C94">
        <w:rPr>
          <w:color w:val="000000"/>
          <w:lang w:val="en-US"/>
        </w:rPr>
        <w:t xml:space="preserve"> the required interactions between technical experts, risk managers and interested stakeholders.</w:t>
      </w:r>
    </w:p>
    <w:p w14:paraId="145CD58E" w14:textId="77777777" w:rsidR="00FA13E2" w:rsidRDefault="00FA13E2" w:rsidP="001926A7">
      <w:pPr>
        <w:spacing w:line="259" w:lineRule="auto"/>
        <w:rPr>
          <w:color w:val="000000"/>
          <w:lang w:val="en-US"/>
        </w:rPr>
      </w:pPr>
    </w:p>
    <w:p w14:paraId="0AA4A580" w14:textId="77777777" w:rsidR="004974A7" w:rsidRDefault="004974A7" w:rsidP="004974A7">
      <w:pPr>
        <w:keepNext/>
        <w:spacing w:line="259" w:lineRule="auto"/>
      </w:pPr>
      <w:r>
        <w:rPr>
          <w:rFonts w:cs="Interstate-Regular"/>
          <w:bCs/>
          <w:noProof/>
          <w:color w:val="000000"/>
          <w:lang w:val="en-US" w:eastAsia="ja-JP"/>
        </w:rPr>
        <w:lastRenderedPageBreak/>
        <w:drawing>
          <wp:inline distT="0" distB="0" distL="0" distR="0" wp14:anchorId="00B58950" wp14:editId="16DFDFC3">
            <wp:extent cx="6370311" cy="5663045"/>
            <wp:effectExtent l="0" t="0" r="571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8935" cy="5679601"/>
                    </a:xfrm>
                    <a:prstGeom prst="rect">
                      <a:avLst/>
                    </a:prstGeom>
                    <a:noFill/>
                  </pic:spPr>
                </pic:pic>
              </a:graphicData>
            </a:graphic>
          </wp:inline>
        </w:drawing>
      </w:r>
    </w:p>
    <w:p w14:paraId="68036ABC" w14:textId="1BA5F9DE" w:rsidR="004974A7" w:rsidRPr="004974A7" w:rsidRDefault="00D07706" w:rsidP="00D07706">
      <w:pPr>
        <w:pStyle w:val="Caption"/>
      </w:pPr>
      <w:bookmarkStart w:id="17" w:name="_Ref132749224"/>
      <w:bookmarkStart w:id="18" w:name="_Toc132750478"/>
      <w:r>
        <w:t xml:space="preserve">Figure </w:t>
      </w:r>
      <w:fldSimple w:instr=" SEQ Figure \* ARABIC ">
        <w:r w:rsidR="00FD64B0">
          <w:rPr>
            <w:noProof/>
          </w:rPr>
          <w:t>1</w:t>
        </w:r>
      </w:fldSimple>
      <w:bookmarkEnd w:id="17"/>
      <w:r w:rsidRPr="004974A7">
        <w:t xml:space="preserve"> – Environmental and human health risk assessment framework for wastewater discharges to surface waters</w:t>
      </w:r>
      <w:bookmarkEnd w:id="18"/>
    </w:p>
    <w:p w14:paraId="14AA8B9F" w14:textId="77777777" w:rsidR="00FA13E2" w:rsidRDefault="00FA13E2" w:rsidP="00FA13E2">
      <w:pPr>
        <w:keepNext/>
        <w:keepLines/>
        <w:rPr>
          <w:lang w:val="en-US" w:eastAsia="ja-JP"/>
        </w:rPr>
      </w:pPr>
    </w:p>
    <w:p w14:paraId="2A799AA3" w14:textId="0D47C057" w:rsidR="00675ED6" w:rsidRPr="00973C94" w:rsidRDefault="00675ED6" w:rsidP="00FA13E2">
      <w:pPr>
        <w:keepNext/>
        <w:keepLines/>
        <w:rPr>
          <w:lang w:val="en-US" w:eastAsia="ja-JP"/>
        </w:rPr>
      </w:pPr>
      <w:r w:rsidRPr="00973C94">
        <w:rPr>
          <w:lang w:val="en-US" w:eastAsia="ja-JP"/>
        </w:rPr>
        <w:t xml:space="preserve">The outcomes of an environmental </w:t>
      </w:r>
      <w:r>
        <w:rPr>
          <w:lang w:val="en-US" w:eastAsia="ja-JP"/>
        </w:rPr>
        <w:t xml:space="preserve">and human health </w:t>
      </w:r>
      <w:r w:rsidRPr="00973C94">
        <w:rPr>
          <w:lang w:val="en-US" w:eastAsia="ja-JP"/>
        </w:rPr>
        <w:t>risk assessment are:</w:t>
      </w:r>
    </w:p>
    <w:p w14:paraId="162E1ED5" w14:textId="173534FD" w:rsidR="00675ED6" w:rsidRPr="00973C94" w:rsidRDefault="00675ED6" w:rsidP="00FA13E2">
      <w:pPr>
        <w:pStyle w:val="ListBullet"/>
        <w:keepNext/>
        <w:keepLines/>
        <w:spacing w:line="240" w:lineRule="auto"/>
        <w:rPr>
          <w:lang w:eastAsia="ja-JP"/>
        </w:rPr>
      </w:pPr>
      <w:r w:rsidRPr="00973C94">
        <w:rPr>
          <w:lang w:eastAsia="ja-JP"/>
        </w:rPr>
        <w:t xml:space="preserve">an estimation of the likelihood of environmental values </w:t>
      </w:r>
      <w:r w:rsidR="00387BC9">
        <w:rPr>
          <w:lang w:eastAsia="ja-JP"/>
        </w:rPr>
        <w:t xml:space="preserve">being </w:t>
      </w:r>
      <w:r w:rsidRPr="00973C94">
        <w:rPr>
          <w:lang w:eastAsia="ja-JP"/>
        </w:rPr>
        <w:t>impacted, the magnitude of the impact</w:t>
      </w:r>
      <w:r w:rsidR="00387BC9">
        <w:rPr>
          <w:lang w:eastAsia="ja-JP"/>
        </w:rPr>
        <w:t>,</w:t>
      </w:r>
      <w:r w:rsidRPr="00973C94">
        <w:rPr>
          <w:lang w:eastAsia="ja-JP"/>
        </w:rPr>
        <w:t xml:space="preserve"> and how the impact changes given alternative scenarios</w:t>
      </w:r>
    </w:p>
    <w:p w14:paraId="02618D07" w14:textId="3D7F0C07" w:rsidR="00675ED6" w:rsidRPr="00973C94" w:rsidRDefault="00675ED6" w:rsidP="00FA13E2">
      <w:pPr>
        <w:pStyle w:val="ListBullet"/>
        <w:keepNext/>
        <w:keepLines/>
        <w:spacing w:line="240" w:lineRule="auto"/>
        <w:rPr>
          <w:lang w:eastAsia="ja-JP"/>
        </w:rPr>
      </w:pPr>
      <w:r w:rsidRPr="00973C94">
        <w:rPr>
          <w:lang w:eastAsia="ja-JP"/>
        </w:rPr>
        <w:t xml:space="preserve">the </w:t>
      </w:r>
      <w:r w:rsidR="008570EE">
        <w:rPr>
          <w:lang w:eastAsia="ja-JP"/>
        </w:rPr>
        <w:t xml:space="preserve">determination of the </w:t>
      </w:r>
      <w:r w:rsidRPr="00973C94">
        <w:rPr>
          <w:lang w:eastAsia="ja-JP"/>
        </w:rPr>
        <w:t>probability of contracting a specific infection or illness (in the case of a microbial risk assessment) or risk of human exposures exceeding a health-based guideline value (in the case of a chemical risk assessment)</w:t>
      </w:r>
    </w:p>
    <w:p w14:paraId="736BE922" w14:textId="26650BD7" w:rsidR="00675ED6" w:rsidRPr="00973C94" w:rsidRDefault="00675ED6" w:rsidP="006F1C84">
      <w:pPr>
        <w:pStyle w:val="ListBullet"/>
        <w:rPr>
          <w:lang w:eastAsia="ja-JP"/>
        </w:rPr>
      </w:pPr>
      <w:r w:rsidRPr="00973C94">
        <w:rPr>
          <w:lang w:eastAsia="ja-JP"/>
        </w:rPr>
        <w:t>detailed information and tools that help to better understand how systems work</w:t>
      </w:r>
    </w:p>
    <w:p w14:paraId="0DDBA1E9" w14:textId="70D5174D" w:rsidR="00675ED6" w:rsidRPr="00973C94" w:rsidRDefault="00675ED6" w:rsidP="006F1C84">
      <w:pPr>
        <w:pStyle w:val="ListBullet"/>
        <w:rPr>
          <w:lang w:eastAsia="ja-JP"/>
        </w:rPr>
      </w:pPr>
      <w:r w:rsidRPr="00973C94">
        <w:rPr>
          <w:lang w:eastAsia="ja-JP"/>
        </w:rPr>
        <w:t>targeted management actions and monitoring programs.</w:t>
      </w:r>
    </w:p>
    <w:p w14:paraId="3DDF290F" w14:textId="08964C73" w:rsidR="00675ED6" w:rsidRDefault="00675ED6" w:rsidP="005A6B47">
      <w:r w:rsidRPr="00973C94">
        <w:lastRenderedPageBreak/>
        <w:t>EPA has developed comprehensive guidance for microbial human health risk assessment of wastewater discharges. This guidance, available in</w:t>
      </w:r>
      <w:r w:rsidR="00C63D61">
        <w:t xml:space="preserve"> </w:t>
      </w:r>
      <w:r w:rsidR="004F1D8F">
        <w:rPr>
          <w:rFonts w:asciiTheme="majorHAnsi" w:hAnsiTheme="majorHAnsi"/>
        </w:rPr>
        <w:t>Appendix C</w:t>
      </w:r>
      <w:r w:rsidRPr="00973C94">
        <w:t>, should be used when developing a risk assessment for wastewater discharges. Where wastewater discharges include chemical contamination (such as industry waste discharge), enHealth (2012) provides guidance on undertaking a human health risk assessment.</w:t>
      </w:r>
    </w:p>
    <w:p w14:paraId="3536EDE1" w14:textId="335F022D" w:rsidR="00675ED6" w:rsidRDefault="00675ED6" w:rsidP="002D070A">
      <w:pPr>
        <w:pStyle w:val="Heading2"/>
      </w:pPr>
      <w:bookmarkStart w:id="19" w:name="_Ref109901202"/>
      <w:bookmarkStart w:id="20" w:name="_Toc133938130"/>
      <w:r>
        <w:t>Types of risk assessment</w:t>
      </w:r>
      <w:bookmarkEnd w:id="19"/>
      <w:bookmarkEnd w:id="20"/>
    </w:p>
    <w:p w14:paraId="1750AAE1" w14:textId="7B45B3FC" w:rsidR="00675ED6" w:rsidRPr="00F6767A" w:rsidRDefault="00675ED6" w:rsidP="00675ED6">
      <w:pPr>
        <w:rPr>
          <w:rFonts w:cs="Arial"/>
        </w:rPr>
      </w:pPr>
      <w:r w:rsidRPr="00F6767A">
        <w:t xml:space="preserve">Risk assessments span from qualitative through semi-quantitative to fully quantitative. The appropriateness of a particular risk assessment type depends </w:t>
      </w:r>
      <w:r w:rsidR="008570EE">
        <w:t xml:space="preserve">how well it </w:t>
      </w:r>
      <w:r w:rsidRPr="00F6767A">
        <w:t>match</w:t>
      </w:r>
      <w:r w:rsidR="008570EE">
        <w:t>es</w:t>
      </w:r>
      <w:r w:rsidRPr="00F6767A">
        <w:t xml:space="preserve"> its purpose. While the three types of environmental risk assessment are described as strict categories, any risk assessment might include elements</w:t>
      </w:r>
      <w:r w:rsidR="00465074">
        <w:t xml:space="preserve"> </w:t>
      </w:r>
      <w:r w:rsidRPr="00F6767A">
        <w:t>of these approaches</w:t>
      </w:r>
      <w:r w:rsidRPr="00F6767A">
        <w:rPr>
          <w:rFonts w:cs="Arial"/>
        </w:rPr>
        <w:t>:</w:t>
      </w:r>
    </w:p>
    <w:p w14:paraId="0CB840EC" w14:textId="1D90EC4B" w:rsidR="00675ED6" w:rsidRPr="00F6767A" w:rsidRDefault="00675ED6" w:rsidP="00675ED6">
      <w:pPr>
        <w:rPr>
          <w:rFonts w:cs="Arial"/>
        </w:rPr>
      </w:pPr>
      <w:r w:rsidRPr="00F6767A">
        <w:rPr>
          <w:rFonts w:cs="Arial"/>
          <w:b/>
          <w:bCs/>
        </w:rPr>
        <w:t>Qualitative</w:t>
      </w:r>
      <w:r w:rsidRPr="00F6767A">
        <w:rPr>
          <w:rFonts w:cs="Arial"/>
        </w:rPr>
        <w:t>: q</w:t>
      </w:r>
      <w:r w:rsidRPr="00F6767A">
        <w:rPr>
          <w:rFonts w:cs="Arial"/>
          <w:lang w:eastAsia="en-AU"/>
        </w:rPr>
        <w:t>ualitative risk assessments are commonly used for screening risks to determine</w:t>
      </w:r>
      <w:r>
        <w:rPr>
          <w:rFonts w:cs="Arial"/>
          <w:lang w:eastAsia="en-AU"/>
        </w:rPr>
        <w:t xml:space="preserve"> </w:t>
      </w:r>
      <w:r w:rsidRPr="00F6767A">
        <w:rPr>
          <w:rFonts w:cs="Arial"/>
          <w:lang w:eastAsia="en-AU"/>
        </w:rPr>
        <w:t xml:space="preserve">whether they merit further investigation. It is </w:t>
      </w:r>
      <w:r w:rsidRPr="00F6767A">
        <w:rPr>
          <w:rFonts w:cs="Arial"/>
        </w:rPr>
        <w:t xml:space="preserve">based on subjectivity and the knowledge of the risk assessor/s. </w:t>
      </w:r>
    </w:p>
    <w:p w14:paraId="139F66A5" w14:textId="3DF3D68A" w:rsidR="00675ED6" w:rsidRPr="00F6767A" w:rsidRDefault="00675ED6" w:rsidP="00675ED6">
      <w:pPr>
        <w:rPr>
          <w:rFonts w:cs="Arial"/>
        </w:rPr>
      </w:pPr>
      <w:r w:rsidRPr="00F6767A">
        <w:rPr>
          <w:rFonts w:cs="Arial"/>
          <w:b/>
          <w:bCs/>
        </w:rPr>
        <w:t>Semi-quantitative</w:t>
      </w:r>
      <w:r w:rsidRPr="00F6767A">
        <w:rPr>
          <w:rFonts w:cs="Arial"/>
        </w:rPr>
        <w:t xml:space="preserve">: an intermediate level between qualitative and quantitative risk assessments. </w:t>
      </w:r>
    </w:p>
    <w:p w14:paraId="6531714D" w14:textId="25B8EEB5" w:rsidR="00675ED6" w:rsidRPr="00F6767A" w:rsidRDefault="00675ED6" w:rsidP="00675ED6">
      <w:pPr>
        <w:rPr>
          <w:rFonts w:cs="Arial"/>
        </w:rPr>
      </w:pPr>
      <w:r w:rsidRPr="00F6767A">
        <w:rPr>
          <w:rFonts w:cs="Arial"/>
          <w:b/>
          <w:bCs/>
        </w:rPr>
        <w:t>Quantitative</w:t>
      </w:r>
      <w:r w:rsidRPr="00F6767A">
        <w:rPr>
          <w:rFonts w:cs="Arial"/>
        </w:rPr>
        <w:t>: quantitative</w:t>
      </w:r>
      <w:r w:rsidRPr="00F6767A">
        <w:rPr>
          <w:rFonts w:cs="Arial"/>
          <w:lang w:eastAsia="en-AU"/>
        </w:rPr>
        <w:t xml:space="preserve"> risk assessments are</w:t>
      </w:r>
      <w:r w:rsidRPr="00F6767A">
        <w:rPr>
          <w:rFonts w:cs="Arial"/>
        </w:rPr>
        <w:t xml:space="preserve"> based on extensive data</w:t>
      </w:r>
      <w:r w:rsidR="00556493">
        <w:rPr>
          <w:rFonts w:cs="Arial"/>
        </w:rPr>
        <w:t>,</w:t>
      </w:r>
      <w:r w:rsidR="006C11E4">
        <w:rPr>
          <w:rFonts w:cs="Arial"/>
        </w:rPr>
        <w:t xml:space="preserve"> often including mathematical models</w:t>
      </w:r>
      <w:r w:rsidRPr="00F6767A">
        <w:rPr>
          <w:rFonts w:cs="Arial"/>
        </w:rPr>
        <w:t>.</w:t>
      </w:r>
    </w:p>
    <w:p w14:paraId="34D47B01" w14:textId="190A39CB" w:rsidR="00675ED6" w:rsidRDefault="00675ED6" w:rsidP="00675ED6">
      <w:pPr>
        <w:rPr>
          <w:rFonts w:cs="Arial"/>
          <w:lang w:val="en-US"/>
        </w:rPr>
      </w:pPr>
      <w:r w:rsidRPr="00F6767A">
        <w:rPr>
          <w:rFonts w:cs="Arial"/>
          <w:lang w:val="en-US"/>
        </w:rPr>
        <w:t>The three types of risk assessment differ in how risk is analysed</w:t>
      </w:r>
      <w:r w:rsidR="00465074">
        <w:rPr>
          <w:rFonts w:cs="Arial"/>
          <w:lang w:val="en-US"/>
        </w:rPr>
        <w:t xml:space="preserve"> (the risk analysis phase). See </w:t>
      </w:r>
      <w:r w:rsidR="00160881" w:rsidRPr="00865430">
        <w:rPr>
          <w:rFonts w:cs="Arial"/>
          <w:lang w:val="en-US"/>
        </w:rPr>
        <w:t>s</w:t>
      </w:r>
      <w:r w:rsidR="00697985">
        <w:rPr>
          <w:rFonts w:cs="Arial"/>
          <w:lang w:val="en-US"/>
        </w:rPr>
        <w:t>e</w:t>
      </w:r>
      <w:r w:rsidR="00160881" w:rsidRPr="00865430">
        <w:rPr>
          <w:rFonts w:cs="Arial"/>
          <w:lang w:val="en-US"/>
        </w:rPr>
        <w:t>ction</w:t>
      </w:r>
      <w:r w:rsidR="002972D6" w:rsidRPr="00865430">
        <w:rPr>
          <w:rFonts w:cs="Arial"/>
          <w:lang w:val="en-US"/>
        </w:rPr>
        <w:t xml:space="preserve"> </w:t>
      </w:r>
      <w:r w:rsidR="000E3219" w:rsidRPr="00865430">
        <w:rPr>
          <w:rFonts w:cs="Arial"/>
          <w:i/>
          <w:iCs/>
          <w:lang w:val="en-US"/>
        </w:rPr>
        <w:fldChar w:fldCharType="begin"/>
      </w:r>
      <w:r w:rsidR="000E3219" w:rsidRPr="00865430">
        <w:rPr>
          <w:rFonts w:cs="Arial"/>
          <w:i/>
          <w:iCs/>
          <w:lang w:val="en-US"/>
        </w:rPr>
        <w:instrText xml:space="preserve"> REF _Ref88210367 \w \h </w:instrText>
      </w:r>
      <w:r w:rsidR="0040591C" w:rsidRPr="00865430">
        <w:rPr>
          <w:rFonts w:cs="Arial"/>
          <w:i/>
          <w:iCs/>
          <w:lang w:val="en-US"/>
        </w:rPr>
        <w:instrText xml:space="preserve"> \* MERGEFORMAT </w:instrText>
      </w:r>
      <w:r w:rsidR="000E3219" w:rsidRPr="00865430">
        <w:rPr>
          <w:rFonts w:cs="Arial"/>
          <w:i/>
          <w:iCs/>
          <w:lang w:val="en-US"/>
        </w:rPr>
      </w:r>
      <w:r w:rsidR="000E3219" w:rsidRPr="00865430">
        <w:rPr>
          <w:rFonts w:cs="Arial"/>
          <w:i/>
          <w:iCs/>
          <w:lang w:val="en-US"/>
        </w:rPr>
        <w:fldChar w:fldCharType="separate"/>
      </w:r>
      <w:r w:rsidR="00FD64B0">
        <w:rPr>
          <w:rFonts w:cs="Arial"/>
          <w:i/>
          <w:iCs/>
          <w:lang w:val="en-US"/>
        </w:rPr>
        <w:t>3.2.3</w:t>
      </w:r>
      <w:r w:rsidR="000E3219" w:rsidRPr="00865430">
        <w:rPr>
          <w:rFonts w:cs="Arial"/>
          <w:i/>
          <w:iCs/>
          <w:lang w:val="en-US"/>
        </w:rPr>
        <w:fldChar w:fldCharType="end"/>
      </w:r>
      <w:r w:rsidR="0040591C" w:rsidRPr="00865430">
        <w:rPr>
          <w:rFonts w:cs="Arial"/>
          <w:i/>
          <w:iCs/>
          <w:lang w:val="en-US"/>
        </w:rPr>
        <w:t xml:space="preserve"> </w:t>
      </w:r>
      <w:r w:rsidR="0040591C" w:rsidRPr="00865430">
        <w:rPr>
          <w:rFonts w:cs="Arial"/>
          <w:i/>
          <w:iCs/>
          <w:lang w:val="en-US"/>
        </w:rPr>
        <w:fldChar w:fldCharType="begin"/>
      </w:r>
      <w:r w:rsidR="0040591C" w:rsidRPr="00865430">
        <w:rPr>
          <w:rFonts w:cs="Arial"/>
          <w:i/>
          <w:iCs/>
          <w:lang w:val="en-US"/>
        </w:rPr>
        <w:instrText xml:space="preserve"> REF _Ref88210367 \h  \* MERGEFORMAT </w:instrText>
      </w:r>
      <w:r w:rsidR="0040591C" w:rsidRPr="00865430">
        <w:rPr>
          <w:rFonts w:cs="Arial"/>
          <w:i/>
          <w:iCs/>
          <w:lang w:val="en-US"/>
        </w:rPr>
      </w:r>
      <w:r w:rsidR="0040591C" w:rsidRPr="00865430">
        <w:rPr>
          <w:rFonts w:cs="Arial"/>
          <w:i/>
          <w:iCs/>
          <w:lang w:val="en-US"/>
        </w:rPr>
        <w:fldChar w:fldCharType="separate"/>
      </w:r>
      <w:r w:rsidR="00FD64B0" w:rsidRPr="00FD64B0">
        <w:rPr>
          <w:i/>
          <w:iCs/>
        </w:rPr>
        <w:t>Types of risk analysis</w:t>
      </w:r>
      <w:r w:rsidR="0040591C" w:rsidRPr="00865430">
        <w:rPr>
          <w:rFonts w:cs="Arial"/>
          <w:i/>
          <w:iCs/>
          <w:lang w:val="en-US"/>
        </w:rPr>
        <w:fldChar w:fldCharType="end"/>
      </w:r>
      <w:r w:rsidRPr="00F6767A">
        <w:rPr>
          <w:rFonts w:cs="Arial"/>
          <w:lang w:val="en-US"/>
        </w:rPr>
        <w:t xml:space="preserve">. </w:t>
      </w:r>
    </w:p>
    <w:p w14:paraId="567F9BA5" w14:textId="61512759" w:rsidR="00675ED6" w:rsidRPr="00F6767A" w:rsidRDefault="00675ED6" w:rsidP="00675ED6">
      <w:pPr>
        <w:rPr>
          <w:rFonts w:cs="Arial"/>
          <w:lang w:val="en-US"/>
        </w:rPr>
      </w:pPr>
      <w:r w:rsidRPr="00F6767A">
        <w:rPr>
          <w:rFonts w:cs="Arial"/>
          <w:lang w:val="en-US"/>
        </w:rPr>
        <w:t xml:space="preserve">In making decisions on the </w:t>
      </w:r>
      <w:r w:rsidR="00465074">
        <w:rPr>
          <w:rFonts w:cs="Arial"/>
          <w:lang w:val="en-US"/>
        </w:rPr>
        <w:t xml:space="preserve">type of </w:t>
      </w:r>
      <w:r w:rsidRPr="00F6767A">
        <w:rPr>
          <w:rFonts w:cs="Arial"/>
          <w:lang w:val="en-US"/>
        </w:rPr>
        <w:t xml:space="preserve">risk assessment required, consideration should be given to </w:t>
      </w:r>
      <w:r w:rsidRPr="00F6767A">
        <w:t>(FAO/WHO, 2009)</w:t>
      </w:r>
      <w:r w:rsidRPr="00F6767A">
        <w:rPr>
          <w:rFonts w:cs="Arial"/>
          <w:lang w:val="en-US"/>
        </w:rPr>
        <w:t>:</w:t>
      </w:r>
    </w:p>
    <w:p w14:paraId="7882F150" w14:textId="67766ED8" w:rsidR="00675ED6" w:rsidRPr="006F1C84" w:rsidRDefault="00675ED6" w:rsidP="006F1C84">
      <w:pPr>
        <w:pStyle w:val="ListBullet"/>
      </w:pPr>
      <w:r w:rsidRPr="006F1C84">
        <w:t>environmental values, local and/or regional values and vulnerability</w:t>
      </w:r>
      <w:r w:rsidR="007C55C6" w:rsidRPr="006F1C84">
        <w:t>.</w:t>
      </w:r>
      <w:r w:rsidRPr="006F1C84">
        <w:t xml:space="preserve"> </w:t>
      </w:r>
    </w:p>
    <w:p w14:paraId="52708B3D" w14:textId="45874A08" w:rsidR="00675ED6" w:rsidRPr="006F1C84" w:rsidRDefault="00675ED6" w:rsidP="006F1C84">
      <w:pPr>
        <w:pStyle w:val="ListBullet"/>
      </w:pPr>
      <w:r w:rsidRPr="006F1C84">
        <w:t>potential impacts to environmental values from the discharge</w:t>
      </w:r>
      <w:r w:rsidR="007C55C6" w:rsidRPr="006F1C84">
        <w:t>.</w:t>
      </w:r>
      <w:r w:rsidRPr="006F1C84">
        <w:t xml:space="preserve"> </w:t>
      </w:r>
    </w:p>
    <w:p w14:paraId="429A82B2" w14:textId="77777777" w:rsidR="00675ED6" w:rsidRPr="006F1C84" w:rsidRDefault="00675ED6" w:rsidP="006F1C84">
      <w:pPr>
        <w:pStyle w:val="ListBullet"/>
      </w:pPr>
      <w:r w:rsidRPr="006F1C84">
        <w:t xml:space="preserve">expertise: quantitative risk assessments require mathematical expertise as part of the assessment team. Qualitative risk assessments, on the other hand, may not need much mathematical expertise, but demand considerable judgement to combine evidence in an appropriate and logical manner. </w:t>
      </w:r>
    </w:p>
    <w:p w14:paraId="3C94B0D8" w14:textId="5B824444" w:rsidR="00675ED6" w:rsidRPr="006F1C84" w:rsidRDefault="00675ED6" w:rsidP="006F1C84">
      <w:pPr>
        <w:pStyle w:val="ListBullet"/>
      </w:pPr>
      <w:r w:rsidRPr="006F1C84">
        <w:t xml:space="preserve">mathematical models or data limitations: quantitative risk assessments </w:t>
      </w:r>
      <w:r w:rsidR="00230438" w:rsidRPr="006F1C84">
        <w:t xml:space="preserve">often </w:t>
      </w:r>
      <w:r w:rsidRPr="006F1C84">
        <w:t>rely on the availability of mathematical models to describe phenomena and data to estimate the model parameters. If either the theory or data are lacking, then a qualitative or semi-quantitative risk assessment is more appropriate.</w:t>
      </w:r>
    </w:p>
    <w:p w14:paraId="56817C02" w14:textId="0EC16603" w:rsidR="00675ED6" w:rsidRPr="006F1C84" w:rsidRDefault="00675ED6" w:rsidP="006F1C84">
      <w:pPr>
        <w:pStyle w:val="ListBullet"/>
      </w:pPr>
      <w:r w:rsidRPr="006F1C84">
        <w:t xml:space="preserve">time: qualitative and semi-quantitative risk assessments generally require much less time to generate conclusions compared with quantitative risk assessment. </w:t>
      </w:r>
    </w:p>
    <w:p w14:paraId="407F4BBE" w14:textId="300C4912" w:rsidR="00675ED6" w:rsidRDefault="00F209A5" w:rsidP="00675ED6">
      <w:pPr>
        <w:spacing w:line="259" w:lineRule="auto"/>
        <w:rPr>
          <w:lang w:val="en-US"/>
        </w:rPr>
      </w:pPr>
      <w:r>
        <w:rPr>
          <w:lang w:val="en-US"/>
        </w:rPr>
        <w:fldChar w:fldCharType="begin"/>
      </w:r>
      <w:r>
        <w:rPr>
          <w:lang w:val="en-US"/>
        </w:rPr>
        <w:instrText xml:space="preserve"> REF _Ref132748921 \h </w:instrText>
      </w:r>
      <w:r>
        <w:rPr>
          <w:lang w:val="en-US"/>
        </w:rPr>
      </w:r>
      <w:r>
        <w:rPr>
          <w:lang w:val="en-US"/>
        </w:rPr>
        <w:fldChar w:fldCharType="separate"/>
      </w:r>
      <w:r w:rsidR="00FD64B0">
        <w:t xml:space="preserve">Figure </w:t>
      </w:r>
      <w:r w:rsidR="00FD64B0">
        <w:rPr>
          <w:noProof/>
        </w:rPr>
        <w:t>2</w:t>
      </w:r>
      <w:r>
        <w:rPr>
          <w:lang w:val="en-US"/>
        </w:rPr>
        <w:fldChar w:fldCharType="end"/>
      </w:r>
      <w:r w:rsidR="00424F40">
        <w:rPr>
          <w:lang w:val="en-US"/>
        </w:rPr>
        <w:t xml:space="preserve"> </w:t>
      </w:r>
      <w:r w:rsidR="00D05EAF">
        <w:rPr>
          <w:lang w:val="en-US"/>
        </w:rPr>
        <w:t xml:space="preserve">and </w:t>
      </w:r>
      <w:r>
        <w:rPr>
          <w:lang w:val="en-US"/>
        </w:rPr>
        <w:fldChar w:fldCharType="begin"/>
      </w:r>
      <w:r>
        <w:rPr>
          <w:lang w:val="en-US"/>
        </w:rPr>
        <w:instrText xml:space="preserve"> REF _Ref132748944 \h </w:instrText>
      </w:r>
      <w:r>
        <w:rPr>
          <w:lang w:val="en-US"/>
        </w:rPr>
      </w:r>
      <w:r>
        <w:rPr>
          <w:lang w:val="en-US"/>
        </w:rPr>
        <w:fldChar w:fldCharType="separate"/>
      </w:r>
      <w:r w:rsidR="00FD64B0">
        <w:t xml:space="preserve">Table </w:t>
      </w:r>
      <w:r w:rsidR="00FD64B0">
        <w:rPr>
          <w:noProof/>
        </w:rPr>
        <w:t>1</w:t>
      </w:r>
      <w:r>
        <w:rPr>
          <w:lang w:val="en-US"/>
        </w:rPr>
        <w:fldChar w:fldCharType="end"/>
      </w:r>
      <w:r>
        <w:rPr>
          <w:lang w:val="en-US"/>
        </w:rPr>
        <w:t xml:space="preserve"> </w:t>
      </w:r>
      <w:r w:rsidR="00675ED6" w:rsidRPr="00F6767A">
        <w:rPr>
          <w:lang w:val="en-US"/>
        </w:rPr>
        <w:t>provide guidance on the type of assessment that may be required under different scenarios. It should be noted that the table and figure do not provide an exhaustive list of scenarios</w:t>
      </w:r>
      <w:r w:rsidR="000E6147">
        <w:rPr>
          <w:lang w:val="en-US"/>
        </w:rPr>
        <w:t>,</w:t>
      </w:r>
      <w:r w:rsidR="00675ED6" w:rsidRPr="00F6767A">
        <w:rPr>
          <w:lang w:val="en-US"/>
        </w:rPr>
        <w:t xml:space="preserve"> and other assessment outcomes might also be possible.</w:t>
      </w:r>
    </w:p>
    <w:p w14:paraId="1FAD27BC" w14:textId="77777777" w:rsidR="00184295" w:rsidRDefault="00184295" w:rsidP="00675ED6">
      <w:pPr>
        <w:spacing w:after="0"/>
        <w:rPr>
          <w:lang w:val="en-US"/>
        </w:rPr>
        <w:sectPr w:rsidR="00184295" w:rsidSect="006F1C84">
          <w:headerReference w:type="default" r:id="rId32"/>
          <w:type w:val="continuous"/>
          <w:pgSz w:w="11906" w:h="16838" w:code="9"/>
          <w:pgMar w:top="1038" w:right="743" w:bottom="1321" w:left="987" w:header="737" w:footer="772" w:gutter="0"/>
          <w:cols w:space="720"/>
          <w:docGrid w:linePitch="360"/>
        </w:sectPr>
      </w:pPr>
    </w:p>
    <w:p w14:paraId="16B7CE8D" w14:textId="77777777" w:rsidR="004974A7" w:rsidRDefault="00AB5C7B" w:rsidP="004974A7">
      <w:pPr>
        <w:keepNext/>
      </w:pPr>
      <w:r w:rsidRPr="00AB5C7B">
        <w:lastRenderedPageBreak/>
        <w:t xml:space="preserve"> </w:t>
      </w:r>
      <w:r w:rsidR="004974A7">
        <w:rPr>
          <w:noProof/>
        </w:rPr>
        <w:drawing>
          <wp:inline distT="0" distB="0" distL="0" distR="0" wp14:anchorId="064D24EB" wp14:editId="53B70B5A">
            <wp:extent cx="8393059" cy="5399315"/>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6635" cy="5414482"/>
                    </a:xfrm>
                    <a:prstGeom prst="rect">
                      <a:avLst/>
                    </a:prstGeom>
                    <a:noFill/>
                  </pic:spPr>
                </pic:pic>
              </a:graphicData>
            </a:graphic>
          </wp:inline>
        </w:drawing>
      </w:r>
    </w:p>
    <w:p w14:paraId="6A1AE2A7" w14:textId="345E0928" w:rsidR="00071112" w:rsidRDefault="004974A7" w:rsidP="00820F46">
      <w:pPr>
        <w:pStyle w:val="Caption"/>
        <w:sectPr w:rsidR="00071112" w:rsidSect="00A96658">
          <w:headerReference w:type="even" r:id="rId34"/>
          <w:headerReference w:type="default" r:id="rId35"/>
          <w:footerReference w:type="first" r:id="rId36"/>
          <w:pgSz w:w="16838" w:h="11906" w:orient="landscape" w:code="9"/>
          <w:pgMar w:top="987" w:right="1038" w:bottom="743" w:left="1321" w:header="737" w:footer="856" w:gutter="0"/>
          <w:cols w:space="720"/>
          <w:titlePg/>
          <w:docGrid w:linePitch="360"/>
        </w:sectPr>
      </w:pPr>
      <w:bookmarkStart w:id="21" w:name="_Ref132748921"/>
      <w:bookmarkStart w:id="22" w:name="_Toc132750479"/>
      <w:r>
        <w:t xml:space="preserve">Figure </w:t>
      </w:r>
      <w:fldSimple w:instr=" SEQ Figure \* ARABIC ">
        <w:r w:rsidR="00FD64B0">
          <w:rPr>
            <w:noProof/>
          </w:rPr>
          <w:t>2</w:t>
        </w:r>
      </w:fldSimple>
      <w:bookmarkEnd w:id="21"/>
      <w:r>
        <w:t xml:space="preserve"> – </w:t>
      </w:r>
      <w:r w:rsidRPr="00E942DD">
        <w:t>Considerations when deciding on the type of risk assessment required</w:t>
      </w:r>
      <w:bookmarkEnd w:id="22"/>
    </w:p>
    <w:p w14:paraId="5757C1FC" w14:textId="0E583A00" w:rsidR="004974A7" w:rsidRDefault="004974A7" w:rsidP="004974A7">
      <w:pPr>
        <w:pStyle w:val="Caption"/>
        <w:keepNext/>
      </w:pPr>
      <w:bookmarkStart w:id="23" w:name="_Ref132748944"/>
      <w:r>
        <w:lastRenderedPageBreak/>
        <w:t xml:space="preserve">Table </w:t>
      </w:r>
      <w:fldSimple w:instr=" SEQ Table \* ARABIC ">
        <w:r w:rsidR="00FD64B0">
          <w:rPr>
            <w:noProof/>
          </w:rPr>
          <w:t>1</w:t>
        </w:r>
      </w:fldSimple>
      <w:bookmarkEnd w:id="23"/>
      <w:r>
        <w:t xml:space="preserve"> –</w:t>
      </w:r>
      <w:r w:rsidRPr="00407FD7">
        <w:t>Considerations when deciding on the type of risk assessment required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00"/>
        <w:gridCol w:w="1688"/>
        <w:gridCol w:w="1613"/>
        <w:gridCol w:w="5183"/>
      </w:tblGrid>
      <w:tr w:rsidR="00C31521" w:rsidRPr="007873DE" w14:paraId="4434725C" w14:textId="77777777" w:rsidTr="004974A7">
        <w:trPr>
          <w:cantSplit/>
          <w:tblHeader/>
          <w:jc w:val="center"/>
        </w:trPr>
        <w:tc>
          <w:tcPr>
            <w:tcW w:w="856" w:type="pct"/>
            <w:shd w:val="clear" w:color="auto" w:fill="003F72"/>
            <w:vAlign w:val="center"/>
          </w:tcPr>
          <w:p w14:paraId="0A33D85F" w14:textId="03A310E4" w:rsidR="00C31521" w:rsidRPr="005711AA" w:rsidRDefault="00C31521" w:rsidP="005711AA">
            <w:pPr>
              <w:pStyle w:val="Tabletext0"/>
            </w:pPr>
            <w:r w:rsidRPr="005711AA">
              <w:t>Environmental values and/or vulnerability of the receiving waters</w:t>
            </w:r>
            <w:r w:rsidR="00AB1E9F" w:rsidRPr="005711AA">
              <w:t>*</w:t>
            </w:r>
          </w:p>
        </w:tc>
        <w:tc>
          <w:tcPr>
            <w:tcW w:w="850" w:type="pct"/>
            <w:shd w:val="clear" w:color="auto" w:fill="003F72"/>
            <w:vAlign w:val="center"/>
          </w:tcPr>
          <w:p w14:paraId="02006DD6" w14:textId="5833F16C" w:rsidR="00C31521" w:rsidRPr="005711AA" w:rsidRDefault="00C31521" w:rsidP="005711AA">
            <w:pPr>
              <w:pStyle w:val="Tabletext0"/>
            </w:pPr>
            <w:r w:rsidRPr="005711AA">
              <w:t>Potential impacts of discharge on the receiving waters’ environmental values</w:t>
            </w:r>
            <w:r w:rsidR="0036787B" w:rsidRPr="006C6304">
              <w:rPr>
                <w:vertAlign w:val="superscript"/>
              </w:rPr>
              <w:t>#</w:t>
            </w:r>
          </w:p>
        </w:tc>
        <w:tc>
          <w:tcPr>
            <w:tcW w:w="728" w:type="pct"/>
            <w:shd w:val="clear" w:color="auto" w:fill="003F72"/>
            <w:vAlign w:val="center"/>
          </w:tcPr>
          <w:p w14:paraId="65825C7E" w14:textId="77777777" w:rsidR="00C31521" w:rsidRPr="005711AA" w:rsidRDefault="00C31521" w:rsidP="005711AA">
            <w:pPr>
              <w:pStyle w:val="Tabletext0"/>
            </w:pPr>
            <w:r w:rsidRPr="005711AA">
              <w:t>Knowledge and understanding of receiving waters environmental values, risks, and impacts</w:t>
            </w:r>
          </w:p>
        </w:tc>
        <w:tc>
          <w:tcPr>
            <w:tcW w:w="2566" w:type="pct"/>
            <w:shd w:val="clear" w:color="auto" w:fill="003F72"/>
            <w:vAlign w:val="center"/>
          </w:tcPr>
          <w:p w14:paraId="55233EFE" w14:textId="77777777" w:rsidR="00C31521" w:rsidRPr="005711AA" w:rsidRDefault="00C31521" w:rsidP="005711AA">
            <w:pPr>
              <w:pStyle w:val="Tabletext0"/>
            </w:pPr>
            <w:r w:rsidRPr="005711AA">
              <w:t>What type of assessment should be conducted?</w:t>
            </w:r>
          </w:p>
        </w:tc>
      </w:tr>
      <w:tr w:rsidR="00C31521" w:rsidRPr="007873DE" w14:paraId="202C967B" w14:textId="77777777" w:rsidTr="004974A7">
        <w:trPr>
          <w:cantSplit/>
          <w:jc w:val="center"/>
        </w:trPr>
        <w:tc>
          <w:tcPr>
            <w:tcW w:w="856" w:type="pct"/>
          </w:tcPr>
          <w:p w14:paraId="2B141654" w14:textId="77777777" w:rsidR="00C31521" w:rsidRPr="005711AA" w:rsidRDefault="00C31521" w:rsidP="005711AA">
            <w:pPr>
              <w:pStyle w:val="Tabletext0"/>
            </w:pPr>
            <w:r w:rsidRPr="005711AA">
              <w:t>High</w:t>
            </w:r>
          </w:p>
        </w:tc>
        <w:tc>
          <w:tcPr>
            <w:tcW w:w="850" w:type="pct"/>
          </w:tcPr>
          <w:p w14:paraId="3CA9655D" w14:textId="77777777" w:rsidR="00C31521" w:rsidRPr="005711AA" w:rsidRDefault="00C31521" w:rsidP="005711AA">
            <w:pPr>
              <w:pStyle w:val="Tabletext0"/>
            </w:pPr>
            <w:r w:rsidRPr="005711AA">
              <w:t>Moderate to high</w:t>
            </w:r>
          </w:p>
        </w:tc>
        <w:tc>
          <w:tcPr>
            <w:tcW w:w="728" w:type="pct"/>
          </w:tcPr>
          <w:p w14:paraId="49A27A40" w14:textId="77777777" w:rsidR="00C31521" w:rsidRPr="005711AA" w:rsidRDefault="00C31521" w:rsidP="005711AA">
            <w:pPr>
              <w:pStyle w:val="Tabletext0"/>
            </w:pPr>
            <w:r w:rsidRPr="005711AA">
              <w:t>Substantial</w:t>
            </w:r>
          </w:p>
        </w:tc>
        <w:tc>
          <w:tcPr>
            <w:tcW w:w="2566" w:type="pct"/>
          </w:tcPr>
          <w:p w14:paraId="7938BE71" w14:textId="77777777" w:rsidR="00C31521" w:rsidRPr="005711AA" w:rsidRDefault="00C31521" w:rsidP="005711AA">
            <w:pPr>
              <w:pStyle w:val="Tabletext0"/>
            </w:pPr>
            <w:r w:rsidRPr="005711AA">
              <w:t xml:space="preserve">A qualitative risk assessment should be conducted initially. </w:t>
            </w:r>
          </w:p>
          <w:p w14:paraId="10EEE30C" w14:textId="77777777" w:rsidR="00C31521" w:rsidRPr="005711AA" w:rsidRDefault="00C31521" w:rsidP="005711AA">
            <w:pPr>
              <w:pStyle w:val="Tabletext0"/>
            </w:pPr>
            <w:r w:rsidRPr="005711AA">
              <w:t>Monitoring should be conducted to assess the effectiveness of management actions and whether the prior assumptions of risk are correct.</w:t>
            </w:r>
          </w:p>
          <w:p w14:paraId="37890FB6" w14:textId="77777777" w:rsidR="00C31521" w:rsidRPr="005711AA" w:rsidRDefault="00C31521" w:rsidP="005711AA">
            <w:pPr>
              <w:pStyle w:val="Tabletext0"/>
            </w:pPr>
            <w:r w:rsidRPr="005711AA">
              <w:t>If monitoring shows that management actions are not effective, or the prior assumptions of risk are incorrect, then a further semi-quantitative to quantitative risk assessment should be conducted.</w:t>
            </w:r>
          </w:p>
        </w:tc>
      </w:tr>
      <w:tr w:rsidR="00C31521" w:rsidRPr="00553A5F" w14:paraId="44D8366D" w14:textId="77777777" w:rsidTr="004974A7">
        <w:trPr>
          <w:cantSplit/>
          <w:jc w:val="center"/>
        </w:trPr>
        <w:tc>
          <w:tcPr>
            <w:tcW w:w="856" w:type="pct"/>
          </w:tcPr>
          <w:p w14:paraId="6995AC98" w14:textId="77777777" w:rsidR="00C31521" w:rsidRPr="005711AA" w:rsidRDefault="00C31521" w:rsidP="005711AA">
            <w:pPr>
              <w:pStyle w:val="Tabletext0"/>
            </w:pPr>
            <w:r w:rsidRPr="005711AA">
              <w:t>High</w:t>
            </w:r>
          </w:p>
        </w:tc>
        <w:tc>
          <w:tcPr>
            <w:tcW w:w="850" w:type="pct"/>
          </w:tcPr>
          <w:p w14:paraId="2E0B411A" w14:textId="77777777" w:rsidR="00C31521" w:rsidRPr="005711AA" w:rsidRDefault="00C31521" w:rsidP="005711AA">
            <w:pPr>
              <w:pStyle w:val="Tabletext0"/>
            </w:pPr>
            <w:r w:rsidRPr="005711AA">
              <w:t>Moderate to high</w:t>
            </w:r>
          </w:p>
        </w:tc>
        <w:tc>
          <w:tcPr>
            <w:tcW w:w="728" w:type="pct"/>
          </w:tcPr>
          <w:p w14:paraId="00CD3BEB" w14:textId="77777777" w:rsidR="00C31521" w:rsidRPr="005711AA" w:rsidRDefault="00C31521" w:rsidP="005711AA">
            <w:pPr>
              <w:pStyle w:val="Tabletext0"/>
            </w:pPr>
            <w:r w:rsidRPr="005711AA">
              <w:t>Minimal</w:t>
            </w:r>
          </w:p>
        </w:tc>
        <w:tc>
          <w:tcPr>
            <w:tcW w:w="2566" w:type="pct"/>
          </w:tcPr>
          <w:p w14:paraId="5C80660F" w14:textId="77777777" w:rsidR="00C31521" w:rsidRPr="005711AA" w:rsidRDefault="00C31521" w:rsidP="005711AA">
            <w:pPr>
              <w:pStyle w:val="Tabletext0"/>
            </w:pPr>
            <w:r w:rsidRPr="005711AA">
              <w:t>Semi-quantitative or quantitative risk assessment.</w:t>
            </w:r>
          </w:p>
        </w:tc>
      </w:tr>
      <w:tr w:rsidR="00C31521" w:rsidRPr="007873DE" w14:paraId="7C936684" w14:textId="77777777" w:rsidTr="004974A7">
        <w:trPr>
          <w:cantSplit/>
          <w:jc w:val="center"/>
        </w:trPr>
        <w:tc>
          <w:tcPr>
            <w:tcW w:w="856" w:type="pct"/>
          </w:tcPr>
          <w:p w14:paraId="35ACC4E5" w14:textId="77777777" w:rsidR="00C31521" w:rsidRPr="005711AA" w:rsidRDefault="00C31521" w:rsidP="005711AA">
            <w:pPr>
              <w:pStyle w:val="Tabletext0"/>
            </w:pPr>
            <w:r w:rsidRPr="005711AA">
              <w:t>High</w:t>
            </w:r>
          </w:p>
        </w:tc>
        <w:tc>
          <w:tcPr>
            <w:tcW w:w="850" w:type="pct"/>
          </w:tcPr>
          <w:p w14:paraId="400A621A" w14:textId="77777777" w:rsidR="00C31521" w:rsidRPr="005711AA" w:rsidRDefault="00C31521" w:rsidP="005711AA">
            <w:pPr>
              <w:pStyle w:val="Tabletext0"/>
            </w:pPr>
            <w:r w:rsidRPr="005711AA">
              <w:t>Minor</w:t>
            </w:r>
          </w:p>
        </w:tc>
        <w:tc>
          <w:tcPr>
            <w:tcW w:w="728" w:type="pct"/>
          </w:tcPr>
          <w:p w14:paraId="69626246" w14:textId="77777777" w:rsidR="00C31521" w:rsidRPr="005711AA" w:rsidRDefault="00C31521" w:rsidP="005711AA">
            <w:pPr>
              <w:pStyle w:val="Tabletext0"/>
            </w:pPr>
            <w:r w:rsidRPr="005711AA">
              <w:t>Substantial</w:t>
            </w:r>
          </w:p>
        </w:tc>
        <w:tc>
          <w:tcPr>
            <w:tcW w:w="2566" w:type="pct"/>
          </w:tcPr>
          <w:p w14:paraId="7E6107AB" w14:textId="77777777" w:rsidR="00C31521" w:rsidRPr="005711AA" w:rsidRDefault="00C31521" w:rsidP="005711AA">
            <w:pPr>
              <w:pStyle w:val="Tabletext0"/>
            </w:pPr>
            <w:r w:rsidRPr="005711AA">
              <w:t xml:space="preserve">A qualitative risk assessment should be conducted initially. </w:t>
            </w:r>
          </w:p>
          <w:p w14:paraId="6B702F11" w14:textId="77777777" w:rsidR="00C31521" w:rsidRPr="005711AA" w:rsidRDefault="00C31521" w:rsidP="005711AA">
            <w:pPr>
              <w:pStyle w:val="Tabletext0"/>
            </w:pPr>
            <w:r w:rsidRPr="005711AA">
              <w:t>Monitoring should be conducted to assess whether the prior assumptions of risk are correct.</w:t>
            </w:r>
          </w:p>
          <w:p w14:paraId="49CA9A6F" w14:textId="44BA4DB3" w:rsidR="00C31521" w:rsidRPr="005711AA" w:rsidRDefault="00C31521" w:rsidP="005711AA">
            <w:pPr>
              <w:pStyle w:val="Tabletext0"/>
            </w:pPr>
            <w:r w:rsidRPr="005711AA">
              <w:t>If monitoring shows that the prior assumption of a minor impact to values is incorrect (</w:t>
            </w:r>
            <w:r w:rsidR="00CC4B67" w:rsidRPr="005711AA">
              <w:t xml:space="preserve">that </w:t>
            </w:r>
            <w:r w:rsidRPr="005711AA">
              <w:t xml:space="preserve">is, there is the potential for a </w:t>
            </w:r>
            <w:r w:rsidR="00CC4B67" w:rsidRPr="005711AA">
              <w:t>moderate-to-</w:t>
            </w:r>
            <w:r w:rsidRPr="005711AA">
              <w:t>high impact to values), then a further semi-quantitative to quantitative risk assessment should be conducted.</w:t>
            </w:r>
          </w:p>
        </w:tc>
      </w:tr>
      <w:tr w:rsidR="004322FE" w:rsidRPr="007873DE" w14:paraId="67EEEB13" w14:textId="77777777" w:rsidTr="004974A7">
        <w:trPr>
          <w:cantSplit/>
          <w:jc w:val="center"/>
        </w:trPr>
        <w:tc>
          <w:tcPr>
            <w:tcW w:w="856" w:type="pct"/>
          </w:tcPr>
          <w:p w14:paraId="2A5CFD51" w14:textId="66131CE6" w:rsidR="004322FE" w:rsidRPr="005711AA" w:rsidRDefault="004322FE" w:rsidP="005711AA">
            <w:pPr>
              <w:pStyle w:val="Tabletext0"/>
            </w:pPr>
            <w:r w:rsidRPr="005711AA">
              <w:t>High</w:t>
            </w:r>
          </w:p>
        </w:tc>
        <w:tc>
          <w:tcPr>
            <w:tcW w:w="850" w:type="pct"/>
          </w:tcPr>
          <w:p w14:paraId="4C6ED495" w14:textId="0648A3B0" w:rsidR="004322FE" w:rsidRPr="005711AA" w:rsidRDefault="004322FE" w:rsidP="005711AA">
            <w:pPr>
              <w:pStyle w:val="Tabletext0"/>
            </w:pPr>
            <w:r w:rsidRPr="005711AA">
              <w:t>Minor</w:t>
            </w:r>
          </w:p>
        </w:tc>
        <w:tc>
          <w:tcPr>
            <w:tcW w:w="728" w:type="pct"/>
          </w:tcPr>
          <w:p w14:paraId="52DE2EE5" w14:textId="2BBC3B47" w:rsidR="004322FE" w:rsidRPr="005711AA" w:rsidRDefault="004322FE" w:rsidP="005711AA">
            <w:pPr>
              <w:pStyle w:val="Tabletext0"/>
            </w:pPr>
            <w:r w:rsidRPr="005711AA">
              <w:t>Minimal</w:t>
            </w:r>
          </w:p>
        </w:tc>
        <w:tc>
          <w:tcPr>
            <w:tcW w:w="2566" w:type="pct"/>
          </w:tcPr>
          <w:p w14:paraId="6F3AF04D" w14:textId="77777777" w:rsidR="004322FE" w:rsidRPr="005711AA" w:rsidRDefault="004322FE" w:rsidP="005711AA">
            <w:pPr>
              <w:pStyle w:val="Tabletext0"/>
            </w:pPr>
            <w:r w:rsidRPr="005711AA">
              <w:t>A qualitative risk assessment should be conducted initially.</w:t>
            </w:r>
          </w:p>
          <w:p w14:paraId="4321AE30" w14:textId="77777777" w:rsidR="004322FE" w:rsidRPr="005711AA" w:rsidRDefault="004322FE" w:rsidP="005711AA">
            <w:pPr>
              <w:pStyle w:val="Tabletext0"/>
            </w:pPr>
            <w:r w:rsidRPr="005711AA">
              <w:t>If the qualitative risk assessment indicates the prior assumption of minor impact to values is correct, then monitoring should be conducted to assess whether the impact to values remains minor.</w:t>
            </w:r>
          </w:p>
          <w:p w14:paraId="30B9EE12" w14:textId="7E2436C8" w:rsidR="004322FE" w:rsidRPr="005711AA" w:rsidRDefault="004322FE" w:rsidP="005711AA">
            <w:pPr>
              <w:pStyle w:val="Tabletext0"/>
            </w:pPr>
            <w:r w:rsidRPr="005711AA">
              <w:t>If the qualitative risk assessment, or monitoring, indicates the potential for a moderate to high impact, then a further semi-quantitative to quantitative risk assessment should be conducted.</w:t>
            </w:r>
          </w:p>
        </w:tc>
      </w:tr>
    </w:tbl>
    <w:p w14:paraId="2E5EF4FE" w14:textId="1A43D09F" w:rsidR="00BE2819" w:rsidRDefault="00BE2819" w:rsidP="00BE2819">
      <w:pPr>
        <w:pStyle w:val="Caption"/>
        <w:keepNext/>
      </w:pPr>
      <w:r w:rsidRPr="00E66848">
        <w:lastRenderedPageBreak/>
        <w:t xml:space="preserve">Table </w:t>
      </w:r>
      <w:r>
        <w:t xml:space="preserve">1 </w:t>
      </w:r>
      <w:r w:rsidRPr="00E66848">
        <w:t>– Co</w:t>
      </w:r>
      <w:r>
        <w:t>ntinued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44"/>
        <w:gridCol w:w="1731"/>
        <w:gridCol w:w="1766"/>
        <w:gridCol w:w="4943"/>
      </w:tblGrid>
      <w:tr w:rsidR="00BE2819" w:rsidRPr="005711AA" w14:paraId="6559E865" w14:textId="77777777" w:rsidTr="00341E57">
        <w:trPr>
          <w:cantSplit/>
          <w:tblHeader/>
          <w:jc w:val="center"/>
        </w:trPr>
        <w:tc>
          <w:tcPr>
            <w:tcW w:w="856" w:type="pct"/>
            <w:shd w:val="clear" w:color="auto" w:fill="003F72"/>
            <w:vAlign w:val="center"/>
          </w:tcPr>
          <w:p w14:paraId="6C06B58E" w14:textId="77777777" w:rsidR="00BE2819" w:rsidRPr="005711AA" w:rsidRDefault="00BE2819" w:rsidP="00BE2A24">
            <w:pPr>
              <w:pStyle w:val="Tabletext0"/>
            </w:pPr>
            <w:r w:rsidRPr="005711AA">
              <w:t>Environmental values and/or vulnerability of the receiving waters*</w:t>
            </w:r>
          </w:p>
        </w:tc>
        <w:tc>
          <w:tcPr>
            <w:tcW w:w="850" w:type="pct"/>
            <w:shd w:val="clear" w:color="auto" w:fill="003F72"/>
            <w:vAlign w:val="center"/>
          </w:tcPr>
          <w:p w14:paraId="586FEA24" w14:textId="77777777" w:rsidR="00BE2819" w:rsidRPr="005711AA" w:rsidRDefault="00BE2819" w:rsidP="00BE2A24">
            <w:pPr>
              <w:pStyle w:val="Tabletext0"/>
            </w:pPr>
            <w:r w:rsidRPr="005711AA">
              <w:t>Potential impacts of discharge on the receiving waters’ environmental values</w:t>
            </w:r>
            <w:r w:rsidRPr="006C6304">
              <w:rPr>
                <w:vertAlign w:val="superscript"/>
              </w:rPr>
              <w:t>#</w:t>
            </w:r>
          </w:p>
        </w:tc>
        <w:tc>
          <w:tcPr>
            <w:tcW w:w="867" w:type="pct"/>
            <w:shd w:val="clear" w:color="auto" w:fill="003F72"/>
            <w:vAlign w:val="center"/>
          </w:tcPr>
          <w:p w14:paraId="58765419" w14:textId="77777777" w:rsidR="00BE2819" w:rsidRPr="005711AA" w:rsidRDefault="00BE2819" w:rsidP="00BE2A24">
            <w:pPr>
              <w:pStyle w:val="Tabletext0"/>
            </w:pPr>
            <w:r w:rsidRPr="005711AA">
              <w:t>Knowledge and understanding of receiving waters environmental values, risks, and impacts</w:t>
            </w:r>
          </w:p>
        </w:tc>
        <w:tc>
          <w:tcPr>
            <w:tcW w:w="2427" w:type="pct"/>
            <w:shd w:val="clear" w:color="auto" w:fill="003F72"/>
            <w:vAlign w:val="center"/>
          </w:tcPr>
          <w:p w14:paraId="4E8527EF" w14:textId="77777777" w:rsidR="00BE2819" w:rsidRPr="005711AA" w:rsidRDefault="00BE2819" w:rsidP="00BE2A24">
            <w:pPr>
              <w:pStyle w:val="Tabletext0"/>
            </w:pPr>
            <w:r w:rsidRPr="005711AA">
              <w:t>What type of assessment should be conducted?</w:t>
            </w:r>
          </w:p>
        </w:tc>
      </w:tr>
      <w:tr w:rsidR="00892F99" w:rsidRPr="007873DE" w14:paraId="23A9BF8D" w14:textId="77777777" w:rsidTr="00341E57">
        <w:trPr>
          <w:cantSplit/>
          <w:jc w:val="center"/>
        </w:trPr>
        <w:tc>
          <w:tcPr>
            <w:tcW w:w="856" w:type="pct"/>
          </w:tcPr>
          <w:p w14:paraId="2A0AD65C" w14:textId="1065F301" w:rsidR="00892F99" w:rsidRPr="005711AA" w:rsidRDefault="00892F99" w:rsidP="005711AA">
            <w:pPr>
              <w:pStyle w:val="Tabletext0"/>
            </w:pPr>
            <w:r w:rsidRPr="005711AA">
              <w:t>Low</w:t>
            </w:r>
          </w:p>
        </w:tc>
        <w:tc>
          <w:tcPr>
            <w:tcW w:w="850" w:type="pct"/>
          </w:tcPr>
          <w:p w14:paraId="7CCE5784" w14:textId="32281933" w:rsidR="00892F99" w:rsidRPr="005711AA" w:rsidRDefault="00892F99" w:rsidP="005711AA">
            <w:pPr>
              <w:pStyle w:val="Tabletext0"/>
            </w:pPr>
            <w:r w:rsidRPr="005711AA">
              <w:t>Moderate to high</w:t>
            </w:r>
          </w:p>
        </w:tc>
        <w:tc>
          <w:tcPr>
            <w:tcW w:w="867" w:type="pct"/>
          </w:tcPr>
          <w:p w14:paraId="130069D4" w14:textId="475B76F8" w:rsidR="00892F99" w:rsidRPr="005711AA" w:rsidRDefault="00892F99" w:rsidP="005711AA">
            <w:pPr>
              <w:pStyle w:val="Tabletext0"/>
            </w:pPr>
            <w:r w:rsidRPr="005711AA">
              <w:t>Substantial</w:t>
            </w:r>
          </w:p>
        </w:tc>
        <w:tc>
          <w:tcPr>
            <w:tcW w:w="2427" w:type="pct"/>
          </w:tcPr>
          <w:p w14:paraId="1AEFDFD6" w14:textId="77777777" w:rsidR="00892F99" w:rsidRPr="005711AA" w:rsidRDefault="00892F99" w:rsidP="005711AA">
            <w:pPr>
              <w:pStyle w:val="Tabletext0"/>
            </w:pPr>
            <w:r w:rsidRPr="005711AA">
              <w:t xml:space="preserve">A qualitative risk assessment should be conducted initially. </w:t>
            </w:r>
          </w:p>
          <w:p w14:paraId="7F6AE31D" w14:textId="77777777" w:rsidR="00892F99" w:rsidRPr="005711AA" w:rsidRDefault="00892F99" w:rsidP="005711AA">
            <w:pPr>
              <w:pStyle w:val="Tabletext0"/>
            </w:pPr>
            <w:r w:rsidRPr="005711AA">
              <w:t>Monitoring should be conducted to assess the effectiveness of management actions and whether the prior assumptions of risk are correct.</w:t>
            </w:r>
          </w:p>
          <w:p w14:paraId="11E89BB2" w14:textId="4297CF96" w:rsidR="00892F99" w:rsidRPr="005711AA" w:rsidRDefault="00892F99" w:rsidP="005711AA">
            <w:pPr>
              <w:pStyle w:val="Tabletext0"/>
            </w:pPr>
            <w:r w:rsidRPr="005711AA">
              <w:t>If this level of assessment is insufficient to fully understand the risks for management, then a further semi-quantitative to quantitative risk assessment should be conducted.</w:t>
            </w:r>
          </w:p>
        </w:tc>
      </w:tr>
      <w:tr w:rsidR="005711AA" w:rsidRPr="007873DE" w14:paraId="3B3DD70C" w14:textId="77777777" w:rsidTr="00341E57">
        <w:trPr>
          <w:cantSplit/>
          <w:jc w:val="center"/>
        </w:trPr>
        <w:tc>
          <w:tcPr>
            <w:tcW w:w="856" w:type="pct"/>
          </w:tcPr>
          <w:p w14:paraId="5616CAE8" w14:textId="3A4B30EC" w:rsidR="005711AA" w:rsidRPr="005711AA" w:rsidRDefault="005711AA" w:rsidP="005711AA">
            <w:pPr>
              <w:pStyle w:val="Tabletext0"/>
            </w:pPr>
            <w:r w:rsidRPr="005711AA">
              <w:t>Low</w:t>
            </w:r>
          </w:p>
        </w:tc>
        <w:tc>
          <w:tcPr>
            <w:tcW w:w="850" w:type="pct"/>
          </w:tcPr>
          <w:p w14:paraId="4373012B" w14:textId="71A09597" w:rsidR="005711AA" w:rsidRPr="005711AA" w:rsidRDefault="005711AA" w:rsidP="005711AA">
            <w:pPr>
              <w:pStyle w:val="Tabletext0"/>
            </w:pPr>
            <w:r w:rsidRPr="005711AA">
              <w:t>Moderate to high</w:t>
            </w:r>
          </w:p>
        </w:tc>
        <w:tc>
          <w:tcPr>
            <w:tcW w:w="867" w:type="pct"/>
          </w:tcPr>
          <w:p w14:paraId="2E00B520" w14:textId="3897A31D" w:rsidR="005711AA" w:rsidRPr="005711AA" w:rsidRDefault="005711AA" w:rsidP="005711AA">
            <w:pPr>
              <w:pStyle w:val="Tabletext0"/>
            </w:pPr>
            <w:r w:rsidRPr="005711AA">
              <w:t>Minimal</w:t>
            </w:r>
          </w:p>
        </w:tc>
        <w:tc>
          <w:tcPr>
            <w:tcW w:w="2427" w:type="pct"/>
          </w:tcPr>
          <w:p w14:paraId="2C5960AF" w14:textId="77777777" w:rsidR="005711AA" w:rsidRPr="005711AA" w:rsidRDefault="005711AA" w:rsidP="005711AA">
            <w:pPr>
              <w:pStyle w:val="Tabletext0"/>
            </w:pPr>
            <w:r w:rsidRPr="005711AA">
              <w:t xml:space="preserve">A qualitative risk assessment should be conducted initially. </w:t>
            </w:r>
          </w:p>
          <w:p w14:paraId="6C3152AE" w14:textId="7BDEE88C" w:rsidR="005711AA" w:rsidRPr="005711AA" w:rsidRDefault="005711AA" w:rsidP="005711AA">
            <w:pPr>
              <w:pStyle w:val="Tabletext0"/>
            </w:pPr>
            <w:r w:rsidRPr="005711AA">
              <w:t>If this level of assessment is insufficient to fully understand the risks for management, then a further semi-quantitative to quantitative risk assessment should be conducted.</w:t>
            </w:r>
          </w:p>
        </w:tc>
      </w:tr>
      <w:tr w:rsidR="005711AA" w:rsidRPr="007873DE" w14:paraId="4C9A287D" w14:textId="77777777" w:rsidTr="00341E57">
        <w:trPr>
          <w:cantSplit/>
          <w:jc w:val="center"/>
        </w:trPr>
        <w:tc>
          <w:tcPr>
            <w:tcW w:w="856" w:type="pct"/>
          </w:tcPr>
          <w:p w14:paraId="0F953FD5" w14:textId="318C2DEF" w:rsidR="005711AA" w:rsidRPr="005711AA" w:rsidRDefault="005711AA" w:rsidP="005711AA">
            <w:pPr>
              <w:pStyle w:val="Tabletext0"/>
            </w:pPr>
            <w:r w:rsidRPr="005711AA">
              <w:t>Low</w:t>
            </w:r>
          </w:p>
        </w:tc>
        <w:tc>
          <w:tcPr>
            <w:tcW w:w="850" w:type="pct"/>
          </w:tcPr>
          <w:p w14:paraId="6BBE8047" w14:textId="69CAF307" w:rsidR="005711AA" w:rsidRPr="005711AA" w:rsidRDefault="005711AA" w:rsidP="005711AA">
            <w:pPr>
              <w:pStyle w:val="Tabletext0"/>
            </w:pPr>
            <w:r w:rsidRPr="005711AA">
              <w:t>Minor</w:t>
            </w:r>
          </w:p>
        </w:tc>
        <w:tc>
          <w:tcPr>
            <w:tcW w:w="867" w:type="pct"/>
          </w:tcPr>
          <w:p w14:paraId="064C22F3" w14:textId="29DA3F24" w:rsidR="005711AA" w:rsidRPr="005711AA" w:rsidRDefault="005711AA" w:rsidP="005711AA">
            <w:pPr>
              <w:pStyle w:val="Tabletext0"/>
            </w:pPr>
            <w:r w:rsidRPr="005711AA">
              <w:t>Substantial</w:t>
            </w:r>
          </w:p>
        </w:tc>
        <w:tc>
          <w:tcPr>
            <w:tcW w:w="2427" w:type="pct"/>
          </w:tcPr>
          <w:p w14:paraId="34B51BA0" w14:textId="77777777" w:rsidR="005711AA" w:rsidRPr="005711AA" w:rsidRDefault="005711AA" w:rsidP="005711AA">
            <w:pPr>
              <w:pStyle w:val="Tabletext0"/>
            </w:pPr>
            <w:r w:rsidRPr="005711AA">
              <w:t xml:space="preserve">A qualitative risk assessment should be conducted initially. </w:t>
            </w:r>
          </w:p>
          <w:p w14:paraId="22F190E9" w14:textId="77777777" w:rsidR="005711AA" w:rsidRPr="005711AA" w:rsidRDefault="005711AA" w:rsidP="005711AA">
            <w:pPr>
              <w:pStyle w:val="Tabletext0"/>
            </w:pPr>
            <w:r w:rsidRPr="005711AA">
              <w:t>Monitoring should be conducted to assess whether the prior assumptions of risk are correct.</w:t>
            </w:r>
          </w:p>
          <w:p w14:paraId="31E58132" w14:textId="2850EE92" w:rsidR="005711AA" w:rsidRPr="005711AA" w:rsidRDefault="005711AA" w:rsidP="005711AA">
            <w:pPr>
              <w:pStyle w:val="Tabletext0"/>
            </w:pPr>
            <w:r w:rsidRPr="005711AA">
              <w:t>If monitoring shows that the prior assumption of a minor impact to values is incorrect (that is, there is the potential for a moderate-to-high impact to values), then a further semi-quantitative to quantitative risk assessment should be conducted.</w:t>
            </w:r>
          </w:p>
        </w:tc>
      </w:tr>
    </w:tbl>
    <w:p w14:paraId="3CE954A7" w14:textId="77777777" w:rsidR="00BE2819" w:rsidRDefault="00BE2819"/>
    <w:p w14:paraId="59652061" w14:textId="40F102F3" w:rsidR="00BE2819" w:rsidRDefault="00BE2819" w:rsidP="00BE2819">
      <w:pPr>
        <w:pStyle w:val="Caption"/>
        <w:keepNext/>
      </w:pPr>
      <w:r w:rsidRPr="00E66848">
        <w:lastRenderedPageBreak/>
        <w:t xml:space="preserve">Table </w:t>
      </w:r>
      <w:r>
        <w:t xml:space="preserve">1 </w:t>
      </w:r>
      <w:r w:rsidRPr="00E66848">
        <w:t>– Co</w:t>
      </w:r>
      <w:r>
        <w:t>ntinued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44"/>
        <w:gridCol w:w="1731"/>
        <w:gridCol w:w="1906"/>
        <w:gridCol w:w="4803"/>
      </w:tblGrid>
      <w:tr w:rsidR="00BE2819" w:rsidRPr="005711AA" w14:paraId="391245B8" w14:textId="77777777" w:rsidTr="00BE2A24">
        <w:trPr>
          <w:cantSplit/>
          <w:tblHeader/>
          <w:jc w:val="center"/>
        </w:trPr>
        <w:tc>
          <w:tcPr>
            <w:tcW w:w="856" w:type="pct"/>
            <w:shd w:val="clear" w:color="auto" w:fill="003F72"/>
            <w:vAlign w:val="center"/>
          </w:tcPr>
          <w:p w14:paraId="5F613719" w14:textId="77777777" w:rsidR="00BE2819" w:rsidRPr="005711AA" w:rsidRDefault="00BE2819" w:rsidP="00BE2A24">
            <w:pPr>
              <w:pStyle w:val="Tabletext0"/>
            </w:pPr>
            <w:r w:rsidRPr="005711AA">
              <w:t>Environmental values and/or vulnerability of the receiving waters*</w:t>
            </w:r>
          </w:p>
        </w:tc>
        <w:tc>
          <w:tcPr>
            <w:tcW w:w="850" w:type="pct"/>
            <w:shd w:val="clear" w:color="auto" w:fill="003F72"/>
            <w:vAlign w:val="center"/>
          </w:tcPr>
          <w:p w14:paraId="2F8B9C3D" w14:textId="77777777" w:rsidR="00BE2819" w:rsidRPr="005711AA" w:rsidRDefault="00BE2819" w:rsidP="00BE2A24">
            <w:pPr>
              <w:pStyle w:val="Tabletext0"/>
            </w:pPr>
            <w:r w:rsidRPr="005711AA">
              <w:t>Potential impacts of discharge on the receiving waters’ environmental values</w:t>
            </w:r>
            <w:r w:rsidRPr="006C6304">
              <w:rPr>
                <w:vertAlign w:val="superscript"/>
              </w:rPr>
              <w:t>#</w:t>
            </w:r>
          </w:p>
        </w:tc>
        <w:tc>
          <w:tcPr>
            <w:tcW w:w="936" w:type="pct"/>
            <w:shd w:val="clear" w:color="auto" w:fill="003F72"/>
            <w:vAlign w:val="center"/>
          </w:tcPr>
          <w:p w14:paraId="19F5A80E" w14:textId="77777777" w:rsidR="00BE2819" w:rsidRPr="005711AA" w:rsidRDefault="00BE2819" w:rsidP="00BE2A24">
            <w:pPr>
              <w:pStyle w:val="Tabletext0"/>
            </w:pPr>
            <w:r w:rsidRPr="005711AA">
              <w:t>Knowledge and understanding of receiving waters environmental values, risks, and impacts</w:t>
            </w:r>
          </w:p>
        </w:tc>
        <w:tc>
          <w:tcPr>
            <w:tcW w:w="2358" w:type="pct"/>
            <w:shd w:val="clear" w:color="auto" w:fill="003F72"/>
            <w:vAlign w:val="center"/>
          </w:tcPr>
          <w:p w14:paraId="003CD70A" w14:textId="77777777" w:rsidR="00BE2819" w:rsidRPr="005711AA" w:rsidRDefault="00BE2819" w:rsidP="00BE2A24">
            <w:pPr>
              <w:pStyle w:val="Tabletext0"/>
            </w:pPr>
            <w:r w:rsidRPr="005711AA">
              <w:t>What type of assessment should be conducted?</w:t>
            </w:r>
          </w:p>
        </w:tc>
      </w:tr>
      <w:tr w:rsidR="005711AA" w:rsidRPr="007873DE" w14:paraId="10AB8272" w14:textId="77777777" w:rsidTr="00BD1EE3">
        <w:trPr>
          <w:cantSplit/>
          <w:jc w:val="center"/>
        </w:trPr>
        <w:tc>
          <w:tcPr>
            <w:tcW w:w="856" w:type="pct"/>
          </w:tcPr>
          <w:p w14:paraId="2A453C06" w14:textId="799E0A98" w:rsidR="005711AA" w:rsidRPr="005711AA" w:rsidRDefault="005711AA" w:rsidP="005711AA">
            <w:pPr>
              <w:pStyle w:val="Tabletext0"/>
            </w:pPr>
            <w:r w:rsidRPr="005711AA">
              <w:t>Low</w:t>
            </w:r>
          </w:p>
        </w:tc>
        <w:tc>
          <w:tcPr>
            <w:tcW w:w="850" w:type="pct"/>
          </w:tcPr>
          <w:p w14:paraId="3D1C6F79" w14:textId="3F0959FC" w:rsidR="005711AA" w:rsidRPr="005711AA" w:rsidRDefault="005711AA" w:rsidP="005711AA">
            <w:pPr>
              <w:pStyle w:val="Tabletext0"/>
            </w:pPr>
            <w:r w:rsidRPr="005711AA">
              <w:t>Minor</w:t>
            </w:r>
          </w:p>
        </w:tc>
        <w:tc>
          <w:tcPr>
            <w:tcW w:w="936" w:type="pct"/>
          </w:tcPr>
          <w:p w14:paraId="06ED3EC4" w14:textId="64CE009F" w:rsidR="005711AA" w:rsidRPr="005711AA" w:rsidRDefault="005711AA" w:rsidP="005711AA">
            <w:pPr>
              <w:pStyle w:val="Tabletext0"/>
            </w:pPr>
            <w:r w:rsidRPr="005711AA">
              <w:t>Minimal</w:t>
            </w:r>
          </w:p>
        </w:tc>
        <w:tc>
          <w:tcPr>
            <w:tcW w:w="2358" w:type="pct"/>
          </w:tcPr>
          <w:p w14:paraId="4DFAB910" w14:textId="77777777" w:rsidR="005711AA" w:rsidRPr="005711AA" w:rsidRDefault="005711AA" w:rsidP="005711AA">
            <w:pPr>
              <w:pStyle w:val="Tabletext0"/>
            </w:pPr>
            <w:r w:rsidRPr="005711AA">
              <w:t>A qualitative risk assessment should be conducted initially.</w:t>
            </w:r>
          </w:p>
          <w:p w14:paraId="269A8AD5" w14:textId="77777777" w:rsidR="005711AA" w:rsidRPr="005711AA" w:rsidRDefault="005711AA" w:rsidP="005711AA">
            <w:pPr>
              <w:pStyle w:val="Tabletext0"/>
            </w:pPr>
            <w:r w:rsidRPr="005711AA">
              <w:t>If the initial qualitative risk assessment indicates the potential for moderate to high impacts to values, then a further semi-quantitative to quantitative risk assessment should be conducted.</w:t>
            </w:r>
          </w:p>
          <w:p w14:paraId="11CCD610" w14:textId="77777777" w:rsidR="005711AA" w:rsidRPr="005711AA" w:rsidRDefault="005711AA" w:rsidP="005711AA">
            <w:pPr>
              <w:pStyle w:val="Tabletext0"/>
            </w:pPr>
            <w:r w:rsidRPr="005711AA">
              <w:t>If the initial qualitative risk assessment indicates the prior assumption of minor impact to values is correct, then monitoring should be conducted to assess that the impact to values remains minor.</w:t>
            </w:r>
          </w:p>
          <w:p w14:paraId="568D9575" w14:textId="7A3CDEA1" w:rsidR="005711AA" w:rsidRPr="005711AA" w:rsidRDefault="005711AA" w:rsidP="005711AA">
            <w:pPr>
              <w:pStyle w:val="Tabletext0"/>
            </w:pPr>
            <w:r w:rsidRPr="005711AA">
              <w:t>If monitoring shows that there is potential for moderate to high impact to values in the future, then a semi-quantitative to quantitative risk assessment should be conducted.</w:t>
            </w:r>
          </w:p>
        </w:tc>
      </w:tr>
    </w:tbl>
    <w:p w14:paraId="4E7524CC" w14:textId="3EE98B08" w:rsidR="003447A0" w:rsidRDefault="0036787B" w:rsidP="0008749F">
      <w:pPr>
        <w:pStyle w:val="Tablenotes"/>
        <w:rPr>
          <w:lang w:val="en-US"/>
        </w:rPr>
      </w:pPr>
      <w:r>
        <w:rPr>
          <w:lang w:val="en-US"/>
        </w:rPr>
        <w:t>*</w:t>
      </w:r>
      <w:r w:rsidR="003447A0" w:rsidRPr="003447A0">
        <w:rPr>
          <w:lang w:val="en-US"/>
        </w:rPr>
        <w:t>Three categories (high, medium and low) have been assigned</w:t>
      </w:r>
      <w:r w:rsidR="00B22BAE">
        <w:rPr>
          <w:lang w:val="en-US"/>
        </w:rPr>
        <w:t xml:space="preserve"> in this table</w:t>
      </w:r>
      <w:r w:rsidR="003447A0" w:rsidRPr="003447A0">
        <w:rPr>
          <w:lang w:val="en-US"/>
        </w:rPr>
        <w:t>. Please note that these categories are for guidance purposes</w:t>
      </w:r>
      <w:r w:rsidR="00324225">
        <w:rPr>
          <w:lang w:val="en-US"/>
        </w:rPr>
        <w:t>.</w:t>
      </w:r>
      <w:r w:rsidR="0037651F">
        <w:rPr>
          <w:lang w:val="en-US"/>
        </w:rPr>
        <w:t xml:space="preserve"> </w:t>
      </w:r>
      <w:r w:rsidR="00F209A5">
        <w:rPr>
          <w:lang w:val="en-US"/>
        </w:rPr>
        <w:fldChar w:fldCharType="begin"/>
      </w:r>
      <w:r w:rsidR="00F209A5">
        <w:rPr>
          <w:lang w:val="en-US"/>
        </w:rPr>
        <w:instrText xml:space="preserve"> REF _Ref132748921 \h </w:instrText>
      </w:r>
      <w:r w:rsidR="00F209A5">
        <w:rPr>
          <w:lang w:val="en-US"/>
        </w:rPr>
      </w:r>
      <w:r w:rsidR="00F209A5">
        <w:rPr>
          <w:lang w:val="en-US"/>
        </w:rPr>
        <w:fldChar w:fldCharType="separate"/>
      </w:r>
      <w:r w:rsidR="00FD64B0">
        <w:t xml:space="preserve">Figure </w:t>
      </w:r>
      <w:r w:rsidR="00FD64B0">
        <w:rPr>
          <w:noProof/>
        </w:rPr>
        <w:t>2</w:t>
      </w:r>
      <w:r w:rsidR="00F209A5">
        <w:rPr>
          <w:lang w:val="en-US"/>
        </w:rPr>
        <w:fldChar w:fldCharType="end"/>
      </w:r>
      <w:r w:rsidR="00F209A5">
        <w:rPr>
          <w:lang w:val="en-US"/>
        </w:rPr>
        <w:t xml:space="preserve"> </w:t>
      </w:r>
      <w:r w:rsidR="003447A0" w:rsidRPr="003447A0">
        <w:rPr>
          <w:lang w:val="en-US"/>
        </w:rPr>
        <w:t xml:space="preserve">provides useful information that can be used to identify significant values and/or vulnerable systems. Key local knowledge about the values and vulnerability of the receiving waters can also be obtained through stakeholder consultation (see section </w:t>
      </w:r>
      <w:r w:rsidR="003447A0" w:rsidRPr="003447A0">
        <w:rPr>
          <w:lang w:val="en-US"/>
        </w:rPr>
        <w:fldChar w:fldCharType="begin"/>
      </w:r>
      <w:r w:rsidR="003447A0" w:rsidRPr="003447A0">
        <w:rPr>
          <w:lang w:val="en-US"/>
        </w:rPr>
        <w:instrText xml:space="preserve"> REF _Ref88212119 \h </w:instrText>
      </w:r>
      <w:r w:rsidR="003447A0">
        <w:rPr>
          <w:lang w:val="en-US"/>
        </w:rPr>
        <w:instrText xml:space="preserve"> \* MERGEFORMAT </w:instrText>
      </w:r>
      <w:r w:rsidR="003447A0" w:rsidRPr="003447A0">
        <w:rPr>
          <w:lang w:val="en-US"/>
        </w:rPr>
      </w:r>
      <w:r w:rsidR="003447A0" w:rsidRPr="003447A0">
        <w:rPr>
          <w:lang w:val="en-US"/>
        </w:rPr>
        <w:fldChar w:fldCharType="separate"/>
      </w:r>
      <w:r w:rsidR="00FD64B0">
        <w:t>Stakeholder participation</w:t>
      </w:r>
      <w:r w:rsidR="003447A0" w:rsidRPr="003447A0">
        <w:rPr>
          <w:lang w:val="en-US"/>
        </w:rPr>
        <w:fldChar w:fldCharType="end"/>
      </w:r>
      <w:r w:rsidR="003447A0" w:rsidRPr="003447A0">
        <w:rPr>
          <w:lang w:val="en-US"/>
        </w:rPr>
        <w:t xml:space="preserve"> in this document).</w:t>
      </w:r>
    </w:p>
    <w:p w14:paraId="1F4FF076" w14:textId="17366AB2" w:rsidR="00382C30" w:rsidRDefault="00E007CB" w:rsidP="007F59FC">
      <w:pPr>
        <w:pStyle w:val="Tablenotes"/>
        <w:rPr>
          <w:lang w:val="en-US"/>
        </w:rPr>
      </w:pPr>
      <w:r w:rsidRPr="00E007CB">
        <w:rPr>
          <w:vertAlign w:val="superscript"/>
        </w:rPr>
        <w:t>#</w:t>
      </w:r>
      <w:r w:rsidR="00F209A5">
        <w:rPr>
          <w:lang w:val="en-US"/>
        </w:rPr>
        <w:fldChar w:fldCharType="begin"/>
      </w:r>
      <w:r w:rsidR="00F209A5">
        <w:rPr>
          <w:lang w:val="en-US"/>
        </w:rPr>
        <w:instrText xml:space="preserve"> REF _Ref132748921 \h </w:instrText>
      </w:r>
      <w:r w:rsidR="00F209A5">
        <w:rPr>
          <w:lang w:val="en-US"/>
        </w:rPr>
      </w:r>
      <w:r w:rsidR="00F209A5">
        <w:rPr>
          <w:lang w:val="en-US"/>
        </w:rPr>
        <w:fldChar w:fldCharType="separate"/>
      </w:r>
      <w:r w:rsidR="00FD64B0">
        <w:t xml:space="preserve">Figure </w:t>
      </w:r>
      <w:r w:rsidR="00FD64B0">
        <w:rPr>
          <w:noProof/>
        </w:rPr>
        <w:t>2</w:t>
      </w:r>
      <w:r w:rsidR="00F209A5">
        <w:rPr>
          <w:lang w:val="en-US"/>
        </w:rPr>
        <w:fldChar w:fldCharType="end"/>
      </w:r>
      <w:r w:rsidR="00F209A5">
        <w:rPr>
          <w:lang w:val="en-US"/>
        </w:rPr>
        <w:t xml:space="preserve"> </w:t>
      </w:r>
      <w:r w:rsidR="008F30C0">
        <w:rPr>
          <w:lang w:val="en-US"/>
        </w:rPr>
        <w:t xml:space="preserve">provides </w:t>
      </w:r>
      <w:r w:rsidR="00FD6C19">
        <w:rPr>
          <w:lang w:val="en-US"/>
        </w:rPr>
        <w:t xml:space="preserve">information and </w:t>
      </w:r>
      <w:r w:rsidR="008F30C0">
        <w:rPr>
          <w:lang w:val="en-US"/>
        </w:rPr>
        <w:t>e</w:t>
      </w:r>
      <w:r>
        <w:rPr>
          <w:lang w:val="en-US"/>
        </w:rPr>
        <w:t xml:space="preserve">xamples </w:t>
      </w:r>
      <w:r w:rsidR="00903C3E">
        <w:rPr>
          <w:lang w:val="en-US"/>
        </w:rPr>
        <w:t>about</w:t>
      </w:r>
      <w:r>
        <w:rPr>
          <w:lang w:val="en-US"/>
        </w:rPr>
        <w:t xml:space="preserve"> the </w:t>
      </w:r>
      <w:r w:rsidR="008F30C0">
        <w:rPr>
          <w:lang w:val="en-US"/>
        </w:rPr>
        <w:t xml:space="preserve">potential </w:t>
      </w:r>
      <w:r w:rsidR="00FD6C19">
        <w:rPr>
          <w:lang w:val="en-US"/>
        </w:rPr>
        <w:t xml:space="preserve">level of impact </w:t>
      </w:r>
      <w:r w:rsidR="00903C3E">
        <w:rPr>
          <w:lang w:val="en-US"/>
        </w:rPr>
        <w:t>to environmental values</w:t>
      </w:r>
    </w:p>
    <w:p w14:paraId="67A4A5B8" w14:textId="77777777" w:rsidR="00924E83" w:rsidRPr="00924E83" w:rsidRDefault="00924E83" w:rsidP="00924E83">
      <w:pPr>
        <w:rPr>
          <w:lang w:val="en-US"/>
        </w:rPr>
      </w:pPr>
    </w:p>
    <w:p w14:paraId="3232D3A3" w14:textId="77777777" w:rsidR="00723EA1" w:rsidRDefault="00723EA1" w:rsidP="002D070A">
      <w:pPr>
        <w:pStyle w:val="Heading2"/>
      </w:pPr>
      <w:bookmarkStart w:id="24" w:name="_Ref88209411"/>
      <w:bookmarkStart w:id="25" w:name="_Ref88209430"/>
      <w:bookmarkStart w:id="26" w:name="_Toc133938131"/>
      <w:r>
        <w:t>Prioritising discharges for risk assessment</w:t>
      </w:r>
      <w:bookmarkEnd w:id="24"/>
      <w:bookmarkEnd w:id="25"/>
      <w:bookmarkEnd w:id="26"/>
    </w:p>
    <w:p w14:paraId="62EDEBF4" w14:textId="77777777" w:rsidR="00723EA1" w:rsidRPr="0067470C" w:rsidRDefault="00723EA1" w:rsidP="00723EA1">
      <w:r w:rsidRPr="0067470C">
        <w:t xml:space="preserve">Permission holders may be responsible for multiple permissions with wastewater discharges. Wastewater discharges to surface water can have differing risks, which will influence the level of any environmental risk assessment. </w:t>
      </w:r>
    </w:p>
    <w:p w14:paraId="1E0835DA" w14:textId="67965AAE" w:rsidR="00BD711C" w:rsidRDefault="00723EA1" w:rsidP="00723EA1">
      <w:r w:rsidRPr="001846DB">
        <w:t xml:space="preserve">When multiple wastewater discharges need to be assessed, EPA recommends a risk-rating approach by which discharges are rated according to the risk posed to the environment and human health (from the highest risk to the lowest risk discharge). The approach involves the development of high-level (low detail) environmental </w:t>
      </w:r>
      <w:r>
        <w:t xml:space="preserve">and human health </w:t>
      </w:r>
      <w:r w:rsidRPr="001846DB">
        <w:t xml:space="preserve">risk assessments for each of the wastewater discharges. Factors such as the type and management of the discharge (such as treatment, volume and constituents) and the characteristics of the </w:t>
      </w:r>
      <w:r w:rsidRPr="001846DB">
        <w:lastRenderedPageBreak/>
        <w:t xml:space="preserve">receiving waters (such as condition, environmental values at risk and vulnerability) should be considered when rating discharges. The approach enables the identification of high-risk wastewater discharges that must be prioritised and that warrant a full environmental </w:t>
      </w:r>
      <w:r>
        <w:t xml:space="preserve">and human health </w:t>
      </w:r>
      <w:r w:rsidRPr="001846DB">
        <w:t>risk assessment (detailed assessment).</w:t>
      </w:r>
    </w:p>
    <w:p w14:paraId="057C7D3A" w14:textId="53913EAC" w:rsidR="00155277" w:rsidRDefault="00155277" w:rsidP="002D070A">
      <w:pPr>
        <w:pStyle w:val="Heading1"/>
      </w:pPr>
      <w:bookmarkStart w:id="27" w:name="_Toc133938132"/>
      <w:r>
        <w:t>Conducting an environmental and human health risk assessment of wastewater discharges</w:t>
      </w:r>
      <w:bookmarkEnd w:id="27"/>
    </w:p>
    <w:p w14:paraId="13DCCA1A" w14:textId="77777777" w:rsidR="00155277" w:rsidRPr="004345D1" w:rsidRDefault="00155277" w:rsidP="00155277">
      <w:pPr>
        <w:spacing w:line="259" w:lineRule="auto"/>
        <w:rPr>
          <w:rFonts w:cs="Arial"/>
        </w:rPr>
      </w:pPr>
      <w:r w:rsidRPr="004345D1">
        <w:rPr>
          <w:rFonts w:cs="Arial"/>
        </w:rPr>
        <w:t xml:space="preserve">The environmental </w:t>
      </w:r>
      <w:r>
        <w:rPr>
          <w:rFonts w:cs="Arial"/>
        </w:rPr>
        <w:t xml:space="preserve">and human health </w:t>
      </w:r>
      <w:r w:rsidRPr="004345D1">
        <w:rPr>
          <w:rFonts w:cs="Arial"/>
        </w:rPr>
        <w:t>risk assessment process systematically organises and evaluates data, information, assumptions and uncertainties to assess risks and inform decision making and management actions.</w:t>
      </w:r>
    </w:p>
    <w:p w14:paraId="18420B7C" w14:textId="065446B8" w:rsidR="00155277" w:rsidRDefault="00155277" w:rsidP="00155277">
      <w:pPr>
        <w:spacing w:line="259" w:lineRule="auto"/>
        <w:rPr>
          <w:lang w:eastAsia="ja-JP"/>
        </w:rPr>
      </w:pPr>
      <w:r w:rsidRPr="004345D1">
        <w:rPr>
          <w:rFonts w:cs="Arial"/>
          <w:lang w:val="en-US"/>
        </w:rPr>
        <w:t xml:space="preserve">Environmental </w:t>
      </w:r>
      <w:r>
        <w:rPr>
          <w:rFonts w:cs="Arial"/>
          <w:lang w:val="en-US"/>
        </w:rPr>
        <w:t xml:space="preserve">and human health </w:t>
      </w:r>
      <w:r w:rsidRPr="004345D1">
        <w:rPr>
          <w:rFonts w:cs="Arial"/>
          <w:lang w:val="en-US"/>
        </w:rPr>
        <w:t>risk assessments can be conducted to predict the likelihood of future adverse effects or evaluate the likelihood that effects are caused by current or past events or activities. Where waterbodies have a history of previous impacts and</w:t>
      </w:r>
      <w:r w:rsidR="00431EDB">
        <w:rPr>
          <w:rFonts w:cs="Arial"/>
          <w:lang w:val="en-US"/>
        </w:rPr>
        <w:t>/or</w:t>
      </w:r>
      <w:r w:rsidRPr="004345D1">
        <w:rPr>
          <w:rFonts w:cs="Arial"/>
          <w:lang w:val="en-US"/>
        </w:rPr>
        <w:t xml:space="preserve"> the potential for </w:t>
      </w:r>
      <w:r w:rsidR="00216A49">
        <w:rPr>
          <w:rFonts w:cs="Arial"/>
          <w:lang w:val="en-US"/>
        </w:rPr>
        <w:t xml:space="preserve">present or </w:t>
      </w:r>
      <w:r w:rsidRPr="004345D1">
        <w:rPr>
          <w:rFonts w:cs="Arial"/>
          <w:lang w:val="en-US"/>
        </w:rPr>
        <w:t xml:space="preserve">future impacts from multiple </w:t>
      </w:r>
      <w:r w:rsidR="00985229">
        <w:rPr>
          <w:rFonts w:cs="Arial"/>
          <w:lang w:val="en-US"/>
        </w:rPr>
        <w:t>activities</w:t>
      </w:r>
      <w:r w:rsidR="00331EF2">
        <w:rPr>
          <w:rFonts w:cs="Arial"/>
          <w:lang w:val="en-US"/>
        </w:rPr>
        <w:t>/industries</w:t>
      </w:r>
      <w:r w:rsidR="00985229">
        <w:rPr>
          <w:rFonts w:cs="Arial"/>
          <w:lang w:val="en-US"/>
        </w:rPr>
        <w:t xml:space="preserve"> </w:t>
      </w:r>
      <w:r w:rsidR="00700BF3">
        <w:rPr>
          <w:rFonts w:cs="Arial"/>
          <w:lang w:val="en-US"/>
        </w:rPr>
        <w:t>in the catchment</w:t>
      </w:r>
      <w:r w:rsidR="00F86790">
        <w:rPr>
          <w:rFonts w:cs="Arial"/>
          <w:lang w:val="en-US"/>
        </w:rPr>
        <w:t>,</w:t>
      </w:r>
      <w:r w:rsidR="00700BF3">
        <w:rPr>
          <w:rFonts w:cs="Arial"/>
          <w:lang w:val="en-US"/>
        </w:rPr>
        <w:t xml:space="preserve"> </w:t>
      </w:r>
      <w:r w:rsidRPr="004345D1">
        <w:rPr>
          <w:rFonts w:cs="Arial"/>
          <w:lang w:val="en-US"/>
        </w:rPr>
        <w:t xml:space="preserve">there may be a need to address </w:t>
      </w:r>
      <w:r w:rsidR="00985229">
        <w:rPr>
          <w:rFonts w:cs="Arial"/>
          <w:lang w:val="en-US"/>
        </w:rPr>
        <w:t xml:space="preserve">the </w:t>
      </w:r>
      <w:r w:rsidR="00985229" w:rsidRPr="00E87D87">
        <w:rPr>
          <w:rFonts w:cs="Arial"/>
          <w:b/>
          <w:bCs/>
          <w:lang w:val="en-US"/>
        </w:rPr>
        <w:t xml:space="preserve">cumulative </w:t>
      </w:r>
      <w:r w:rsidR="00270486" w:rsidRPr="00E87D87">
        <w:rPr>
          <w:b/>
          <w:bCs/>
          <w:lang w:eastAsia="ja-JP"/>
        </w:rPr>
        <w:t>impacts</w:t>
      </w:r>
      <w:r w:rsidR="00270486" w:rsidRPr="00C01F65">
        <w:rPr>
          <w:lang w:eastAsia="ja-JP"/>
        </w:rPr>
        <w:t xml:space="preserve"> on environmental values from multiple pollution sources.</w:t>
      </w:r>
    </w:p>
    <w:p w14:paraId="38BF44D3" w14:textId="35E0B47A" w:rsidR="00155277" w:rsidRPr="004345D1" w:rsidRDefault="00155277" w:rsidP="00155277">
      <w:pPr>
        <w:spacing w:line="259" w:lineRule="auto"/>
        <w:rPr>
          <w:rFonts w:cs="Arial"/>
        </w:rPr>
      </w:pPr>
      <w:r w:rsidRPr="004345D1">
        <w:rPr>
          <w:rFonts w:cs="Arial"/>
        </w:rPr>
        <w:t xml:space="preserve">There are three main phases in </w:t>
      </w:r>
      <w:r>
        <w:rPr>
          <w:rFonts w:cs="Arial"/>
        </w:rPr>
        <w:t>an</w:t>
      </w:r>
      <w:r w:rsidRPr="004345D1">
        <w:rPr>
          <w:rFonts w:cs="Arial"/>
        </w:rPr>
        <w:t xml:space="preserve"> environmental </w:t>
      </w:r>
      <w:r>
        <w:rPr>
          <w:rFonts w:cs="Arial"/>
        </w:rPr>
        <w:t xml:space="preserve">and human health </w:t>
      </w:r>
      <w:r w:rsidRPr="004345D1">
        <w:rPr>
          <w:rFonts w:cs="Arial"/>
        </w:rPr>
        <w:t>risk assessment process (</w:t>
      </w:r>
      <w:r w:rsidR="00F209A5">
        <w:rPr>
          <w:color w:val="000000"/>
          <w:lang w:val="en-US"/>
        </w:rPr>
        <w:fldChar w:fldCharType="begin"/>
      </w:r>
      <w:r w:rsidR="00F209A5">
        <w:rPr>
          <w:rFonts w:cs="Arial"/>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4345D1">
        <w:rPr>
          <w:rFonts w:cs="Arial"/>
        </w:rPr>
        <w:t xml:space="preserve">): </w:t>
      </w:r>
    </w:p>
    <w:p w14:paraId="1CC03602" w14:textId="77777777" w:rsidR="00155277" w:rsidRPr="004345D1" w:rsidRDefault="00155277" w:rsidP="006F1C84">
      <w:pPr>
        <w:pStyle w:val="ListBullet"/>
      </w:pPr>
      <w:r w:rsidRPr="004345D1">
        <w:t>problem formulation</w:t>
      </w:r>
    </w:p>
    <w:p w14:paraId="14E4BF06" w14:textId="77777777" w:rsidR="00155277" w:rsidRPr="004345D1" w:rsidRDefault="00155277" w:rsidP="006F1C84">
      <w:pPr>
        <w:pStyle w:val="ListBullet"/>
      </w:pPr>
      <w:r w:rsidRPr="004345D1">
        <w:t xml:space="preserve">risk analysis </w:t>
      </w:r>
    </w:p>
    <w:p w14:paraId="3F6653D0" w14:textId="256ECEFB" w:rsidR="00155277" w:rsidRPr="00BD711C" w:rsidRDefault="00155277" w:rsidP="006F1C84">
      <w:pPr>
        <w:pStyle w:val="ListBullet"/>
      </w:pPr>
      <w:r w:rsidRPr="004345D1">
        <w:t xml:space="preserve">risk characterisation. </w:t>
      </w:r>
    </w:p>
    <w:p w14:paraId="53AA2B6D" w14:textId="4E209D47" w:rsidR="00155277" w:rsidRPr="004345D1" w:rsidRDefault="00155277" w:rsidP="00155277">
      <w:pPr>
        <w:spacing w:line="259" w:lineRule="auto"/>
        <w:rPr>
          <w:rFonts w:cs="Arial"/>
        </w:rPr>
      </w:pPr>
      <w:r w:rsidRPr="004345D1">
        <w:rPr>
          <w:rFonts w:cs="Arial"/>
        </w:rPr>
        <w:t>While these phases are shown in a linear fashion in</w:t>
      </w:r>
      <w:r w:rsidR="005942E9">
        <w:rPr>
          <w:rFonts w:cs="Arial"/>
        </w:rPr>
        <w:t xml:space="preserve"> </w:t>
      </w:r>
      <w:r w:rsidR="00F209A5">
        <w:rPr>
          <w:color w:val="000000"/>
          <w:lang w:val="en-US"/>
        </w:rPr>
        <w:fldChar w:fldCharType="begin"/>
      </w:r>
      <w:r w:rsidR="00F209A5">
        <w:rPr>
          <w:rFonts w:cs="Arial"/>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4345D1">
        <w:rPr>
          <w:rFonts w:cs="Arial"/>
        </w:rPr>
        <w:t>, environmental</w:t>
      </w:r>
      <w:r>
        <w:rPr>
          <w:rFonts w:cs="Arial"/>
        </w:rPr>
        <w:t xml:space="preserve"> and human health</w:t>
      </w:r>
      <w:r w:rsidRPr="004345D1">
        <w:rPr>
          <w:rFonts w:cs="Arial"/>
        </w:rPr>
        <w:t xml:space="preserve"> risk assessments are often interactive and iterative processes. As such, the framework should be interpreted in this way. For example, as more is learnt about the potential risks, this may lead to a re-evaluation of previous assumptions and problem formulation, and/or collection of new data and other analyses being conducted. </w:t>
      </w:r>
    </w:p>
    <w:p w14:paraId="4250DEC5" w14:textId="1BACAD29" w:rsidR="00155277" w:rsidRPr="004345D1" w:rsidRDefault="00155277" w:rsidP="00155277">
      <w:pPr>
        <w:spacing w:line="259" w:lineRule="auto"/>
        <w:rPr>
          <w:rFonts w:cs="Arial"/>
        </w:rPr>
      </w:pPr>
      <w:r w:rsidRPr="004345D1">
        <w:rPr>
          <w:rFonts w:cs="Arial"/>
        </w:rPr>
        <w:t>As more than one risk may be of concern at a site and</w:t>
      </w:r>
      <w:r w:rsidR="00F86790">
        <w:rPr>
          <w:rFonts w:cs="Arial"/>
        </w:rPr>
        <w:t>,</w:t>
      </w:r>
      <w:r w:rsidRPr="004345D1">
        <w:rPr>
          <w:rFonts w:cs="Arial"/>
        </w:rPr>
        <w:t xml:space="preserve"> in many cases</w:t>
      </w:r>
      <w:r w:rsidR="00F86790">
        <w:rPr>
          <w:rFonts w:cs="Arial"/>
        </w:rPr>
        <w:t>,</w:t>
      </w:r>
      <w:r w:rsidRPr="004345D1">
        <w:rPr>
          <w:rFonts w:cs="Arial"/>
        </w:rPr>
        <w:t xml:space="preserve"> multiple risks do not operate independently, an integrated assessment approach needs to be taken. This will include all aspects of the discharge that may affect the environmental values being assessed. For example, assessment of water dependent ecosystems and species</w:t>
      </w:r>
      <w:r w:rsidRPr="004345D1" w:rsidDel="00E71A5D">
        <w:rPr>
          <w:rFonts w:cs="Arial"/>
        </w:rPr>
        <w:t xml:space="preserve"> </w:t>
      </w:r>
      <w:r w:rsidRPr="004345D1">
        <w:rPr>
          <w:rFonts w:cs="Arial"/>
        </w:rPr>
        <w:t>needs to include factors such as water quality and quantity, physical habitat requirements and seasonal and physical biotic cues (for example, for migration or reproduction).</w:t>
      </w:r>
    </w:p>
    <w:p w14:paraId="337F142B" w14:textId="79017C85" w:rsidR="00155277" w:rsidRDefault="00155277" w:rsidP="00155277">
      <w:pPr>
        <w:spacing w:line="259" w:lineRule="auto"/>
        <w:rPr>
          <w:rFonts w:cs="Arial"/>
        </w:rPr>
      </w:pPr>
      <w:r w:rsidRPr="004345D1">
        <w:rPr>
          <w:rFonts w:cs="Arial"/>
        </w:rPr>
        <w:t xml:space="preserve">From a </w:t>
      </w:r>
      <w:r>
        <w:rPr>
          <w:rFonts w:cs="Arial"/>
        </w:rPr>
        <w:t>human</w:t>
      </w:r>
      <w:r w:rsidRPr="004345D1">
        <w:rPr>
          <w:rFonts w:cs="Arial"/>
        </w:rPr>
        <w:t xml:space="preserve"> health perspective, the main purpose of conducting a risk assessment is to identify, analyse and characterise the health risks associated with exposure to the discharge. This may be pathogenic (microbe-related) or chemical exposures. The section</w:t>
      </w:r>
      <w:r w:rsidR="00172C81">
        <w:rPr>
          <w:rFonts w:cs="Arial"/>
        </w:rPr>
        <w:t xml:space="preserve"> </w:t>
      </w:r>
      <w:r w:rsidR="00A17535" w:rsidRPr="007F2B1D">
        <w:rPr>
          <w:rFonts w:cs="Arial"/>
          <w:i/>
          <w:iCs/>
        </w:rPr>
        <w:fldChar w:fldCharType="begin"/>
      </w:r>
      <w:r w:rsidR="00A17535" w:rsidRPr="007F2B1D">
        <w:rPr>
          <w:rFonts w:cs="Arial"/>
          <w:i/>
          <w:iCs/>
        </w:rPr>
        <w:instrText xml:space="preserve"> REF _Ref88211931 \r \h </w:instrText>
      </w:r>
      <w:r w:rsidR="007F2B1D">
        <w:rPr>
          <w:rFonts w:cs="Arial"/>
          <w:i/>
          <w:iCs/>
        </w:rPr>
        <w:instrText xml:space="preserve"> \* MERGEFORMAT </w:instrText>
      </w:r>
      <w:r w:rsidR="00A17535" w:rsidRPr="007F2B1D">
        <w:rPr>
          <w:rFonts w:cs="Arial"/>
          <w:i/>
          <w:iCs/>
        </w:rPr>
      </w:r>
      <w:r w:rsidR="00A17535" w:rsidRPr="007F2B1D">
        <w:rPr>
          <w:rFonts w:cs="Arial"/>
          <w:i/>
          <w:iCs/>
        </w:rPr>
        <w:fldChar w:fldCharType="separate"/>
      </w:r>
      <w:r w:rsidR="00FD64B0">
        <w:rPr>
          <w:rFonts w:cs="Arial"/>
          <w:i/>
          <w:iCs/>
        </w:rPr>
        <w:t>3.2.5</w:t>
      </w:r>
      <w:r w:rsidR="00A17535" w:rsidRPr="007F2B1D">
        <w:rPr>
          <w:rFonts w:cs="Arial"/>
          <w:i/>
          <w:iCs/>
        </w:rPr>
        <w:fldChar w:fldCharType="end"/>
      </w:r>
      <w:r w:rsidRPr="004345D1">
        <w:rPr>
          <w:rFonts w:cs="Arial"/>
        </w:rPr>
        <w:t xml:space="preserve"> </w:t>
      </w:r>
      <w:r w:rsidR="00FC10D6" w:rsidRPr="004B3756">
        <w:rPr>
          <w:rFonts w:cs="Arial"/>
          <w:i/>
          <w:iCs/>
        </w:rPr>
        <w:fldChar w:fldCharType="begin"/>
      </w:r>
      <w:r w:rsidR="00FC10D6" w:rsidRPr="004B3756">
        <w:rPr>
          <w:rFonts w:cs="Arial"/>
          <w:i/>
          <w:iCs/>
        </w:rPr>
        <w:instrText xml:space="preserve"> REF _Ref88212002 \h  \* MERGEFORMAT </w:instrText>
      </w:r>
      <w:r w:rsidR="00FC10D6" w:rsidRPr="004B3756">
        <w:rPr>
          <w:rFonts w:cs="Arial"/>
          <w:i/>
          <w:iCs/>
        </w:rPr>
      </w:r>
      <w:r w:rsidR="00FC10D6" w:rsidRPr="004B3756">
        <w:rPr>
          <w:rFonts w:cs="Arial"/>
          <w:i/>
          <w:iCs/>
        </w:rPr>
        <w:fldChar w:fldCharType="separate"/>
      </w:r>
      <w:r w:rsidR="00FD64B0" w:rsidRPr="00FD64B0">
        <w:rPr>
          <w:i/>
          <w:iCs/>
        </w:rPr>
        <w:t>Special considerations for human health risk analysis</w:t>
      </w:r>
      <w:r w:rsidR="00FC10D6" w:rsidRPr="004B3756">
        <w:rPr>
          <w:rFonts w:cs="Arial"/>
          <w:i/>
          <w:iCs/>
        </w:rPr>
        <w:fldChar w:fldCharType="end"/>
      </w:r>
      <w:r w:rsidR="00FC10D6">
        <w:rPr>
          <w:rFonts w:cs="Arial"/>
        </w:rPr>
        <w:t xml:space="preserve"> </w:t>
      </w:r>
      <w:r w:rsidRPr="004345D1">
        <w:rPr>
          <w:rFonts w:cs="Arial"/>
        </w:rPr>
        <w:t>in this guidance introduces the general framework for a health risk assessment. EPA has developed comprehensive guidance for assessing risks to human health from pathogens in wastewater discharges. This guidance is available in</w:t>
      </w:r>
      <w:r w:rsidR="008F106C">
        <w:rPr>
          <w:rFonts w:cs="Arial"/>
        </w:rPr>
        <w:t xml:space="preserve"> </w:t>
      </w:r>
      <w:r w:rsidR="003F0BB5">
        <w:rPr>
          <w:rFonts w:asciiTheme="majorHAnsi" w:hAnsiTheme="majorHAnsi"/>
        </w:rPr>
        <w:t xml:space="preserve">Appendix C </w:t>
      </w:r>
      <w:r w:rsidR="003139FD">
        <w:rPr>
          <w:rFonts w:cs="Arial"/>
        </w:rPr>
        <w:t>of</w:t>
      </w:r>
      <w:r w:rsidRPr="004345D1">
        <w:rPr>
          <w:rFonts w:cs="Arial"/>
        </w:rPr>
        <w:t xml:space="preserve"> this document. </w:t>
      </w:r>
    </w:p>
    <w:p w14:paraId="73C48068" w14:textId="77777777" w:rsidR="00F256C1" w:rsidRPr="00E51A46" w:rsidRDefault="00F256C1" w:rsidP="002D070A">
      <w:pPr>
        <w:pStyle w:val="Heading2"/>
        <w:rPr>
          <w:rFonts w:eastAsiaTheme="minorHAnsi" w:cstheme="minorBidi"/>
          <w:lang w:val="en-US"/>
        </w:rPr>
      </w:pPr>
      <w:bookmarkStart w:id="28" w:name="_Toc133938133"/>
      <w:r w:rsidRPr="00E51A46">
        <w:lastRenderedPageBreak/>
        <w:t>Problem formulation</w:t>
      </w:r>
      <w:bookmarkEnd w:id="28"/>
    </w:p>
    <w:p w14:paraId="547EFD08" w14:textId="77777777" w:rsidR="00F256C1" w:rsidRPr="00A50182" w:rsidRDefault="00F256C1" w:rsidP="00F256C1">
      <w:pPr>
        <w:spacing w:line="259" w:lineRule="auto"/>
        <w:rPr>
          <w:rFonts w:cs="Arial"/>
        </w:rPr>
      </w:pPr>
      <w:r w:rsidRPr="00A50182">
        <w:rPr>
          <w:rFonts w:cs="Arial"/>
        </w:rPr>
        <w:t xml:space="preserve">The problem formulation phase determines the focus and scope of the environmental </w:t>
      </w:r>
      <w:r>
        <w:rPr>
          <w:rFonts w:cs="Arial"/>
        </w:rPr>
        <w:t xml:space="preserve">and human health </w:t>
      </w:r>
      <w:r w:rsidRPr="00A50182">
        <w:rPr>
          <w:rFonts w:cs="Arial"/>
        </w:rPr>
        <w:t xml:space="preserve">risk assessment and the management information it needs to provide. </w:t>
      </w:r>
    </w:p>
    <w:p w14:paraId="12E3CA5B" w14:textId="1740D06C" w:rsidR="000018D1" w:rsidRDefault="00F256C1" w:rsidP="000714F5">
      <w:pPr>
        <w:spacing w:line="259" w:lineRule="auto"/>
        <w:rPr>
          <w:rFonts w:cs="Arial"/>
        </w:rPr>
      </w:pPr>
      <w:r w:rsidRPr="00A50182">
        <w:rPr>
          <w:rFonts w:cs="Arial"/>
        </w:rPr>
        <w:t>It is essential that the risk assessors involve all relevant stakeholders in the problem formulation phase. Doing so will ensure that the scope of the investigation is appropriate, all potential risks from the discharge are identified</w:t>
      </w:r>
      <w:r w:rsidR="006078AC">
        <w:rPr>
          <w:rFonts w:cs="Arial"/>
        </w:rPr>
        <w:t xml:space="preserve"> </w:t>
      </w:r>
      <w:r w:rsidRPr="00A50182">
        <w:rPr>
          <w:rFonts w:cs="Arial"/>
        </w:rPr>
        <w:t>and clearly defined</w:t>
      </w:r>
      <w:r w:rsidR="00F86790">
        <w:rPr>
          <w:rFonts w:cs="Arial"/>
        </w:rPr>
        <w:t>,</w:t>
      </w:r>
      <w:r w:rsidRPr="00A50182">
        <w:rPr>
          <w:rFonts w:cs="Arial"/>
        </w:rPr>
        <w:t xml:space="preserve"> and the investigation outcomes are practical for risk management. Stakeholders may include </w:t>
      </w:r>
      <w:r w:rsidR="00FE6347">
        <w:rPr>
          <w:rFonts w:cs="Arial"/>
        </w:rPr>
        <w:t>T</w:t>
      </w:r>
      <w:r w:rsidR="00FE6347" w:rsidRPr="00A50182">
        <w:rPr>
          <w:rFonts w:cs="Arial"/>
        </w:rPr>
        <w:t xml:space="preserve">raditional </w:t>
      </w:r>
      <w:r w:rsidR="00FE6347">
        <w:rPr>
          <w:rFonts w:cs="Arial"/>
        </w:rPr>
        <w:t>O</w:t>
      </w:r>
      <w:r w:rsidR="00FE6347" w:rsidRPr="00A50182">
        <w:rPr>
          <w:rFonts w:cs="Arial"/>
        </w:rPr>
        <w:t>wners,</w:t>
      </w:r>
      <w:r w:rsidR="00FE6347">
        <w:rPr>
          <w:rFonts w:cs="Arial"/>
        </w:rPr>
        <w:t xml:space="preserve"> </w:t>
      </w:r>
      <w:r w:rsidRPr="00A50182">
        <w:rPr>
          <w:rFonts w:cs="Arial"/>
        </w:rPr>
        <w:t>industry representatives, regulators/decision</w:t>
      </w:r>
      <w:r w:rsidR="008F156B">
        <w:rPr>
          <w:rFonts w:cs="Arial"/>
        </w:rPr>
        <w:t xml:space="preserve"> </w:t>
      </w:r>
      <w:r w:rsidRPr="00A50182">
        <w:rPr>
          <w:rFonts w:cs="Arial"/>
        </w:rPr>
        <w:t>makers, relevant state agencies and natural resource managers, local government, scientific and technical experts, adjacent landholders, downstream users and local communities.</w:t>
      </w:r>
      <w:r w:rsidR="00F53153">
        <w:rPr>
          <w:rFonts w:cs="Arial"/>
        </w:rPr>
        <w:t xml:space="preserve"> Section </w:t>
      </w:r>
      <w:r w:rsidR="00755C88" w:rsidRPr="007F2B1D">
        <w:rPr>
          <w:rFonts w:cs="Arial"/>
          <w:i/>
          <w:iCs/>
        </w:rPr>
        <w:fldChar w:fldCharType="begin"/>
      </w:r>
      <w:r w:rsidR="00755C88" w:rsidRPr="007F2B1D">
        <w:rPr>
          <w:rFonts w:cs="Arial"/>
          <w:i/>
          <w:iCs/>
        </w:rPr>
        <w:instrText xml:space="preserve"> REF _Ref88212119 \r \h </w:instrText>
      </w:r>
      <w:r w:rsidR="007F2B1D">
        <w:rPr>
          <w:rFonts w:cs="Arial"/>
          <w:i/>
          <w:iCs/>
        </w:rPr>
        <w:instrText xml:space="preserve"> \* MERGEFORMAT </w:instrText>
      </w:r>
      <w:r w:rsidR="00755C88" w:rsidRPr="007F2B1D">
        <w:rPr>
          <w:rFonts w:cs="Arial"/>
          <w:i/>
          <w:iCs/>
        </w:rPr>
      </w:r>
      <w:r w:rsidR="00755C88" w:rsidRPr="007F2B1D">
        <w:rPr>
          <w:rFonts w:cs="Arial"/>
          <w:i/>
          <w:iCs/>
        </w:rPr>
        <w:fldChar w:fldCharType="separate"/>
      </w:r>
      <w:r w:rsidR="00FD64B0">
        <w:rPr>
          <w:rFonts w:cs="Arial"/>
          <w:i/>
          <w:iCs/>
        </w:rPr>
        <w:t>5</w:t>
      </w:r>
      <w:r w:rsidR="00755C88" w:rsidRPr="007F2B1D">
        <w:rPr>
          <w:rFonts w:cs="Arial"/>
          <w:i/>
          <w:iCs/>
        </w:rPr>
        <w:fldChar w:fldCharType="end"/>
      </w:r>
      <w:r w:rsidR="008F0448">
        <w:rPr>
          <w:rFonts w:cs="Arial"/>
        </w:rPr>
        <w:t xml:space="preserve"> </w:t>
      </w:r>
      <w:r w:rsidR="00F53153" w:rsidRPr="00C608B8">
        <w:rPr>
          <w:rFonts w:cs="Arial"/>
          <w:i/>
          <w:iCs/>
        </w:rPr>
        <w:fldChar w:fldCharType="begin"/>
      </w:r>
      <w:r w:rsidR="00F53153" w:rsidRPr="00C608B8">
        <w:rPr>
          <w:rFonts w:cs="Arial"/>
          <w:i/>
          <w:iCs/>
        </w:rPr>
        <w:instrText xml:space="preserve"> REF _Ref88212119 \h </w:instrText>
      </w:r>
      <w:r w:rsidR="00C608B8">
        <w:rPr>
          <w:rFonts w:cs="Arial"/>
          <w:i/>
          <w:iCs/>
        </w:rPr>
        <w:instrText xml:space="preserve"> \* MERGEFORMAT </w:instrText>
      </w:r>
      <w:r w:rsidR="00F53153" w:rsidRPr="00C608B8">
        <w:rPr>
          <w:rFonts w:cs="Arial"/>
          <w:i/>
          <w:iCs/>
        </w:rPr>
      </w:r>
      <w:r w:rsidR="00F53153" w:rsidRPr="00C608B8">
        <w:rPr>
          <w:rFonts w:cs="Arial"/>
          <w:i/>
          <w:iCs/>
        </w:rPr>
        <w:fldChar w:fldCharType="separate"/>
      </w:r>
      <w:r w:rsidR="00FD64B0" w:rsidRPr="00FD64B0">
        <w:rPr>
          <w:i/>
          <w:iCs/>
        </w:rPr>
        <w:t>Stakeholder participation</w:t>
      </w:r>
      <w:r w:rsidR="00F53153" w:rsidRPr="00C608B8">
        <w:rPr>
          <w:rFonts w:cs="Arial"/>
          <w:i/>
          <w:iCs/>
        </w:rPr>
        <w:fldChar w:fldCharType="end"/>
      </w:r>
      <w:r w:rsidR="00F53153">
        <w:rPr>
          <w:rFonts w:cs="Arial"/>
        </w:rPr>
        <w:t xml:space="preserve"> i</w:t>
      </w:r>
      <w:r w:rsidRPr="00A50182">
        <w:rPr>
          <w:rFonts w:cs="Arial"/>
        </w:rPr>
        <w:t>n this document provides more guidance on stakeholder participation.</w:t>
      </w:r>
    </w:p>
    <w:p w14:paraId="6249DDE2" w14:textId="3A776ED6" w:rsidR="00F256C1" w:rsidRPr="00A50182" w:rsidRDefault="00F256C1" w:rsidP="00F256C1">
      <w:pPr>
        <w:spacing w:line="259" w:lineRule="auto"/>
        <w:rPr>
          <w:rFonts w:cs="Arial"/>
        </w:rPr>
      </w:pPr>
      <w:r w:rsidRPr="00A50182">
        <w:rPr>
          <w:rFonts w:cs="Arial"/>
        </w:rPr>
        <w:t>Problem formulation involves:</w:t>
      </w:r>
    </w:p>
    <w:p w14:paraId="46D209C8" w14:textId="77777777" w:rsidR="00F256C1" w:rsidRPr="00A50182" w:rsidRDefault="00F256C1" w:rsidP="006F1C84">
      <w:pPr>
        <w:pStyle w:val="ListBullet"/>
      </w:pPr>
      <w:r w:rsidRPr="00A50182">
        <w:t>defining management goals</w:t>
      </w:r>
    </w:p>
    <w:p w14:paraId="02CE1FF7" w14:textId="77777777" w:rsidR="00F256C1" w:rsidRPr="00A50182" w:rsidRDefault="00F256C1" w:rsidP="006F1C84">
      <w:pPr>
        <w:pStyle w:val="ListBullet"/>
      </w:pPr>
      <w:r w:rsidRPr="00A50182">
        <w:t>collating available data and information</w:t>
      </w:r>
    </w:p>
    <w:p w14:paraId="38AD0632" w14:textId="77777777" w:rsidR="00F256C1" w:rsidRPr="00A50182" w:rsidRDefault="00F256C1" w:rsidP="006F1C84">
      <w:pPr>
        <w:pStyle w:val="ListBullet"/>
      </w:pPr>
      <w:r w:rsidRPr="00A50182">
        <w:t xml:space="preserve">defining the potential risks, including identification of: </w:t>
      </w:r>
    </w:p>
    <w:p w14:paraId="60D3803C" w14:textId="77777777" w:rsidR="00F256C1" w:rsidRPr="00A50182" w:rsidRDefault="00F256C1" w:rsidP="00525686">
      <w:pPr>
        <w:pStyle w:val="ListBullet"/>
        <w:numPr>
          <w:ilvl w:val="1"/>
          <w:numId w:val="9"/>
        </w:numPr>
      </w:pPr>
      <w:r w:rsidRPr="00A50182">
        <w:t>environmental values requiring protection</w:t>
      </w:r>
    </w:p>
    <w:p w14:paraId="2CEB66FF" w14:textId="1BCE1D07" w:rsidR="00F256C1" w:rsidRPr="00A50182" w:rsidRDefault="00F256C1" w:rsidP="00525686">
      <w:pPr>
        <w:pStyle w:val="ListBullet"/>
        <w:numPr>
          <w:ilvl w:val="1"/>
          <w:numId w:val="9"/>
        </w:numPr>
      </w:pPr>
      <w:r w:rsidRPr="00A50182">
        <w:t xml:space="preserve">potential </w:t>
      </w:r>
      <w:r w:rsidR="007372BA">
        <w:t>hazard</w:t>
      </w:r>
      <w:r w:rsidRPr="00A50182">
        <w:t>s (or threats) to environmental values from the discharge</w:t>
      </w:r>
    </w:p>
    <w:p w14:paraId="5DDB1F60" w14:textId="77777777" w:rsidR="00F256C1" w:rsidRPr="00A50182" w:rsidRDefault="00F256C1" w:rsidP="00525686">
      <w:pPr>
        <w:pStyle w:val="ListBullet"/>
        <w:numPr>
          <w:ilvl w:val="1"/>
          <w:numId w:val="9"/>
        </w:numPr>
      </w:pPr>
      <w:r w:rsidRPr="00A50182">
        <w:t>factors influencing the likelihood of the risk occurring and the magnitude of the impacts</w:t>
      </w:r>
    </w:p>
    <w:p w14:paraId="12766939" w14:textId="77777777" w:rsidR="009820A3" w:rsidRPr="007329D4" w:rsidRDefault="00F256C1" w:rsidP="00525686">
      <w:pPr>
        <w:pStyle w:val="ListBullet"/>
        <w:numPr>
          <w:ilvl w:val="1"/>
          <w:numId w:val="9"/>
        </w:numPr>
      </w:pPr>
      <w:r w:rsidRPr="007329D4">
        <w:t>temporal and spatial scales of the environmental and human health risk assessment</w:t>
      </w:r>
    </w:p>
    <w:p w14:paraId="16B2835B" w14:textId="77777777" w:rsidR="00F256C1" w:rsidRPr="00A50182" w:rsidRDefault="00F256C1" w:rsidP="006F1C84">
      <w:pPr>
        <w:pStyle w:val="ListBullet"/>
      </w:pPr>
      <w:r w:rsidRPr="00A50182">
        <w:t>identifying endpoints that effectively assess the risks from the discharge to environmental values</w:t>
      </w:r>
    </w:p>
    <w:p w14:paraId="5965E66A" w14:textId="7A9E5EE4" w:rsidR="00F256C1" w:rsidRPr="00A50182" w:rsidRDefault="00F256C1" w:rsidP="006F1C84">
      <w:pPr>
        <w:pStyle w:val="ListBullet"/>
      </w:pPr>
      <w:r w:rsidRPr="10077A7C">
        <w:t>developing conceptual models that visually describe the relationships between</w:t>
      </w:r>
      <w:r w:rsidR="007C0AEB">
        <w:t xml:space="preserve"> </w:t>
      </w:r>
      <w:r w:rsidR="00A00281">
        <w:t xml:space="preserve">sources, </w:t>
      </w:r>
      <w:r w:rsidR="007C0AEB">
        <w:t>hazards,</w:t>
      </w:r>
      <w:r w:rsidRPr="10077A7C">
        <w:t xml:space="preserve"> environmental values, factors influencing the likelihood of the risk occurring and the magnitude of the impacts </w:t>
      </w:r>
      <w:r w:rsidR="4E98E183" w:rsidRPr="10077A7C">
        <w:t>on</w:t>
      </w:r>
      <w:r w:rsidRPr="10077A7C">
        <w:t xml:space="preserve"> values</w:t>
      </w:r>
    </w:p>
    <w:p w14:paraId="414FE6D4" w14:textId="26482010" w:rsidR="00F256C1" w:rsidRPr="0008749F" w:rsidRDefault="00F256C1" w:rsidP="006F1C84">
      <w:pPr>
        <w:pStyle w:val="ListBullet"/>
      </w:pPr>
      <w:r w:rsidRPr="00A50182">
        <w:t>a risk analysis plan.</w:t>
      </w:r>
    </w:p>
    <w:p w14:paraId="0DAAEDE2" w14:textId="0F576ED1" w:rsidR="003447A0" w:rsidRDefault="00F256C1" w:rsidP="003D1666">
      <w:r w:rsidRPr="00A50182">
        <w:t>The steps outlined above may initially be performed sequentially, but the process of problem formulation is often iterative as more information becomes available.</w:t>
      </w:r>
      <w:r w:rsidR="002419AA">
        <w:t xml:space="preserve"> </w:t>
      </w:r>
    </w:p>
    <w:p w14:paraId="1F417A5B" w14:textId="57F8429B" w:rsidR="003447A0" w:rsidRPr="00973C94" w:rsidRDefault="003447A0" w:rsidP="003D1666">
      <w:r w:rsidRPr="003447A0">
        <w:t>Although this guidance focuses on the risk to surface waters from wastewater discharges, discharges of wastewater to surface waters may have flow on effects on groundwater (refer to</w:t>
      </w:r>
      <w:r w:rsidR="00FF006B" w:rsidRPr="00FF006B">
        <w:t xml:space="preserve"> </w:t>
      </w:r>
      <w:r w:rsidR="00FF006B" w:rsidRPr="004B788D">
        <w:rPr>
          <w:i/>
          <w:iCs/>
        </w:rPr>
        <w:t>Hydrogeological Assessment Guidelines for Groundwater Quality</w:t>
      </w:r>
      <w:r w:rsidR="00FF006B">
        <w:t>,</w:t>
      </w:r>
      <w:r w:rsidRPr="003447A0">
        <w:t xml:space="preserve"> </w:t>
      </w:r>
      <w:r w:rsidR="00260DC7">
        <w:t>EPA publication</w:t>
      </w:r>
      <w:r w:rsidRPr="003447A0">
        <w:t xml:space="preserve"> 668</w:t>
      </w:r>
      <w:r w:rsidR="00A403C1">
        <w:t>.1</w:t>
      </w:r>
      <w:r w:rsidR="00FF006B">
        <w:t xml:space="preserve">) </w:t>
      </w:r>
      <w:r w:rsidRPr="003447A0">
        <w:t>and land. As part of a holistic risk assessment, the potential interactions between surface waters, groundwater and land should be identified and the risks to the environmental values of each segment of the environment assessed as needed.</w:t>
      </w:r>
    </w:p>
    <w:p w14:paraId="770D6E7D" w14:textId="6CE01ED5" w:rsidR="00F256C1" w:rsidRPr="00341E57" w:rsidRDefault="00F256C1" w:rsidP="00341E57">
      <w:pPr>
        <w:pStyle w:val="Heading3"/>
      </w:pPr>
      <w:bookmarkStart w:id="29" w:name="_Toc133938134"/>
      <w:r w:rsidRPr="00341E57">
        <w:t>Management goals</w:t>
      </w:r>
      <w:r w:rsidR="005954D8" w:rsidRPr="00341E57">
        <w:t xml:space="preserve"> and management objectives</w:t>
      </w:r>
      <w:bookmarkEnd w:id="29"/>
    </w:p>
    <w:p w14:paraId="5954A4B9" w14:textId="440978A9" w:rsidR="00F256C1" w:rsidRPr="00E735DF" w:rsidRDefault="00F256C1" w:rsidP="00F256C1">
      <w:bookmarkStart w:id="30" w:name="_Toc46869735"/>
      <w:bookmarkStart w:id="31" w:name="_Toc51853136"/>
      <w:bookmarkStart w:id="32" w:name="_Toc51857744"/>
      <w:bookmarkStart w:id="33" w:name="_Toc51857872"/>
      <w:r w:rsidRPr="00E735DF">
        <w:t xml:space="preserve">Management goals provide direction for the focus of the assessment. They are statements that embody broad objectives. For example, management goals could be ensuring that </w:t>
      </w:r>
      <w:r w:rsidRPr="00E735DF">
        <w:lastRenderedPageBreak/>
        <w:t>primary recreation in the waterbody (such as swimming) can occur or maintaining a healthy aquatic ecosystem.</w:t>
      </w:r>
      <w:bookmarkEnd w:id="30"/>
      <w:bookmarkEnd w:id="31"/>
      <w:bookmarkEnd w:id="32"/>
      <w:bookmarkEnd w:id="33"/>
    </w:p>
    <w:p w14:paraId="1F403C07" w14:textId="0AD35437" w:rsidR="00F256C1" w:rsidRPr="00E735DF" w:rsidRDefault="00F256C1" w:rsidP="00F256C1">
      <w:pPr>
        <w:spacing w:line="259" w:lineRule="auto"/>
      </w:pPr>
      <w:r w:rsidRPr="00E735DF">
        <w:t>Natural resource management goals are often already determined in local strategies (such as regional catchment strategies). A management goal can consist of a series of management objectives that help in interpreting the goal and aid in the selection of appropriate endpoints for assessment (</w:t>
      </w:r>
      <w:r w:rsidR="009F1A47">
        <w:t>s</w:t>
      </w:r>
      <w:r w:rsidRPr="009A291C">
        <w:t>ection</w:t>
      </w:r>
      <w:r w:rsidR="008F0448">
        <w:t xml:space="preserve"> </w:t>
      </w:r>
      <w:r w:rsidR="0028142C">
        <w:fldChar w:fldCharType="begin"/>
      </w:r>
      <w:r w:rsidR="0028142C">
        <w:instrText xml:space="preserve"> REF _Ref133938013 \n \h </w:instrText>
      </w:r>
      <w:r w:rsidR="0028142C">
        <w:fldChar w:fldCharType="separate"/>
      </w:r>
      <w:r w:rsidR="00FD64B0">
        <w:t>3.1.4</w:t>
      </w:r>
      <w:r w:rsidR="0028142C">
        <w:fldChar w:fldCharType="end"/>
      </w:r>
      <w:r w:rsidR="0028142C">
        <w:t xml:space="preserve"> </w:t>
      </w:r>
      <w:r w:rsidRPr="00E735DF">
        <w:t xml:space="preserve">in this document). </w:t>
      </w:r>
    </w:p>
    <w:p w14:paraId="7E4BA4D1" w14:textId="0FEE21E7" w:rsidR="00F256C1" w:rsidRPr="00E735DF" w:rsidRDefault="00F256C1" w:rsidP="004B788D">
      <w:pPr>
        <w:keepNext/>
        <w:keepLines/>
        <w:spacing w:line="259" w:lineRule="auto"/>
      </w:pPr>
      <w:r w:rsidRPr="00E735DF">
        <w:t xml:space="preserve">For example, the management goal ‘maintaining </w:t>
      </w:r>
      <w:r w:rsidR="00FD27F0">
        <w:t xml:space="preserve">a </w:t>
      </w:r>
      <w:r w:rsidRPr="00E735DF">
        <w:t>healthy aquatic ecosystem’ could be defined by these management objectives:</w:t>
      </w:r>
    </w:p>
    <w:p w14:paraId="36FEE2AF" w14:textId="77777777" w:rsidR="00F256C1" w:rsidRPr="00E735DF" w:rsidRDefault="00F256C1" w:rsidP="006F1C84">
      <w:pPr>
        <w:pStyle w:val="ListBullet"/>
      </w:pPr>
      <w:r w:rsidRPr="00E735DF">
        <w:t>prevention of algal blooms in waterbodies</w:t>
      </w:r>
    </w:p>
    <w:p w14:paraId="6B4B17AF" w14:textId="77777777" w:rsidR="00F256C1" w:rsidRPr="00E735DF" w:rsidRDefault="00F256C1" w:rsidP="006F1C84">
      <w:pPr>
        <w:pStyle w:val="ListBullet"/>
      </w:pPr>
      <w:r w:rsidRPr="00E735DF">
        <w:t>reduction in the concentrations of toxic metals in the water column and sediments to levels that are not harmful to biota</w:t>
      </w:r>
    </w:p>
    <w:p w14:paraId="3AD872AF" w14:textId="77777777" w:rsidR="00F256C1" w:rsidRPr="00E735DF" w:rsidRDefault="00F256C1" w:rsidP="006F1C84">
      <w:pPr>
        <w:pStyle w:val="ListBullet"/>
      </w:pPr>
      <w:r w:rsidRPr="00E735DF">
        <w:t>maintaining healthy fish populations and their habitat</w:t>
      </w:r>
    </w:p>
    <w:p w14:paraId="540B13DE" w14:textId="100A860D" w:rsidR="00F256C1" w:rsidRDefault="00F256C1" w:rsidP="006F1C84">
      <w:pPr>
        <w:pStyle w:val="ListBullet"/>
      </w:pPr>
      <w:r w:rsidRPr="00E735DF">
        <w:t>maintaining healthy macroinvertebrate communities.</w:t>
      </w:r>
    </w:p>
    <w:p w14:paraId="48060F3A" w14:textId="77777777" w:rsidR="00F256C1" w:rsidRDefault="00F256C1" w:rsidP="00341E57">
      <w:pPr>
        <w:pStyle w:val="Heading3"/>
      </w:pPr>
      <w:bookmarkStart w:id="34" w:name="_Toc133938135"/>
      <w:r>
        <w:t>Collation of available data and information</w:t>
      </w:r>
      <w:bookmarkEnd w:id="34"/>
    </w:p>
    <w:p w14:paraId="2B830D45" w14:textId="20818BAF" w:rsidR="00F256C1" w:rsidRPr="00BA22E1" w:rsidRDefault="00F256C1" w:rsidP="00F256C1">
      <w:r w:rsidRPr="00BA22E1">
        <w:t xml:space="preserve">Risk assessors need to gather and integrate all available data and information on the environmental values of the waterbody and the potential </w:t>
      </w:r>
      <w:r w:rsidR="007372BA">
        <w:t>hazard</w:t>
      </w:r>
      <w:r w:rsidRPr="00BA22E1">
        <w:t xml:space="preserve">s to these from the discharge. This may include monitoring data, data and information from models, previous research, literature reviews and local plans and strategies. This information should provide a sound basis on which to identify and define potential risks. </w:t>
      </w:r>
    </w:p>
    <w:p w14:paraId="5DA0EACE" w14:textId="77777777" w:rsidR="00F256C1" w:rsidRDefault="00F256C1" w:rsidP="00F256C1">
      <w:r w:rsidRPr="00BA22E1">
        <w:t>If key information and data are unavailable for assessment of the discharge and its potential impacts on the environmental values, this may need to be identified for collection for the risk analysis phase.</w:t>
      </w:r>
    </w:p>
    <w:p w14:paraId="015CB968" w14:textId="79B6A295" w:rsidR="00F256C1" w:rsidRPr="00341E57" w:rsidRDefault="00CA17B9" w:rsidP="00341E57">
      <w:pPr>
        <w:pStyle w:val="Heading3"/>
      </w:pPr>
      <w:bookmarkStart w:id="35" w:name="_Toc133938136"/>
      <w:r w:rsidRPr="00341E57">
        <w:t xml:space="preserve">Identifying environmental values and </w:t>
      </w:r>
      <w:r w:rsidR="00F256C1" w:rsidRPr="00341E57">
        <w:t>potential risks</w:t>
      </w:r>
      <w:bookmarkEnd w:id="35"/>
    </w:p>
    <w:p w14:paraId="5D4172B7" w14:textId="14B85E17" w:rsidR="00F256C1" w:rsidRPr="00BA22E1" w:rsidRDefault="00F256C1" w:rsidP="00F256C1">
      <w:pPr>
        <w:spacing w:line="259" w:lineRule="auto"/>
      </w:pPr>
      <w:r w:rsidRPr="00BA22E1">
        <w:t xml:space="preserve">Risk assessors need to identify </w:t>
      </w:r>
      <w:r w:rsidR="00CA17B9">
        <w:t xml:space="preserve">the environmental values </w:t>
      </w:r>
      <w:r w:rsidRPr="00BA22E1">
        <w:t xml:space="preserve">and </w:t>
      </w:r>
      <w:r w:rsidR="0073469F">
        <w:t xml:space="preserve">the </w:t>
      </w:r>
      <w:r w:rsidRPr="00BA22E1">
        <w:t xml:space="preserve">potential risks </w:t>
      </w:r>
      <w:r w:rsidR="00C874F9">
        <w:t xml:space="preserve">from </w:t>
      </w:r>
      <w:r w:rsidR="0073469F">
        <w:t xml:space="preserve">the </w:t>
      </w:r>
      <w:r w:rsidRPr="00BA22E1">
        <w:t xml:space="preserve">wastewater discharges to </w:t>
      </w:r>
      <w:r w:rsidR="0073469F">
        <w:t xml:space="preserve">the </w:t>
      </w:r>
      <w:r w:rsidRPr="00BA22E1">
        <w:t xml:space="preserve">environmental values. </w:t>
      </w:r>
    </w:p>
    <w:p w14:paraId="32DACF91" w14:textId="6A94B6FB" w:rsidR="00F256C1" w:rsidRPr="00BA22E1" w:rsidRDefault="00F256C1" w:rsidP="00F256C1">
      <w:pPr>
        <w:spacing w:line="259" w:lineRule="auto"/>
      </w:pPr>
      <w:r w:rsidRPr="00BA22E1">
        <w:t>Identification of the environmental values to be protected occurs through consultation with all relevant stakeholders (</w:t>
      </w:r>
      <w:r w:rsidR="00FE6347">
        <w:rPr>
          <w:rFonts w:cs="Arial"/>
        </w:rPr>
        <w:t>T</w:t>
      </w:r>
      <w:r w:rsidR="00FE6347" w:rsidRPr="00BA22E1">
        <w:rPr>
          <w:rFonts w:cs="Arial"/>
        </w:rPr>
        <w:t xml:space="preserve">raditional </w:t>
      </w:r>
      <w:r w:rsidR="00FE6347">
        <w:rPr>
          <w:rFonts w:cs="Arial"/>
        </w:rPr>
        <w:t>O</w:t>
      </w:r>
      <w:r w:rsidR="00FE6347" w:rsidRPr="00BA22E1">
        <w:rPr>
          <w:rFonts w:cs="Arial"/>
        </w:rPr>
        <w:t>wners</w:t>
      </w:r>
      <w:r w:rsidR="00FE6347">
        <w:rPr>
          <w:rFonts w:cs="Arial"/>
        </w:rPr>
        <w:t>,</w:t>
      </w:r>
      <w:r w:rsidR="00FE6347" w:rsidRPr="00BA22E1">
        <w:rPr>
          <w:rFonts w:cs="Arial"/>
        </w:rPr>
        <w:t xml:space="preserve"> </w:t>
      </w:r>
      <w:r w:rsidRPr="00BA22E1">
        <w:rPr>
          <w:rFonts w:cs="Arial"/>
        </w:rPr>
        <w:t>industry representatives, regulators/decision</w:t>
      </w:r>
      <w:r w:rsidR="008F156B">
        <w:rPr>
          <w:rFonts w:cs="Arial"/>
        </w:rPr>
        <w:t xml:space="preserve"> </w:t>
      </w:r>
      <w:r w:rsidRPr="00BA22E1">
        <w:rPr>
          <w:rFonts w:cs="Arial"/>
        </w:rPr>
        <w:t>makers, resource managers, local government, scientific and technical experts, local communities</w:t>
      </w:r>
      <w:r w:rsidRPr="00BA22E1">
        <w:t xml:space="preserve">) and review of local and state resource management and environment protection strategies and policies (ERS, regional waterway strategies, regional catchment strategies). From this process, environmental values are clearly identified, providing a focus for the environmental </w:t>
      </w:r>
      <w:r>
        <w:t xml:space="preserve">and human health </w:t>
      </w:r>
      <w:r w:rsidRPr="00BA22E1">
        <w:t xml:space="preserve">risk assessment. </w:t>
      </w:r>
    </w:p>
    <w:p w14:paraId="0F59C100" w14:textId="4F2FE933" w:rsidR="00F256C1" w:rsidRPr="00BA22E1" w:rsidRDefault="00F256C1" w:rsidP="00F256C1">
      <w:pPr>
        <w:spacing w:line="259" w:lineRule="auto"/>
      </w:pPr>
      <w:r w:rsidRPr="00BA22E1">
        <w:t>Examples of environmental values could be:</w:t>
      </w:r>
    </w:p>
    <w:p w14:paraId="014DCFE1" w14:textId="720BEC9D" w:rsidR="00F256C1" w:rsidRPr="00BA22E1" w:rsidRDefault="00F256C1" w:rsidP="006F1C84">
      <w:pPr>
        <w:pStyle w:val="ListBullet"/>
      </w:pPr>
      <w:r w:rsidRPr="00BA22E1">
        <w:t>water dependent ecosystem and species</w:t>
      </w:r>
    </w:p>
    <w:p w14:paraId="212CAB07" w14:textId="77777777" w:rsidR="00F256C1" w:rsidRPr="00BA22E1" w:rsidRDefault="00F256C1" w:rsidP="006F1C84">
      <w:pPr>
        <w:pStyle w:val="ListBullet"/>
      </w:pPr>
      <w:r w:rsidRPr="00BA22E1">
        <w:t>water-based recreation (secondary contact)</w:t>
      </w:r>
    </w:p>
    <w:p w14:paraId="49A9FF8A" w14:textId="0AE29B86" w:rsidR="00F256C1" w:rsidRPr="00BA22E1" w:rsidRDefault="00F256C1" w:rsidP="006F1C84">
      <w:pPr>
        <w:pStyle w:val="ListBullet"/>
      </w:pPr>
      <w:r w:rsidRPr="00BA22E1">
        <w:t>water-based recreation (aesthetic enjoyment)</w:t>
      </w:r>
    </w:p>
    <w:p w14:paraId="08AF1976" w14:textId="7ADB6E5C" w:rsidR="00F256C1" w:rsidRPr="00BA22E1" w:rsidRDefault="00F256C1" w:rsidP="006F1C84">
      <w:pPr>
        <w:pStyle w:val="ListBullet"/>
      </w:pPr>
      <w:r w:rsidRPr="00BA22E1">
        <w:t>human consumption of aquatic foods</w:t>
      </w:r>
      <w:r w:rsidR="009722DF">
        <w:t>.</w:t>
      </w:r>
    </w:p>
    <w:p w14:paraId="407084FB" w14:textId="2791EC4D" w:rsidR="00F256C1" w:rsidRPr="00BA22E1" w:rsidRDefault="007372BA" w:rsidP="00F256C1">
      <w:pPr>
        <w:spacing w:line="259" w:lineRule="auto"/>
      </w:pPr>
      <w:r>
        <w:lastRenderedPageBreak/>
        <w:t>Hazard</w:t>
      </w:r>
      <w:r w:rsidR="00F256C1" w:rsidRPr="00BA22E1">
        <w:t>s are defined as any physical (for example, scouring, sediment deposition), chemical (for example, toxicants) or biological entity (for example, pathogens) that can induce a harmful</w:t>
      </w:r>
      <w:r w:rsidR="00F256C1" w:rsidRPr="00BA22E1" w:rsidDel="0001267E">
        <w:t xml:space="preserve"> </w:t>
      </w:r>
      <w:r w:rsidR="00F256C1" w:rsidRPr="00BA22E1">
        <w:t xml:space="preserve">response in an environmental value. It is important to also consider the possible interactions between multiple </w:t>
      </w:r>
      <w:r>
        <w:t>hazard</w:t>
      </w:r>
      <w:r w:rsidR="00F256C1" w:rsidRPr="00BA22E1">
        <w:t xml:space="preserve">s. </w:t>
      </w:r>
    </w:p>
    <w:p w14:paraId="37AA651B" w14:textId="34A8C5DD" w:rsidR="00F256C1" w:rsidRPr="00BA22E1" w:rsidRDefault="00F256C1" w:rsidP="00F256C1">
      <w:pPr>
        <w:spacing w:line="259" w:lineRule="auto"/>
      </w:pPr>
      <w:r w:rsidRPr="00BA22E1">
        <w:t>Factors that influence the likelihood of the risk occurring also need to be identified. For example, if looking at the risk of an algal bloom occurring:</w:t>
      </w:r>
    </w:p>
    <w:p w14:paraId="1EF58112" w14:textId="1BB042CD" w:rsidR="00F256C1" w:rsidRPr="00BA22E1" w:rsidRDefault="00F256C1" w:rsidP="006F1C84">
      <w:pPr>
        <w:pStyle w:val="ListBullet"/>
      </w:pPr>
      <w:bookmarkStart w:id="36" w:name="_Int_en9qgA+p"/>
      <w:r>
        <w:t>the</w:t>
      </w:r>
      <w:bookmarkEnd w:id="36"/>
      <w:r>
        <w:t xml:space="preserve"> </w:t>
      </w:r>
      <w:r w:rsidR="007372BA">
        <w:t>hazard</w:t>
      </w:r>
      <w:r>
        <w:t xml:space="preserve"> is high nutrient concentrations</w:t>
      </w:r>
    </w:p>
    <w:p w14:paraId="098342B4" w14:textId="6631C706" w:rsidR="00F256C1" w:rsidRPr="0008749F" w:rsidRDefault="00F256C1" w:rsidP="006F1C84">
      <w:pPr>
        <w:pStyle w:val="ListBullet"/>
      </w:pPr>
      <w:r w:rsidRPr="00BA22E1">
        <w:t xml:space="preserve">factors that may influence a bloom occurring in the presence of high nutrient levels are light levels in the water column, flow velocity and temperature. </w:t>
      </w:r>
    </w:p>
    <w:p w14:paraId="4BA7F255" w14:textId="1EAD1044" w:rsidR="00395469" w:rsidRDefault="00F256C1" w:rsidP="0008749F">
      <w:pPr>
        <w:spacing w:line="259" w:lineRule="auto"/>
      </w:pPr>
      <w:r w:rsidRPr="00391116">
        <w:rPr>
          <w:rFonts w:cs="Arial"/>
          <w:b/>
          <w:i/>
          <w:iCs/>
        </w:rPr>
        <w:t xml:space="preserve">An example of management goals, environmental values, </w:t>
      </w:r>
      <w:r w:rsidR="007372BA">
        <w:rPr>
          <w:rFonts w:cs="Arial"/>
          <w:b/>
          <w:i/>
          <w:iCs/>
        </w:rPr>
        <w:t>hazard</w:t>
      </w:r>
      <w:r w:rsidRPr="00391116">
        <w:rPr>
          <w:rFonts w:cs="Arial"/>
          <w:b/>
          <w:i/>
          <w:iCs/>
        </w:rPr>
        <w:t>s, risks and influential factors for a wastewater discharge</w:t>
      </w:r>
      <w:r w:rsidRPr="00BA22E1">
        <w:t xml:space="preserve"> is shown </w:t>
      </w:r>
      <w:r w:rsidR="003447A0" w:rsidRPr="003447A0">
        <w:t>in the box</w:t>
      </w:r>
      <w:r w:rsidR="003447A0">
        <w:t xml:space="preserve"> </w:t>
      </w:r>
      <w:r w:rsidRPr="00BA22E1">
        <w:t>below.</w:t>
      </w:r>
    </w:p>
    <w:p w14:paraId="177D11C8" w14:textId="364A1B2D" w:rsidR="00F21050" w:rsidRDefault="00F21050" w:rsidP="00F21050">
      <w:r>
        <w:rPr>
          <w:noProof/>
        </w:rPr>
        <w:lastRenderedPageBreak/>
        <mc:AlternateContent>
          <mc:Choice Requires="wps">
            <w:drawing>
              <wp:inline distT="0" distB="0" distL="0" distR="0" wp14:anchorId="14C2CF4C" wp14:editId="32E59FE2">
                <wp:extent cx="1828800" cy="7626350"/>
                <wp:effectExtent l="0" t="0" r="8890" b="19050"/>
                <wp:docPr id="505" name="Text Box 505"/>
                <wp:cNvGraphicFramePr/>
                <a:graphic xmlns:a="http://schemas.openxmlformats.org/drawingml/2006/main">
                  <a:graphicData uri="http://schemas.microsoft.com/office/word/2010/wordprocessingShape">
                    <wps:wsp>
                      <wps:cNvSpPr txBox="1"/>
                      <wps:spPr>
                        <a:xfrm>
                          <a:off x="0" y="0"/>
                          <a:ext cx="1828800" cy="7626350"/>
                        </a:xfrm>
                        <a:prstGeom prst="rect">
                          <a:avLst/>
                        </a:prstGeom>
                        <a:solidFill>
                          <a:schemeClr val="bg1"/>
                        </a:solidFill>
                        <a:ln w="6350">
                          <a:solidFill>
                            <a:prstClr val="black"/>
                          </a:solidFill>
                        </a:ln>
                      </wps:spPr>
                      <wps:txbx>
                        <w:txbxContent>
                          <w:p w14:paraId="08D0D2A8" w14:textId="77777777" w:rsidR="00F21050" w:rsidRPr="00F21050" w:rsidRDefault="00F21050" w:rsidP="00566CC2">
                            <w:pPr>
                              <w:spacing w:line="259" w:lineRule="auto"/>
                              <w:rPr>
                                <w:rFonts w:cs="Arial"/>
                                <w:b/>
                              </w:rPr>
                            </w:pPr>
                            <w:r w:rsidRPr="00F21050">
                              <w:rPr>
                                <w:rFonts w:cs="Arial"/>
                                <w:b/>
                              </w:rPr>
                              <w:t>An example of management goals, environmental values, hazards, risks and influential factors for a wastewater discharge</w:t>
                            </w:r>
                          </w:p>
                          <w:p w14:paraId="4E2E2842" w14:textId="77777777" w:rsidR="00F21050" w:rsidRPr="00BA22E1" w:rsidRDefault="00F21050" w:rsidP="00F256C1">
                            <w:pPr>
                              <w:ind w:left="142"/>
                              <w:rPr>
                                <w:rFonts w:cs="Arial"/>
                              </w:rPr>
                            </w:pPr>
                            <w:r w:rsidRPr="00BA22E1">
                              <w:rPr>
                                <w:rFonts w:cs="Arial"/>
                                <w:b/>
                                <w:bCs/>
                              </w:rPr>
                              <w:t>Situation</w:t>
                            </w:r>
                            <w:r w:rsidRPr="00BA22E1">
                              <w:rPr>
                                <w:rFonts w:cs="Arial"/>
                              </w:rPr>
                              <w:t>: Tertiary treated effluent from a wastewater treatment plant is discharged into a nearby stream.</w:t>
                            </w:r>
                          </w:p>
                          <w:p w14:paraId="5BCB52C7" w14:textId="77777777" w:rsidR="00F21050" w:rsidRDefault="00F21050" w:rsidP="00F256C1">
                            <w:pPr>
                              <w:spacing w:line="259" w:lineRule="auto"/>
                              <w:ind w:left="142"/>
                              <w:rPr>
                                <w:rFonts w:cs="Arial"/>
                              </w:rPr>
                            </w:pPr>
                            <w:r w:rsidRPr="00BA22E1">
                              <w:rPr>
                                <w:rFonts w:cs="Arial"/>
                                <w:b/>
                                <w:bCs/>
                              </w:rPr>
                              <w:t>Management goals</w:t>
                            </w:r>
                            <w:r w:rsidRPr="00BA22E1">
                              <w:rPr>
                                <w:rFonts w:cs="Arial"/>
                              </w:rPr>
                              <w:t>:</w:t>
                            </w:r>
                          </w:p>
                          <w:p w14:paraId="22337E3A" w14:textId="77777777" w:rsidR="00F21050" w:rsidRDefault="00F21050" w:rsidP="00525686">
                            <w:pPr>
                              <w:pStyle w:val="ListParagraph"/>
                              <w:numPr>
                                <w:ilvl w:val="0"/>
                                <w:numId w:val="8"/>
                              </w:numPr>
                              <w:spacing w:after="0"/>
                              <w:ind w:left="1985"/>
                              <w:rPr>
                                <w:rFonts w:cs="Arial"/>
                              </w:rPr>
                            </w:pPr>
                            <w:r w:rsidRPr="00EA6CCF">
                              <w:rPr>
                                <w:rFonts w:cs="Arial"/>
                              </w:rPr>
                              <w:t>Maintaining and protecting a healthy aquatic ecosystem.</w:t>
                            </w:r>
                          </w:p>
                          <w:p w14:paraId="2C7E3A0F" w14:textId="77777777" w:rsidR="00F21050" w:rsidRPr="00842F58" w:rsidRDefault="00F21050" w:rsidP="00525686">
                            <w:pPr>
                              <w:pStyle w:val="ListParagraph"/>
                              <w:numPr>
                                <w:ilvl w:val="0"/>
                                <w:numId w:val="8"/>
                              </w:numPr>
                              <w:spacing w:after="0"/>
                              <w:ind w:left="1985"/>
                              <w:rPr>
                                <w:rFonts w:cs="Arial"/>
                              </w:rPr>
                            </w:pPr>
                            <w:r w:rsidRPr="00842F58">
                              <w:rPr>
                                <w:rFonts w:cs="Arial"/>
                              </w:rPr>
                              <w:t>Clean water suitable for recreational purposes.</w:t>
                            </w:r>
                          </w:p>
                          <w:p w14:paraId="018613C4" w14:textId="77777777" w:rsidR="00F21050" w:rsidRPr="00BA22E1" w:rsidRDefault="00F21050" w:rsidP="00F256C1">
                            <w:pPr>
                              <w:pStyle w:val="ListParagraph"/>
                              <w:numPr>
                                <w:ilvl w:val="0"/>
                                <w:numId w:val="0"/>
                              </w:numPr>
                              <w:spacing w:after="0"/>
                              <w:ind w:left="2268"/>
                              <w:rPr>
                                <w:rFonts w:cs="Arial"/>
                              </w:rPr>
                            </w:pPr>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2063"/>
                              <w:gridCol w:w="2591"/>
                              <w:gridCol w:w="2453"/>
                            </w:tblGrid>
                            <w:tr w:rsidR="00F21050" w:rsidRPr="00BA22E1" w14:paraId="5672CE25" w14:textId="77777777" w:rsidTr="004B788D">
                              <w:trPr>
                                <w:jc w:val="center"/>
                              </w:trPr>
                              <w:tc>
                                <w:tcPr>
                                  <w:tcW w:w="2329" w:type="dxa"/>
                                  <w:tcBorders>
                                    <w:bottom w:val="single" w:sz="4" w:space="0" w:color="auto"/>
                                  </w:tcBorders>
                                  <w:shd w:val="clear" w:color="auto" w:fill="003F72"/>
                                </w:tcPr>
                                <w:p w14:paraId="0FB0F02B" w14:textId="77777777" w:rsidR="00F21050" w:rsidRPr="00BA22E1" w:rsidRDefault="00F21050" w:rsidP="007F59FC">
                                  <w:pPr>
                                    <w:pStyle w:val="Tabletext0"/>
                                  </w:pPr>
                                  <w:r w:rsidRPr="00BA22E1">
                                    <w:t>Environmental values</w:t>
                                  </w:r>
                                </w:p>
                              </w:tc>
                              <w:tc>
                                <w:tcPr>
                                  <w:tcW w:w="2090" w:type="dxa"/>
                                  <w:tcBorders>
                                    <w:bottom w:val="single" w:sz="4" w:space="0" w:color="auto"/>
                                  </w:tcBorders>
                                  <w:shd w:val="clear" w:color="auto" w:fill="003F72"/>
                                </w:tcPr>
                                <w:p w14:paraId="11FA4A50" w14:textId="77777777" w:rsidR="00F21050" w:rsidRPr="00BA22E1" w:rsidRDefault="00F21050" w:rsidP="007F59FC">
                                  <w:pPr>
                                    <w:pStyle w:val="Tabletext0"/>
                                  </w:pPr>
                                  <w:r>
                                    <w:t>Hazard</w:t>
                                  </w:r>
                                  <w:r w:rsidRPr="00BA22E1">
                                    <w:t>s</w:t>
                                  </w:r>
                                  <w:r w:rsidRPr="00BA22E1">
                                    <w:tab/>
                                  </w:r>
                                </w:p>
                              </w:tc>
                              <w:tc>
                                <w:tcPr>
                                  <w:tcW w:w="2636" w:type="dxa"/>
                                  <w:tcBorders>
                                    <w:bottom w:val="single" w:sz="4" w:space="0" w:color="auto"/>
                                  </w:tcBorders>
                                  <w:shd w:val="clear" w:color="auto" w:fill="003F72"/>
                                </w:tcPr>
                                <w:p w14:paraId="4A018FE1" w14:textId="77777777" w:rsidR="00F21050" w:rsidRPr="00BA22E1" w:rsidRDefault="00F21050" w:rsidP="007F59FC">
                                  <w:pPr>
                                    <w:pStyle w:val="Tabletext0"/>
                                  </w:pPr>
                                  <w:r w:rsidRPr="00BA22E1">
                                    <w:t>Risk</w:t>
                                  </w:r>
                                </w:p>
                              </w:tc>
                              <w:tc>
                                <w:tcPr>
                                  <w:tcW w:w="2580" w:type="dxa"/>
                                  <w:tcBorders>
                                    <w:bottom w:val="single" w:sz="4" w:space="0" w:color="auto"/>
                                  </w:tcBorders>
                                  <w:shd w:val="clear" w:color="auto" w:fill="003F72"/>
                                </w:tcPr>
                                <w:p w14:paraId="38F97E65" w14:textId="77777777" w:rsidR="00F21050" w:rsidRPr="00BA22E1" w:rsidRDefault="00F21050" w:rsidP="007F59FC">
                                  <w:pPr>
                                    <w:pStyle w:val="Tabletext0"/>
                                  </w:pPr>
                                  <w:r w:rsidRPr="00BA22E1">
                                    <w:t>Other factors influencing the likelihood of the risk occurring</w:t>
                                  </w:r>
                                </w:p>
                              </w:tc>
                            </w:tr>
                            <w:tr w:rsidR="00F21050" w:rsidRPr="00BA22E1" w14:paraId="42D34F48" w14:textId="77777777" w:rsidTr="004B788D">
                              <w:trPr>
                                <w:jc w:val="center"/>
                              </w:trPr>
                              <w:tc>
                                <w:tcPr>
                                  <w:tcW w:w="2329" w:type="dxa"/>
                                  <w:vMerge w:val="restart"/>
                                  <w:shd w:val="clear" w:color="auto" w:fill="FFFFFF" w:themeFill="background1"/>
                                  <w:vAlign w:val="center"/>
                                </w:tcPr>
                                <w:p w14:paraId="0D5B3909" w14:textId="77777777" w:rsidR="00F21050" w:rsidRPr="00BA22E1" w:rsidRDefault="00F21050" w:rsidP="007F59FC">
                                  <w:pPr>
                                    <w:pStyle w:val="Tabletext0"/>
                                  </w:pPr>
                                  <w:r w:rsidRPr="00BA22E1">
                                    <w:t>Water dependent ecosystem and species</w:t>
                                  </w:r>
                                </w:p>
                              </w:tc>
                              <w:tc>
                                <w:tcPr>
                                  <w:tcW w:w="2090" w:type="dxa"/>
                                  <w:shd w:val="clear" w:color="auto" w:fill="FFFFFF" w:themeFill="background1"/>
                                </w:tcPr>
                                <w:p w14:paraId="7FA7CEB4" w14:textId="77777777" w:rsidR="00F21050" w:rsidRPr="00BA22E1" w:rsidRDefault="00F21050" w:rsidP="007F59FC">
                                  <w:pPr>
                                    <w:pStyle w:val="Tabletext0"/>
                                  </w:pPr>
                                  <w:r w:rsidRPr="00BA22E1">
                                    <w:t>Nutrients</w:t>
                                  </w:r>
                                </w:p>
                              </w:tc>
                              <w:tc>
                                <w:tcPr>
                                  <w:tcW w:w="2636" w:type="dxa"/>
                                  <w:shd w:val="clear" w:color="auto" w:fill="FFFFFF" w:themeFill="background1"/>
                                </w:tcPr>
                                <w:p w14:paraId="63B1D7AF" w14:textId="77777777" w:rsidR="00F21050" w:rsidRPr="00BA22E1" w:rsidRDefault="00F21050" w:rsidP="007F59FC">
                                  <w:pPr>
                                    <w:pStyle w:val="Tabletext0"/>
                                  </w:pPr>
                                  <w:r w:rsidRPr="00BA22E1">
                                    <w:t>Algal blooms causing low dissolved oxygen</w:t>
                                  </w:r>
                                </w:p>
                              </w:tc>
                              <w:tc>
                                <w:tcPr>
                                  <w:tcW w:w="2580" w:type="dxa"/>
                                  <w:shd w:val="clear" w:color="auto" w:fill="FFFFFF" w:themeFill="background1"/>
                                </w:tcPr>
                                <w:p w14:paraId="38AC3E00" w14:textId="77777777" w:rsidR="00F21050" w:rsidRPr="00BA22E1" w:rsidRDefault="00F21050" w:rsidP="007F59FC">
                                  <w:pPr>
                                    <w:pStyle w:val="Tabletext0"/>
                                  </w:pPr>
                                  <w:r w:rsidRPr="00BA22E1">
                                    <w:t>Light, flow and temperature</w:t>
                                  </w:r>
                                </w:p>
                              </w:tc>
                            </w:tr>
                            <w:tr w:rsidR="00F21050" w:rsidRPr="00BA22E1" w14:paraId="3047D0BA" w14:textId="77777777" w:rsidTr="004B788D">
                              <w:trPr>
                                <w:jc w:val="center"/>
                              </w:trPr>
                              <w:tc>
                                <w:tcPr>
                                  <w:tcW w:w="2329" w:type="dxa"/>
                                  <w:vMerge/>
                                  <w:shd w:val="clear" w:color="auto" w:fill="FFFFFF" w:themeFill="background1"/>
                                </w:tcPr>
                                <w:p w14:paraId="3F95495C" w14:textId="77777777" w:rsidR="00F21050" w:rsidRPr="00BA22E1" w:rsidRDefault="00F21050" w:rsidP="007F59FC">
                                  <w:pPr>
                                    <w:pStyle w:val="Tabletext0"/>
                                  </w:pPr>
                                </w:p>
                              </w:tc>
                              <w:tc>
                                <w:tcPr>
                                  <w:tcW w:w="2090" w:type="dxa"/>
                                  <w:shd w:val="clear" w:color="auto" w:fill="FFFFFF" w:themeFill="background1"/>
                                </w:tcPr>
                                <w:p w14:paraId="5D2C1DD8" w14:textId="77777777" w:rsidR="00F21050" w:rsidRPr="00BA22E1" w:rsidRDefault="00F21050" w:rsidP="007F59FC">
                                  <w:pPr>
                                    <w:pStyle w:val="Tabletext0"/>
                                  </w:pPr>
                                  <w:r w:rsidRPr="00BA22E1">
                                    <w:t>Organic matter</w:t>
                                  </w:r>
                                </w:p>
                              </w:tc>
                              <w:tc>
                                <w:tcPr>
                                  <w:tcW w:w="2636" w:type="dxa"/>
                                  <w:shd w:val="clear" w:color="auto" w:fill="FFFFFF" w:themeFill="background1"/>
                                </w:tcPr>
                                <w:p w14:paraId="0081D5FE" w14:textId="77777777" w:rsidR="00F21050" w:rsidRPr="00BA22E1" w:rsidRDefault="00F21050" w:rsidP="007F59FC">
                                  <w:pPr>
                                    <w:pStyle w:val="Tabletext0"/>
                                  </w:pPr>
                                  <w:r w:rsidRPr="00BA22E1">
                                    <w:t>Low dissolved oxygen</w:t>
                                  </w:r>
                                </w:p>
                              </w:tc>
                              <w:tc>
                                <w:tcPr>
                                  <w:tcW w:w="2580" w:type="dxa"/>
                                  <w:shd w:val="clear" w:color="auto" w:fill="FFFFFF" w:themeFill="background1"/>
                                </w:tcPr>
                                <w:p w14:paraId="0FFB21AE" w14:textId="77777777" w:rsidR="00F21050" w:rsidRPr="00BA22E1" w:rsidRDefault="00F21050" w:rsidP="007F59FC">
                                  <w:pPr>
                                    <w:pStyle w:val="Tabletext0"/>
                                  </w:pPr>
                                  <w:r w:rsidRPr="00BA22E1">
                                    <w:t>Microbial activity</w:t>
                                  </w:r>
                                </w:p>
                              </w:tc>
                            </w:tr>
                            <w:tr w:rsidR="00F21050" w:rsidRPr="00BA22E1" w14:paraId="5B3730BF" w14:textId="77777777" w:rsidTr="004B788D">
                              <w:trPr>
                                <w:jc w:val="center"/>
                              </w:trPr>
                              <w:tc>
                                <w:tcPr>
                                  <w:tcW w:w="2329" w:type="dxa"/>
                                  <w:vMerge/>
                                  <w:shd w:val="clear" w:color="auto" w:fill="FFFFFF" w:themeFill="background1"/>
                                </w:tcPr>
                                <w:p w14:paraId="4E1F3D9C" w14:textId="77777777" w:rsidR="00F21050" w:rsidRPr="00BA22E1" w:rsidRDefault="00F21050" w:rsidP="007F59FC">
                                  <w:pPr>
                                    <w:pStyle w:val="Tabletext0"/>
                                  </w:pPr>
                                </w:p>
                              </w:tc>
                              <w:tc>
                                <w:tcPr>
                                  <w:tcW w:w="2090" w:type="dxa"/>
                                  <w:shd w:val="clear" w:color="auto" w:fill="FFFFFF" w:themeFill="background1"/>
                                </w:tcPr>
                                <w:p w14:paraId="1F8B5730" w14:textId="77777777" w:rsidR="00F21050" w:rsidRPr="00BA22E1" w:rsidRDefault="00F21050" w:rsidP="007F59FC">
                                  <w:pPr>
                                    <w:pStyle w:val="Tabletext0"/>
                                  </w:pPr>
                                  <w:r w:rsidRPr="00BA22E1">
                                    <w:t>Salinity</w:t>
                                  </w:r>
                                </w:p>
                              </w:tc>
                              <w:tc>
                                <w:tcPr>
                                  <w:tcW w:w="2636" w:type="dxa"/>
                                  <w:shd w:val="clear" w:color="auto" w:fill="FFFFFF" w:themeFill="background1"/>
                                </w:tcPr>
                                <w:p w14:paraId="3F9C8F93"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743CCAA6" w14:textId="77777777" w:rsidR="00F21050" w:rsidRPr="00BA22E1" w:rsidRDefault="00F21050" w:rsidP="007F59FC">
                                  <w:pPr>
                                    <w:pStyle w:val="Tabletext0"/>
                                  </w:pPr>
                                  <w:r w:rsidRPr="00BA22E1">
                                    <w:t>Flow, evaporation</w:t>
                                  </w:r>
                                </w:p>
                              </w:tc>
                            </w:tr>
                            <w:tr w:rsidR="00F21050" w:rsidRPr="00BA22E1" w14:paraId="7DDA910C" w14:textId="77777777" w:rsidTr="004B788D">
                              <w:trPr>
                                <w:jc w:val="center"/>
                              </w:trPr>
                              <w:tc>
                                <w:tcPr>
                                  <w:tcW w:w="2329" w:type="dxa"/>
                                  <w:vMerge/>
                                  <w:shd w:val="clear" w:color="auto" w:fill="FFFFFF" w:themeFill="background1"/>
                                </w:tcPr>
                                <w:p w14:paraId="6F5605B2" w14:textId="77777777" w:rsidR="00F21050" w:rsidRPr="00BA22E1" w:rsidRDefault="00F21050" w:rsidP="007F59FC">
                                  <w:pPr>
                                    <w:pStyle w:val="Tabletext0"/>
                                  </w:pPr>
                                </w:p>
                              </w:tc>
                              <w:tc>
                                <w:tcPr>
                                  <w:tcW w:w="2090" w:type="dxa"/>
                                  <w:shd w:val="clear" w:color="auto" w:fill="FFFFFF" w:themeFill="background1"/>
                                </w:tcPr>
                                <w:p w14:paraId="52257699" w14:textId="77777777" w:rsidR="00F21050" w:rsidRPr="00BA22E1" w:rsidRDefault="00F21050" w:rsidP="007F59FC">
                                  <w:pPr>
                                    <w:pStyle w:val="Tabletext0"/>
                                  </w:pPr>
                                  <w:r w:rsidRPr="00BA22E1">
                                    <w:t>pH</w:t>
                                  </w:r>
                                </w:p>
                              </w:tc>
                              <w:tc>
                                <w:tcPr>
                                  <w:tcW w:w="2636" w:type="dxa"/>
                                  <w:shd w:val="clear" w:color="auto" w:fill="FFFFFF" w:themeFill="background1"/>
                                </w:tcPr>
                                <w:p w14:paraId="0243AC05" w14:textId="77777777" w:rsidR="00F21050" w:rsidRPr="00BA22E1" w:rsidRDefault="00F21050" w:rsidP="007F59FC">
                                  <w:pPr>
                                    <w:pStyle w:val="Tabletext0"/>
                                  </w:pPr>
                                  <w:r w:rsidRPr="00BA22E1">
                                    <w:t>Low and high pH can induce toxic effects in a range of substances, as well as being directly harmful to organisms</w:t>
                                  </w:r>
                                </w:p>
                              </w:tc>
                              <w:tc>
                                <w:tcPr>
                                  <w:tcW w:w="2580" w:type="dxa"/>
                                  <w:shd w:val="clear" w:color="auto" w:fill="FFFFFF" w:themeFill="background1"/>
                                </w:tcPr>
                                <w:p w14:paraId="792AE686" w14:textId="77777777" w:rsidR="00F21050" w:rsidRPr="00BA22E1" w:rsidRDefault="00F21050" w:rsidP="007F59FC">
                                  <w:pPr>
                                    <w:pStyle w:val="Tabletext0"/>
                                  </w:pPr>
                                  <w:r w:rsidRPr="00BA22E1">
                                    <w:t>Buffer capacity, geology</w:t>
                                  </w:r>
                                </w:p>
                              </w:tc>
                            </w:tr>
                            <w:tr w:rsidR="00F21050" w:rsidRPr="00BA22E1" w14:paraId="2F20DABA" w14:textId="77777777" w:rsidTr="004B788D">
                              <w:trPr>
                                <w:jc w:val="center"/>
                              </w:trPr>
                              <w:tc>
                                <w:tcPr>
                                  <w:tcW w:w="2329" w:type="dxa"/>
                                  <w:vMerge/>
                                  <w:shd w:val="clear" w:color="auto" w:fill="FFFFFF" w:themeFill="background1"/>
                                </w:tcPr>
                                <w:p w14:paraId="44FB7F8E" w14:textId="77777777" w:rsidR="00F21050" w:rsidRPr="00BA22E1" w:rsidRDefault="00F21050" w:rsidP="007F59FC">
                                  <w:pPr>
                                    <w:pStyle w:val="Tabletext0"/>
                                  </w:pPr>
                                </w:p>
                              </w:tc>
                              <w:tc>
                                <w:tcPr>
                                  <w:tcW w:w="2090" w:type="dxa"/>
                                  <w:shd w:val="clear" w:color="auto" w:fill="FFFFFF" w:themeFill="background1"/>
                                </w:tcPr>
                                <w:p w14:paraId="7F5950B6" w14:textId="77777777" w:rsidR="00F21050" w:rsidRPr="00BA22E1" w:rsidRDefault="00F21050" w:rsidP="007F59FC">
                                  <w:pPr>
                                    <w:pStyle w:val="Tabletext0"/>
                                  </w:pPr>
                                  <w:r w:rsidRPr="00BA22E1">
                                    <w:t>Ammonia</w:t>
                                  </w:r>
                                </w:p>
                              </w:tc>
                              <w:tc>
                                <w:tcPr>
                                  <w:tcW w:w="2636" w:type="dxa"/>
                                  <w:shd w:val="clear" w:color="auto" w:fill="FFFFFF" w:themeFill="background1"/>
                                </w:tcPr>
                                <w:p w14:paraId="207A4610"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0DDE95AE" w14:textId="77777777" w:rsidR="00F21050" w:rsidRPr="00BA22E1" w:rsidRDefault="00F21050" w:rsidP="007F59FC">
                                  <w:pPr>
                                    <w:pStyle w:val="Tabletext0"/>
                                  </w:pPr>
                                  <w:r w:rsidRPr="00BA22E1">
                                    <w:t>pH, temperature</w:t>
                                  </w:r>
                                </w:p>
                              </w:tc>
                            </w:tr>
                            <w:tr w:rsidR="00F21050" w:rsidRPr="00BA22E1" w14:paraId="657C7C47" w14:textId="77777777" w:rsidTr="004B788D">
                              <w:trPr>
                                <w:jc w:val="center"/>
                              </w:trPr>
                              <w:tc>
                                <w:tcPr>
                                  <w:tcW w:w="2329" w:type="dxa"/>
                                  <w:vMerge/>
                                  <w:shd w:val="clear" w:color="auto" w:fill="FFFFFF" w:themeFill="background1"/>
                                </w:tcPr>
                                <w:p w14:paraId="1A73D2FC" w14:textId="77777777" w:rsidR="00F21050" w:rsidRPr="00BA22E1" w:rsidRDefault="00F21050" w:rsidP="007F59FC">
                                  <w:pPr>
                                    <w:pStyle w:val="Tabletext0"/>
                                  </w:pPr>
                                </w:p>
                              </w:tc>
                              <w:tc>
                                <w:tcPr>
                                  <w:tcW w:w="2090" w:type="dxa"/>
                                  <w:shd w:val="clear" w:color="auto" w:fill="FFFFFF" w:themeFill="background1"/>
                                </w:tcPr>
                                <w:p w14:paraId="6871D6F9" w14:textId="77777777" w:rsidR="00F21050" w:rsidRPr="00BA22E1" w:rsidRDefault="00F21050" w:rsidP="007F59FC">
                                  <w:pPr>
                                    <w:pStyle w:val="Tabletext0"/>
                                  </w:pPr>
                                  <w:r w:rsidRPr="00BA22E1">
                                    <w:t>Metals</w:t>
                                  </w:r>
                                </w:p>
                              </w:tc>
                              <w:tc>
                                <w:tcPr>
                                  <w:tcW w:w="2636" w:type="dxa"/>
                                  <w:shd w:val="clear" w:color="auto" w:fill="FFFFFF" w:themeFill="background1"/>
                                </w:tcPr>
                                <w:p w14:paraId="72510EF5"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2AB7BA8D" w14:textId="77777777" w:rsidR="00F21050" w:rsidRPr="00BA22E1" w:rsidRDefault="00F21050" w:rsidP="007F59FC">
                                  <w:pPr>
                                    <w:pStyle w:val="Tabletext0"/>
                                  </w:pPr>
                                  <w:r w:rsidRPr="00BA22E1">
                                    <w:t>pH, hardness</w:t>
                                  </w:r>
                                </w:p>
                              </w:tc>
                            </w:tr>
                            <w:tr w:rsidR="00F21050" w:rsidRPr="00BA22E1" w14:paraId="4EEE2BAA" w14:textId="77777777" w:rsidTr="004B788D">
                              <w:trPr>
                                <w:jc w:val="center"/>
                              </w:trPr>
                              <w:tc>
                                <w:tcPr>
                                  <w:tcW w:w="2329" w:type="dxa"/>
                                  <w:vMerge w:val="restart"/>
                                  <w:shd w:val="clear" w:color="auto" w:fill="FFFFFF" w:themeFill="background1"/>
                                  <w:vAlign w:val="center"/>
                                </w:tcPr>
                                <w:p w14:paraId="73B88D73" w14:textId="77777777" w:rsidR="00F21050" w:rsidRPr="00BA22E1" w:rsidRDefault="00F21050" w:rsidP="007F59FC">
                                  <w:pPr>
                                    <w:pStyle w:val="Tabletext0"/>
                                  </w:pPr>
                                  <w:r w:rsidRPr="00BA22E1">
                                    <w:t>Recreation (swimming, boating, fishing)</w:t>
                                  </w:r>
                                </w:p>
                              </w:tc>
                              <w:tc>
                                <w:tcPr>
                                  <w:tcW w:w="2090" w:type="dxa"/>
                                  <w:shd w:val="clear" w:color="auto" w:fill="FFFFFF" w:themeFill="background1"/>
                                </w:tcPr>
                                <w:p w14:paraId="0A1776EE" w14:textId="77777777" w:rsidR="00F21050" w:rsidRPr="00BA22E1" w:rsidRDefault="00F21050" w:rsidP="007F59FC">
                                  <w:pPr>
                                    <w:pStyle w:val="Tabletext0"/>
                                  </w:pPr>
                                  <w:r w:rsidRPr="00BA22E1">
                                    <w:t>Nutrients</w:t>
                                  </w:r>
                                </w:p>
                              </w:tc>
                              <w:tc>
                                <w:tcPr>
                                  <w:tcW w:w="2636" w:type="dxa"/>
                                  <w:shd w:val="clear" w:color="auto" w:fill="FFFFFF" w:themeFill="background1"/>
                                </w:tcPr>
                                <w:p w14:paraId="413A4F91" w14:textId="77777777" w:rsidR="00F21050" w:rsidRPr="00BA22E1" w:rsidRDefault="00F21050" w:rsidP="007F59FC">
                                  <w:pPr>
                                    <w:pStyle w:val="Tabletext0"/>
                                  </w:pPr>
                                  <w:r w:rsidRPr="00BA22E1">
                                    <w:t>Toxic algal blooms, which may cause skin and eye irritations, or more serious complications if ingested</w:t>
                                  </w:r>
                                </w:p>
                              </w:tc>
                              <w:tc>
                                <w:tcPr>
                                  <w:tcW w:w="2580" w:type="dxa"/>
                                  <w:shd w:val="clear" w:color="auto" w:fill="FFFFFF" w:themeFill="background1"/>
                                </w:tcPr>
                                <w:p w14:paraId="750B55F9" w14:textId="77777777" w:rsidR="00F21050" w:rsidRPr="00BA22E1" w:rsidRDefault="00F21050" w:rsidP="007F59FC">
                                  <w:pPr>
                                    <w:pStyle w:val="Tabletext0"/>
                                  </w:pPr>
                                  <w:r w:rsidRPr="00BA22E1">
                                    <w:t>Light, flow and temperature</w:t>
                                  </w:r>
                                </w:p>
                              </w:tc>
                            </w:tr>
                            <w:tr w:rsidR="00F21050" w:rsidRPr="00BA22E1" w14:paraId="6CE1F950" w14:textId="77777777" w:rsidTr="004B788D">
                              <w:trPr>
                                <w:jc w:val="center"/>
                              </w:trPr>
                              <w:tc>
                                <w:tcPr>
                                  <w:tcW w:w="2329" w:type="dxa"/>
                                  <w:vMerge/>
                                  <w:shd w:val="clear" w:color="auto" w:fill="FFFFFF" w:themeFill="background1"/>
                                </w:tcPr>
                                <w:p w14:paraId="220DFC7D" w14:textId="77777777" w:rsidR="00F21050" w:rsidRPr="00BA22E1" w:rsidRDefault="00F21050" w:rsidP="007F59FC">
                                  <w:pPr>
                                    <w:pStyle w:val="Tabletext0"/>
                                  </w:pPr>
                                </w:p>
                              </w:tc>
                              <w:tc>
                                <w:tcPr>
                                  <w:tcW w:w="2090" w:type="dxa"/>
                                  <w:shd w:val="clear" w:color="auto" w:fill="FFFFFF" w:themeFill="background1"/>
                                </w:tcPr>
                                <w:p w14:paraId="0D9C1830" w14:textId="77777777" w:rsidR="00F21050" w:rsidRPr="00BA22E1" w:rsidRDefault="00F21050" w:rsidP="007F59FC">
                                  <w:pPr>
                                    <w:pStyle w:val="Tabletext0"/>
                                  </w:pPr>
                                  <w:r w:rsidRPr="00BA22E1">
                                    <w:t>Disease</w:t>
                                  </w:r>
                                  <w:r>
                                    <w:t>-</w:t>
                                  </w:r>
                                  <w:r w:rsidRPr="00BA22E1">
                                    <w:t>causing microorganisms (pathogens)</w:t>
                                  </w:r>
                                </w:p>
                              </w:tc>
                              <w:tc>
                                <w:tcPr>
                                  <w:tcW w:w="2636" w:type="dxa"/>
                                  <w:shd w:val="clear" w:color="auto" w:fill="FFFFFF" w:themeFill="background1"/>
                                </w:tcPr>
                                <w:p w14:paraId="38589592" w14:textId="77777777" w:rsidR="00F21050" w:rsidRPr="00BA22E1" w:rsidRDefault="00F21050" w:rsidP="007F59FC">
                                  <w:pPr>
                                    <w:pStyle w:val="Tabletext0"/>
                                  </w:pPr>
                                  <w:r w:rsidRPr="00BA22E1">
                                    <w:t>Ingestion/inhalation by humans causing various illnesses</w:t>
                                  </w:r>
                                </w:p>
                              </w:tc>
                              <w:tc>
                                <w:tcPr>
                                  <w:tcW w:w="2580" w:type="dxa"/>
                                  <w:shd w:val="clear" w:color="auto" w:fill="FFFFFF" w:themeFill="background1"/>
                                </w:tcPr>
                                <w:p w14:paraId="396EDB5B" w14:textId="77777777" w:rsidR="00F21050" w:rsidRPr="00BA22E1" w:rsidRDefault="00F21050" w:rsidP="007F59FC">
                                  <w:pPr>
                                    <w:pStyle w:val="Tabletext0"/>
                                  </w:pPr>
                                  <w:r w:rsidRPr="10077A7C">
                                    <w:t>Age and health of people exposed, time of exposure</w:t>
                                  </w:r>
                                </w:p>
                              </w:tc>
                            </w:tr>
                            <w:tr w:rsidR="00F21050" w:rsidRPr="00BA22E1" w14:paraId="0B39B09F" w14:textId="77777777" w:rsidTr="004B788D">
                              <w:trPr>
                                <w:jc w:val="center"/>
                              </w:trPr>
                              <w:tc>
                                <w:tcPr>
                                  <w:tcW w:w="2329" w:type="dxa"/>
                                  <w:vMerge/>
                                  <w:shd w:val="clear" w:color="auto" w:fill="FFFFFF" w:themeFill="background1"/>
                                </w:tcPr>
                                <w:p w14:paraId="3426684D" w14:textId="77777777" w:rsidR="00F21050" w:rsidRPr="00BA22E1" w:rsidRDefault="00F21050" w:rsidP="007F59FC">
                                  <w:pPr>
                                    <w:pStyle w:val="Tabletext0"/>
                                  </w:pPr>
                                </w:p>
                              </w:tc>
                              <w:tc>
                                <w:tcPr>
                                  <w:tcW w:w="2090" w:type="dxa"/>
                                  <w:shd w:val="clear" w:color="auto" w:fill="FFFFFF" w:themeFill="background1"/>
                                </w:tcPr>
                                <w:p w14:paraId="407C1DBA" w14:textId="77777777" w:rsidR="00F21050" w:rsidRPr="00BA22E1" w:rsidRDefault="00F21050" w:rsidP="007F59FC">
                                  <w:pPr>
                                    <w:pStyle w:val="Tabletext0"/>
                                  </w:pPr>
                                  <w:r w:rsidRPr="00BA22E1">
                                    <w:t>Metals</w:t>
                                  </w:r>
                                </w:p>
                              </w:tc>
                              <w:tc>
                                <w:tcPr>
                                  <w:tcW w:w="2636" w:type="dxa"/>
                                  <w:shd w:val="clear" w:color="auto" w:fill="FFFFFF" w:themeFill="background1"/>
                                </w:tcPr>
                                <w:p w14:paraId="748D348B"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6825BFBD" w14:textId="77777777" w:rsidR="00F21050" w:rsidRPr="00BA22E1" w:rsidRDefault="00F21050" w:rsidP="007F59FC">
                                  <w:pPr>
                                    <w:pStyle w:val="Tabletext0"/>
                                  </w:pPr>
                                  <w:r w:rsidRPr="00BA22E1">
                                    <w:t>pH, hardness</w:t>
                                  </w:r>
                                </w:p>
                              </w:tc>
                            </w:tr>
                          </w:tbl>
                          <w:p w14:paraId="3F397A03" w14:textId="77777777" w:rsidR="00F21050" w:rsidRPr="00254695" w:rsidRDefault="00F210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C2CF4C" id="_x0000_t202" coordsize="21600,21600" o:spt="202" path="m,l,21600r21600,l21600,xe">
                <v:stroke joinstyle="miter"/>
                <v:path gradientshapeok="t" o:connecttype="rect"/>
              </v:shapetype>
              <v:shape id="Text Box 505" o:spid="_x0000_s1026" type="#_x0000_t202" style="width:2in;height:60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" fillcolor="white [3212]" strokeweight=".5pt">
                <v:textbox>
                  <w:txbxContent>
                    <w:p w14:paraId="08D0D2A8" w14:textId="77777777" w:rsidR="00F21050" w:rsidRPr="00F21050" w:rsidRDefault="00F21050" w:rsidP="00566CC2">
                      <w:pPr>
                        <w:spacing w:line="259" w:lineRule="auto"/>
                        <w:rPr>
                          <w:rFonts w:cs="Arial"/>
                          <w:b/>
                        </w:rPr>
                      </w:pPr>
                      <w:r w:rsidRPr="00F21050">
                        <w:rPr>
                          <w:rFonts w:cs="Arial"/>
                          <w:b/>
                        </w:rPr>
                        <w:t>An example of management goals, environmental values, hazards, risks and influential factors for a wastewater discharge</w:t>
                      </w:r>
                    </w:p>
                    <w:p w14:paraId="4E2E2842" w14:textId="77777777" w:rsidR="00F21050" w:rsidRPr="00BA22E1" w:rsidRDefault="00F21050" w:rsidP="00F256C1">
                      <w:pPr>
                        <w:ind w:left="142"/>
                        <w:rPr>
                          <w:rFonts w:cs="Arial"/>
                        </w:rPr>
                      </w:pPr>
                      <w:r w:rsidRPr="00BA22E1">
                        <w:rPr>
                          <w:rFonts w:cs="Arial"/>
                          <w:b/>
                          <w:bCs/>
                        </w:rPr>
                        <w:t>Situation</w:t>
                      </w:r>
                      <w:r w:rsidRPr="00BA22E1">
                        <w:rPr>
                          <w:rFonts w:cs="Arial"/>
                        </w:rPr>
                        <w:t>: Tertiary treated effluent from a wastewater treatment plant is discharged into a nearby stream.</w:t>
                      </w:r>
                    </w:p>
                    <w:p w14:paraId="5BCB52C7" w14:textId="77777777" w:rsidR="00F21050" w:rsidRDefault="00F21050" w:rsidP="00F256C1">
                      <w:pPr>
                        <w:spacing w:line="259" w:lineRule="auto"/>
                        <w:ind w:left="142"/>
                        <w:rPr>
                          <w:rFonts w:cs="Arial"/>
                        </w:rPr>
                      </w:pPr>
                      <w:r w:rsidRPr="00BA22E1">
                        <w:rPr>
                          <w:rFonts w:cs="Arial"/>
                          <w:b/>
                          <w:bCs/>
                        </w:rPr>
                        <w:t>Management goals</w:t>
                      </w:r>
                      <w:r w:rsidRPr="00BA22E1">
                        <w:rPr>
                          <w:rFonts w:cs="Arial"/>
                        </w:rPr>
                        <w:t>:</w:t>
                      </w:r>
                    </w:p>
                    <w:p w14:paraId="22337E3A" w14:textId="77777777" w:rsidR="00F21050" w:rsidRDefault="00F21050" w:rsidP="00525686">
                      <w:pPr>
                        <w:pStyle w:val="ListParagraph"/>
                        <w:numPr>
                          <w:ilvl w:val="0"/>
                          <w:numId w:val="8"/>
                        </w:numPr>
                        <w:spacing w:after="0"/>
                        <w:ind w:left="1985"/>
                        <w:rPr>
                          <w:rFonts w:cs="Arial"/>
                        </w:rPr>
                      </w:pPr>
                      <w:r w:rsidRPr="00EA6CCF">
                        <w:rPr>
                          <w:rFonts w:cs="Arial"/>
                        </w:rPr>
                        <w:t>Maintaining and protecting a healthy aquatic ecosystem.</w:t>
                      </w:r>
                    </w:p>
                    <w:p w14:paraId="2C7E3A0F" w14:textId="77777777" w:rsidR="00F21050" w:rsidRPr="00842F58" w:rsidRDefault="00F21050" w:rsidP="00525686">
                      <w:pPr>
                        <w:pStyle w:val="ListParagraph"/>
                        <w:numPr>
                          <w:ilvl w:val="0"/>
                          <w:numId w:val="8"/>
                        </w:numPr>
                        <w:spacing w:after="0"/>
                        <w:ind w:left="1985"/>
                        <w:rPr>
                          <w:rFonts w:cs="Arial"/>
                        </w:rPr>
                      </w:pPr>
                      <w:r w:rsidRPr="00842F58">
                        <w:rPr>
                          <w:rFonts w:cs="Arial"/>
                        </w:rPr>
                        <w:t>Clean water suitable for recreational purposes.</w:t>
                      </w:r>
                    </w:p>
                    <w:p w14:paraId="018613C4" w14:textId="77777777" w:rsidR="00F21050" w:rsidRPr="00BA22E1" w:rsidRDefault="00F21050" w:rsidP="00F256C1">
                      <w:pPr>
                        <w:pStyle w:val="ListParagraph"/>
                        <w:numPr>
                          <w:ilvl w:val="0"/>
                          <w:numId w:val="0"/>
                        </w:numPr>
                        <w:spacing w:after="0"/>
                        <w:ind w:left="2268"/>
                        <w:rPr>
                          <w:rFonts w:cs="Arial"/>
                        </w:rPr>
                      </w:pPr>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2063"/>
                        <w:gridCol w:w="2591"/>
                        <w:gridCol w:w="2453"/>
                      </w:tblGrid>
                      <w:tr w:rsidR="00F21050" w:rsidRPr="00BA22E1" w14:paraId="5672CE25" w14:textId="77777777" w:rsidTr="004B788D">
                        <w:trPr>
                          <w:jc w:val="center"/>
                        </w:trPr>
                        <w:tc>
                          <w:tcPr>
                            <w:tcW w:w="2329" w:type="dxa"/>
                            <w:tcBorders>
                              <w:bottom w:val="single" w:sz="4" w:space="0" w:color="auto"/>
                            </w:tcBorders>
                            <w:shd w:val="clear" w:color="auto" w:fill="003F72"/>
                          </w:tcPr>
                          <w:p w14:paraId="0FB0F02B" w14:textId="77777777" w:rsidR="00F21050" w:rsidRPr="00BA22E1" w:rsidRDefault="00F21050" w:rsidP="007F59FC">
                            <w:pPr>
                              <w:pStyle w:val="Tabletext0"/>
                            </w:pPr>
                            <w:r w:rsidRPr="00BA22E1">
                              <w:t>Environmental values</w:t>
                            </w:r>
                          </w:p>
                        </w:tc>
                        <w:tc>
                          <w:tcPr>
                            <w:tcW w:w="2090" w:type="dxa"/>
                            <w:tcBorders>
                              <w:bottom w:val="single" w:sz="4" w:space="0" w:color="auto"/>
                            </w:tcBorders>
                            <w:shd w:val="clear" w:color="auto" w:fill="003F72"/>
                          </w:tcPr>
                          <w:p w14:paraId="11FA4A50" w14:textId="77777777" w:rsidR="00F21050" w:rsidRPr="00BA22E1" w:rsidRDefault="00F21050" w:rsidP="007F59FC">
                            <w:pPr>
                              <w:pStyle w:val="Tabletext0"/>
                            </w:pPr>
                            <w:r>
                              <w:t>Hazard</w:t>
                            </w:r>
                            <w:r w:rsidRPr="00BA22E1">
                              <w:t>s</w:t>
                            </w:r>
                            <w:r w:rsidRPr="00BA22E1">
                              <w:tab/>
                            </w:r>
                          </w:p>
                        </w:tc>
                        <w:tc>
                          <w:tcPr>
                            <w:tcW w:w="2636" w:type="dxa"/>
                            <w:tcBorders>
                              <w:bottom w:val="single" w:sz="4" w:space="0" w:color="auto"/>
                            </w:tcBorders>
                            <w:shd w:val="clear" w:color="auto" w:fill="003F72"/>
                          </w:tcPr>
                          <w:p w14:paraId="4A018FE1" w14:textId="77777777" w:rsidR="00F21050" w:rsidRPr="00BA22E1" w:rsidRDefault="00F21050" w:rsidP="007F59FC">
                            <w:pPr>
                              <w:pStyle w:val="Tabletext0"/>
                            </w:pPr>
                            <w:r w:rsidRPr="00BA22E1">
                              <w:t>Risk</w:t>
                            </w:r>
                          </w:p>
                        </w:tc>
                        <w:tc>
                          <w:tcPr>
                            <w:tcW w:w="2580" w:type="dxa"/>
                            <w:tcBorders>
                              <w:bottom w:val="single" w:sz="4" w:space="0" w:color="auto"/>
                            </w:tcBorders>
                            <w:shd w:val="clear" w:color="auto" w:fill="003F72"/>
                          </w:tcPr>
                          <w:p w14:paraId="38F97E65" w14:textId="77777777" w:rsidR="00F21050" w:rsidRPr="00BA22E1" w:rsidRDefault="00F21050" w:rsidP="007F59FC">
                            <w:pPr>
                              <w:pStyle w:val="Tabletext0"/>
                            </w:pPr>
                            <w:r w:rsidRPr="00BA22E1">
                              <w:t>Other factors influencing the likelihood of the risk occurring</w:t>
                            </w:r>
                          </w:p>
                        </w:tc>
                      </w:tr>
                      <w:tr w:rsidR="00F21050" w:rsidRPr="00BA22E1" w14:paraId="42D34F48" w14:textId="77777777" w:rsidTr="004B788D">
                        <w:trPr>
                          <w:jc w:val="center"/>
                        </w:trPr>
                        <w:tc>
                          <w:tcPr>
                            <w:tcW w:w="2329" w:type="dxa"/>
                            <w:vMerge w:val="restart"/>
                            <w:shd w:val="clear" w:color="auto" w:fill="FFFFFF" w:themeFill="background1"/>
                            <w:vAlign w:val="center"/>
                          </w:tcPr>
                          <w:p w14:paraId="0D5B3909" w14:textId="77777777" w:rsidR="00F21050" w:rsidRPr="00BA22E1" w:rsidRDefault="00F21050" w:rsidP="007F59FC">
                            <w:pPr>
                              <w:pStyle w:val="Tabletext0"/>
                            </w:pPr>
                            <w:r w:rsidRPr="00BA22E1">
                              <w:t>Water dependent ecosystem and species</w:t>
                            </w:r>
                          </w:p>
                        </w:tc>
                        <w:tc>
                          <w:tcPr>
                            <w:tcW w:w="2090" w:type="dxa"/>
                            <w:shd w:val="clear" w:color="auto" w:fill="FFFFFF" w:themeFill="background1"/>
                          </w:tcPr>
                          <w:p w14:paraId="7FA7CEB4" w14:textId="77777777" w:rsidR="00F21050" w:rsidRPr="00BA22E1" w:rsidRDefault="00F21050" w:rsidP="007F59FC">
                            <w:pPr>
                              <w:pStyle w:val="Tabletext0"/>
                            </w:pPr>
                            <w:r w:rsidRPr="00BA22E1">
                              <w:t>Nutrients</w:t>
                            </w:r>
                          </w:p>
                        </w:tc>
                        <w:tc>
                          <w:tcPr>
                            <w:tcW w:w="2636" w:type="dxa"/>
                            <w:shd w:val="clear" w:color="auto" w:fill="FFFFFF" w:themeFill="background1"/>
                          </w:tcPr>
                          <w:p w14:paraId="63B1D7AF" w14:textId="77777777" w:rsidR="00F21050" w:rsidRPr="00BA22E1" w:rsidRDefault="00F21050" w:rsidP="007F59FC">
                            <w:pPr>
                              <w:pStyle w:val="Tabletext0"/>
                            </w:pPr>
                            <w:r w:rsidRPr="00BA22E1">
                              <w:t>Algal blooms causing low dissolved oxygen</w:t>
                            </w:r>
                          </w:p>
                        </w:tc>
                        <w:tc>
                          <w:tcPr>
                            <w:tcW w:w="2580" w:type="dxa"/>
                            <w:shd w:val="clear" w:color="auto" w:fill="FFFFFF" w:themeFill="background1"/>
                          </w:tcPr>
                          <w:p w14:paraId="38AC3E00" w14:textId="77777777" w:rsidR="00F21050" w:rsidRPr="00BA22E1" w:rsidRDefault="00F21050" w:rsidP="007F59FC">
                            <w:pPr>
                              <w:pStyle w:val="Tabletext0"/>
                            </w:pPr>
                            <w:r w:rsidRPr="00BA22E1">
                              <w:t>Light, flow and temperature</w:t>
                            </w:r>
                          </w:p>
                        </w:tc>
                      </w:tr>
                      <w:tr w:rsidR="00F21050" w:rsidRPr="00BA22E1" w14:paraId="3047D0BA" w14:textId="77777777" w:rsidTr="004B788D">
                        <w:trPr>
                          <w:jc w:val="center"/>
                        </w:trPr>
                        <w:tc>
                          <w:tcPr>
                            <w:tcW w:w="2329" w:type="dxa"/>
                            <w:vMerge/>
                            <w:shd w:val="clear" w:color="auto" w:fill="FFFFFF" w:themeFill="background1"/>
                          </w:tcPr>
                          <w:p w14:paraId="3F95495C" w14:textId="77777777" w:rsidR="00F21050" w:rsidRPr="00BA22E1" w:rsidRDefault="00F21050" w:rsidP="007F59FC">
                            <w:pPr>
                              <w:pStyle w:val="Tabletext0"/>
                            </w:pPr>
                          </w:p>
                        </w:tc>
                        <w:tc>
                          <w:tcPr>
                            <w:tcW w:w="2090" w:type="dxa"/>
                            <w:shd w:val="clear" w:color="auto" w:fill="FFFFFF" w:themeFill="background1"/>
                          </w:tcPr>
                          <w:p w14:paraId="5D2C1DD8" w14:textId="77777777" w:rsidR="00F21050" w:rsidRPr="00BA22E1" w:rsidRDefault="00F21050" w:rsidP="007F59FC">
                            <w:pPr>
                              <w:pStyle w:val="Tabletext0"/>
                            </w:pPr>
                            <w:r w:rsidRPr="00BA22E1">
                              <w:t>Organic matter</w:t>
                            </w:r>
                          </w:p>
                        </w:tc>
                        <w:tc>
                          <w:tcPr>
                            <w:tcW w:w="2636" w:type="dxa"/>
                            <w:shd w:val="clear" w:color="auto" w:fill="FFFFFF" w:themeFill="background1"/>
                          </w:tcPr>
                          <w:p w14:paraId="0081D5FE" w14:textId="77777777" w:rsidR="00F21050" w:rsidRPr="00BA22E1" w:rsidRDefault="00F21050" w:rsidP="007F59FC">
                            <w:pPr>
                              <w:pStyle w:val="Tabletext0"/>
                            </w:pPr>
                            <w:r w:rsidRPr="00BA22E1">
                              <w:t>Low dissolved oxygen</w:t>
                            </w:r>
                          </w:p>
                        </w:tc>
                        <w:tc>
                          <w:tcPr>
                            <w:tcW w:w="2580" w:type="dxa"/>
                            <w:shd w:val="clear" w:color="auto" w:fill="FFFFFF" w:themeFill="background1"/>
                          </w:tcPr>
                          <w:p w14:paraId="0FFB21AE" w14:textId="77777777" w:rsidR="00F21050" w:rsidRPr="00BA22E1" w:rsidRDefault="00F21050" w:rsidP="007F59FC">
                            <w:pPr>
                              <w:pStyle w:val="Tabletext0"/>
                            </w:pPr>
                            <w:r w:rsidRPr="00BA22E1">
                              <w:t>Microbial activity</w:t>
                            </w:r>
                          </w:p>
                        </w:tc>
                      </w:tr>
                      <w:tr w:rsidR="00F21050" w:rsidRPr="00BA22E1" w14:paraId="5B3730BF" w14:textId="77777777" w:rsidTr="004B788D">
                        <w:trPr>
                          <w:jc w:val="center"/>
                        </w:trPr>
                        <w:tc>
                          <w:tcPr>
                            <w:tcW w:w="2329" w:type="dxa"/>
                            <w:vMerge/>
                            <w:shd w:val="clear" w:color="auto" w:fill="FFFFFF" w:themeFill="background1"/>
                          </w:tcPr>
                          <w:p w14:paraId="4E1F3D9C" w14:textId="77777777" w:rsidR="00F21050" w:rsidRPr="00BA22E1" w:rsidRDefault="00F21050" w:rsidP="007F59FC">
                            <w:pPr>
                              <w:pStyle w:val="Tabletext0"/>
                            </w:pPr>
                          </w:p>
                        </w:tc>
                        <w:tc>
                          <w:tcPr>
                            <w:tcW w:w="2090" w:type="dxa"/>
                            <w:shd w:val="clear" w:color="auto" w:fill="FFFFFF" w:themeFill="background1"/>
                          </w:tcPr>
                          <w:p w14:paraId="1F8B5730" w14:textId="77777777" w:rsidR="00F21050" w:rsidRPr="00BA22E1" w:rsidRDefault="00F21050" w:rsidP="007F59FC">
                            <w:pPr>
                              <w:pStyle w:val="Tabletext0"/>
                            </w:pPr>
                            <w:r w:rsidRPr="00BA22E1">
                              <w:t>Salinity</w:t>
                            </w:r>
                          </w:p>
                        </w:tc>
                        <w:tc>
                          <w:tcPr>
                            <w:tcW w:w="2636" w:type="dxa"/>
                            <w:shd w:val="clear" w:color="auto" w:fill="FFFFFF" w:themeFill="background1"/>
                          </w:tcPr>
                          <w:p w14:paraId="3F9C8F93"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743CCAA6" w14:textId="77777777" w:rsidR="00F21050" w:rsidRPr="00BA22E1" w:rsidRDefault="00F21050" w:rsidP="007F59FC">
                            <w:pPr>
                              <w:pStyle w:val="Tabletext0"/>
                            </w:pPr>
                            <w:r w:rsidRPr="00BA22E1">
                              <w:t>Flow, evaporation</w:t>
                            </w:r>
                          </w:p>
                        </w:tc>
                      </w:tr>
                      <w:tr w:rsidR="00F21050" w:rsidRPr="00BA22E1" w14:paraId="7DDA910C" w14:textId="77777777" w:rsidTr="004B788D">
                        <w:trPr>
                          <w:jc w:val="center"/>
                        </w:trPr>
                        <w:tc>
                          <w:tcPr>
                            <w:tcW w:w="2329" w:type="dxa"/>
                            <w:vMerge/>
                            <w:shd w:val="clear" w:color="auto" w:fill="FFFFFF" w:themeFill="background1"/>
                          </w:tcPr>
                          <w:p w14:paraId="6F5605B2" w14:textId="77777777" w:rsidR="00F21050" w:rsidRPr="00BA22E1" w:rsidRDefault="00F21050" w:rsidP="007F59FC">
                            <w:pPr>
                              <w:pStyle w:val="Tabletext0"/>
                            </w:pPr>
                          </w:p>
                        </w:tc>
                        <w:tc>
                          <w:tcPr>
                            <w:tcW w:w="2090" w:type="dxa"/>
                            <w:shd w:val="clear" w:color="auto" w:fill="FFFFFF" w:themeFill="background1"/>
                          </w:tcPr>
                          <w:p w14:paraId="52257699" w14:textId="77777777" w:rsidR="00F21050" w:rsidRPr="00BA22E1" w:rsidRDefault="00F21050" w:rsidP="007F59FC">
                            <w:pPr>
                              <w:pStyle w:val="Tabletext0"/>
                            </w:pPr>
                            <w:r w:rsidRPr="00BA22E1">
                              <w:t>pH</w:t>
                            </w:r>
                          </w:p>
                        </w:tc>
                        <w:tc>
                          <w:tcPr>
                            <w:tcW w:w="2636" w:type="dxa"/>
                            <w:shd w:val="clear" w:color="auto" w:fill="FFFFFF" w:themeFill="background1"/>
                          </w:tcPr>
                          <w:p w14:paraId="0243AC05" w14:textId="77777777" w:rsidR="00F21050" w:rsidRPr="00BA22E1" w:rsidRDefault="00F21050" w:rsidP="007F59FC">
                            <w:pPr>
                              <w:pStyle w:val="Tabletext0"/>
                            </w:pPr>
                            <w:r w:rsidRPr="00BA22E1">
                              <w:t>Low and high pH can induce toxic effects in a range of substances, as well as being directly harmful to organisms</w:t>
                            </w:r>
                          </w:p>
                        </w:tc>
                        <w:tc>
                          <w:tcPr>
                            <w:tcW w:w="2580" w:type="dxa"/>
                            <w:shd w:val="clear" w:color="auto" w:fill="FFFFFF" w:themeFill="background1"/>
                          </w:tcPr>
                          <w:p w14:paraId="792AE686" w14:textId="77777777" w:rsidR="00F21050" w:rsidRPr="00BA22E1" w:rsidRDefault="00F21050" w:rsidP="007F59FC">
                            <w:pPr>
                              <w:pStyle w:val="Tabletext0"/>
                            </w:pPr>
                            <w:r w:rsidRPr="00BA22E1">
                              <w:t>Buffer capacity, geology</w:t>
                            </w:r>
                          </w:p>
                        </w:tc>
                      </w:tr>
                      <w:tr w:rsidR="00F21050" w:rsidRPr="00BA22E1" w14:paraId="2F20DABA" w14:textId="77777777" w:rsidTr="004B788D">
                        <w:trPr>
                          <w:jc w:val="center"/>
                        </w:trPr>
                        <w:tc>
                          <w:tcPr>
                            <w:tcW w:w="2329" w:type="dxa"/>
                            <w:vMerge/>
                            <w:shd w:val="clear" w:color="auto" w:fill="FFFFFF" w:themeFill="background1"/>
                          </w:tcPr>
                          <w:p w14:paraId="44FB7F8E" w14:textId="77777777" w:rsidR="00F21050" w:rsidRPr="00BA22E1" w:rsidRDefault="00F21050" w:rsidP="007F59FC">
                            <w:pPr>
                              <w:pStyle w:val="Tabletext0"/>
                            </w:pPr>
                          </w:p>
                        </w:tc>
                        <w:tc>
                          <w:tcPr>
                            <w:tcW w:w="2090" w:type="dxa"/>
                            <w:shd w:val="clear" w:color="auto" w:fill="FFFFFF" w:themeFill="background1"/>
                          </w:tcPr>
                          <w:p w14:paraId="7F5950B6" w14:textId="77777777" w:rsidR="00F21050" w:rsidRPr="00BA22E1" w:rsidRDefault="00F21050" w:rsidP="007F59FC">
                            <w:pPr>
                              <w:pStyle w:val="Tabletext0"/>
                            </w:pPr>
                            <w:r w:rsidRPr="00BA22E1">
                              <w:t>Ammonia</w:t>
                            </w:r>
                          </w:p>
                        </w:tc>
                        <w:tc>
                          <w:tcPr>
                            <w:tcW w:w="2636" w:type="dxa"/>
                            <w:shd w:val="clear" w:color="auto" w:fill="FFFFFF" w:themeFill="background1"/>
                          </w:tcPr>
                          <w:p w14:paraId="207A4610"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0DDE95AE" w14:textId="77777777" w:rsidR="00F21050" w:rsidRPr="00BA22E1" w:rsidRDefault="00F21050" w:rsidP="007F59FC">
                            <w:pPr>
                              <w:pStyle w:val="Tabletext0"/>
                            </w:pPr>
                            <w:r w:rsidRPr="00BA22E1">
                              <w:t>pH, temperature</w:t>
                            </w:r>
                          </w:p>
                        </w:tc>
                      </w:tr>
                      <w:tr w:rsidR="00F21050" w:rsidRPr="00BA22E1" w14:paraId="657C7C47" w14:textId="77777777" w:rsidTr="004B788D">
                        <w:trPr>
                          <w:jc w:val="center"/>
                        </w:trPr>
                        <w:tc>
                          <w:tcPr>
                            <w:tcW w:w="2329" w:type="dxa"/>
                            <w:vMerge/>
                            <w:shd w:val="clear" w:color="auto" w:fill="FFFFFF" w:themeFill="background1"/>
                          </w:tcPr>
                          <w:p w14:paraId="1A73D2FC" w14:textId="77777777" w:rsidR="00F21050" w:rsidRPr="00BA22E1" w:rsidRDefault="00F21050" w:rsidP="007F59FC">
                            <w:pPr>
                              <w:pStyle w:val="Tabletext0"/>
                            </w:pPr>
                          </w:p>
                        </w:tc>
                        <w:tc>
                          <w:tcPr>
                            <w:tcW w:w="2090" w:type="dxa"/>
                            <w:shd w:val="clear" w:color="auto" w:fill="FFFFFF" w:themeFill="background1"/>
                          </w:tcPr>
                          <w:p w14:paraId="6871D6F9" w14:textId="77777777" w:rsidR="00F21050" w:rsidRPr="00BA22E1" w:rsidRDefault="00F21050" w:rsidP="007F59FC">
                            <w:pPr>
                              <w:pStyle w:val="Tabletext0"/>
                            </w:pPr>
                            <w:r w:rsidRPr="00BA22E1">
                              <w:t>Metals</w:t>
                            </w:r>
                          </w:p>
                        </w:tc>
                        <w:tc>
                          <w:tcPr>
                            <w:tcW w:w="2636" w:type="dxa"/>
                            <w:shd w:val="clear" w:color="auto" w:fill="FFFFFF" w:themeFill="background1"/>
                          </w:tcPr>
                          <w:p w14:paraId="72510EF5"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2AB7BA8D" w14:textId="77777777" w:rsidR="00F21050" w:rsidRPr="00BA22E1" w:rsidRDefault="00F21050" w:rsidP="007F59FC">
                            <w:pPr>
                              <w:pStyle w:val="Tabletext0"/>
                            </w:pPr>
                            <w:r w:rsidRPr="00BA22E1">
                              <w:t>pH, hardness</w:t>
                            </w:r>
                          </w:p>
                        </w:tc>
                      </w:tr>
                      <w:tr w:rsidR="00F21050" w:rsidRPr="00BA22E1" w14:paraId="4EEE2BAA" w14:textId="77777777" w:rsidTr="004B788D">
                        <w:trPr>
                          <w:jc w:val="center"/>
                        </w:trPr>
                        <w:tc>
                          <w:tcPr>
                            <w:tcW w:w="2329" w:type="dxa"/>
                            <w:vMerge w:val="restart"/>
                            <w:shd w:val="clear" w:color="auto" w:fill="FFFFFF" w:themeFill="background1"/>
                            <w:vAlign w:val="center"/>
                          </w:tcPr>
                          <w:p w14:paraId="73B88D73" w14:textId="77777777" w:rsidR="00F21050" w:rsidRPr="00BA22E1" w:rsidRDefault="00F21050" w:rsidP="007F59FC">
                            <w:pPr>
                              <w:pStyle w:val="Tabletext0"/>
                            </w:pPr>
                            <w:r w:rsidRPr="00BA22E1">
                              <w:t>Recreation (swimming, boating, fishing)</w:t>
                            </w:r>
                          </w:p>
                        </w:tc>
                        <w:tc>
                          <w:tcPr>
                            <w:tcW w:w="2090" w:type="dxa"/>
                            <w:shd w:val="clear" w:color="auto" w:fill="FFFFFF" w:themeFill="background1"/>
                          </w:tcPr>
                          <w:p w14:paraId="0A1776EE" w14:textId="77777777" w:rsidR="00F21050" w:rsidRPr="00BA22E1" w:rsidRDefault="00F21050" w:rsidP="007F59FC">
                            <w:pPr>
                              <w:pStyle w:val="Tabletext0"/>
                            </w:pPr>
                            <w:r w:rsidRPr="00BA22E1">
                              <w:t>Nutrients</w:t>
                            </w:r>
                          </w:p>
                        </w:tc>
                        <w:tc>
                          <w:tcPr>
                            <w:tcW w:w="2636" w:type="dxa"/>
                            <w:shd w:val="clear" w:color="auto" w:fill="FFFFFF" w:themeFill="background1"/>
                          </w:tcPr>
                          <w:p w14:paraId="413A4F91" w14:textId="77777777" w:rsidR="00F21050" w:rsidRPr="00BA22E1" w:rsidRDefault="00F21050" w:rsidP="007F59FC">
                            <w:pPr>
                              <w:pStyle w:val="Tabletext0"/>
                            </w:pPr>
                            <w:r w:rsidRPr="00BA22E1">
                              <w:t>Toxic algal blooms, which may cause skin and eye irritations, or more serious complications if ingested</w:t>
                            </w:r>
                          </w:p>
                        </w:tc>
                        <w:tc>
                          <w:tcPr>
                            <w:tcW w:w="2580" w:type="dxa"/>
                            <w:shd w:val="clear" w:color="auto" w:fill="FFFFFF" w:themeFill="background1"/>
                          </w:tcPr>
                          <w:p w14:paraId="750B55F9" w14:textId="77777777" w:rsidR="00F21050" w:rsidRPr="00BA22E1" w:rsidRDefault="00F21050" w:rsidP="007F59FC">
                            <w:pPr>
                              <w:pStyle w:val="Tabletext0"/>
                            </w:pPr>
                            <w:r w:rsidRPr="00BA22E1">
                              <w:t>Light, flow and temperature</w:t>
                            </w:r>
                          </w:p>
                        </w:tc>
                      </w:tr>
                      <w:tr w:rsidR="00F21050" w:rsidRPr="00BA22E1" w14:paraId="6CE1F950" w14:textId="77777777" w:rsidTr="004B788D">
                        <w:trPr>
                          <w:jc w:val="center"/>
                        </w:trPr>
                        <w:tc>
                          <w:tcPr>
                            <w:tcW w:w="2329" w:type="dxa"/>
                            <w:vMerge/>
                            <w:shd w:val="clear" w:color="auto" w:fill="FFFFFF" w:themeFill="background1"/>
                          </w:tcPr>
                          <w:p w14:paraId="220DFC7D" w14:textId="77777777" w:rsidR="00F21050" w:rsidRPr="00BA22E1" w:rsidRDefault="00F21050" w:rsidP="007F59FC">
                            <w:pPr>
                              <w:pStyle w:val="Tabletext0"/>
                            </w:pPr>
                          </w:p>
                        </w:tc>
                        <w:tc>
                          <w:tcPr>
                            <w:tcW w:w="2090" w:type="dxa"/>
                            <w:shd w:val="clear" w:color="auto" w:fill="FFFFFF" w:themeFill="background1"/>
                          </w:tcPr>
                          <w:p w14:paraId="0D9C1830" w14:textId="77777777" w:rsidR="00F21050" w:rsidRPr="00BA22E1" w:rsidRDefault="00F21050" w:rsidP="007F59FC">
                            <w:pPr>
                              <w:pStyle w:val="Tabletext0"/>
                            </w:pPr>
                            <w:r w:rsidRPr="00BA22E1">
                              <w:t>Disease</w:t>
                            </w:r>
                            <w:r>
                              <w:t>-</w:t>
                            </w:r>
                            <w:r w:rsidRPr="00BA22E1">
                              <w:t>causing microorganisms (pathogens)</w:t>
                            </w:r>
                          </w:p>
                        </w:tc>
                        <w:tc>
                          <w:tcPr>
                            <w:tcW w:w="2636" w:type="dxa"/>
                            <w:shd w:val="clear" w:color="auto" w:fill="FFFFFF" w:themeFill="background1"/>
                          </w:tcPr>
                          <w:p w14:paraId="38589592" w14:textId="77777777" w:rsidR="00F21050" w:rsidRPr="00BA22E1" w:rsidRDefault="00F21050" w:rsidP="007F59FC">
                            <w:pPr>
                              <w:pStyle w:val="Tabletext0"/>
                            </w:pPr>
                            <w:r w:rsidRPr="00BA22E1">
                              <w:t>Ingestion/inhalation by humans causing various illnesses</w:t>
                            </w:r>
                          </w:p>
                        </w:tc>
                        <w:tc>
                          <w:tcPr>
                            <w:tcW w:w="2580" w:type="dxa"/>
                            <w:shd w:val="clear" w:color="auto" w:fill="FFFFFF" w:themeFill="background1"/>
                          </w:tcPr>
                          <w:p w14:paraId="396EDB5B" w14:textId="77777777" w:rsidR="00F21050" w:rsidRPr="00BA22E1" w:rsidRDefault="00F21050" w:rsidP="007F59FC">
                            <w:pPr>
                              <w:pStyle w:val="Tabletext0"/>
                            </w:pPr>
                            <w:r w:rsidRPr="10077A7C">
                              <w:t>Age and health of people exposed, time of exposure</w:t>
                            </w:r>
                          </w:p>
                        </w:tc>
                      </w:tr>
                      <w:tr w:rsidR="00F21050" w:rsidRPr="00BA22E1" w14:paraId="0B39B09F" w14:textId="77777777" w:rsidTr="004B788D">
                        <w:trPr>
                          <w:jc w:val="center"/>
                        </w:trPr>
                        <w:tc>
                          <w:tcPr>
                            <w:tcW w:w="2329" w:type="dxa"/>
                            <w:vMerge/>
                            <w:shd w:val="clear" w:color="auto" w:fill="FFFFFF" w:themeFill="background1"/>
                          </w:tcPr>
                          <w:p w14:paraId="3426684D" w14:textId="77777777" w:rsidR="00F21050" w:rsidRPr="00BA22E1" w:rsidRDefault="00F21050" w:rsidP="007F59FC">
                            <w:pPr>
                              <w:pStyle w:val="Tabletext0"/>
                            </w:pPr>
                          </w:p>
                        </w:tc>
                        <w:tc>
                          <w:tcPr>
                            <w:tcW w:w="2090" w:type="dxa"/>
                            <w:shd w:val="clear" w:color="auto" w:fill="FFFFFF" w:themeFill="background1"/>
                          </w:tcPr>
                          <w:p w14:paraId="407C1DBA" w14:textId="77777777" w:rsidR="00F21050" w:rsidRPr="00BA22E1" w:rsidRDefault="00F21050" w:rsidP="007F59FC">
                            <w:pPr>
                              <w:pStyle w:val="Tabletext0"/>
                            </w:pPr>
                            <w:r w:rsidRPr="00BA22E1">
                              <w:t>Metals</w:t>
                            </w:r>
                          </w:p>
                        </w:tc>
                        <w:tc>
                          <w:tcPr>
                            <w:tcW w:w="2636" w:type="dxa"/>
                            <w:shd w:val="clear" w:color="auto" w:fill="FFFFFF" w:themeFill="background1"/>
                          </w:tcPr>
                          <w:p w14:paraId="748D348B"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6825BFBD" w14:textId="77777777" w:rsidR="00F21050" w:rsidRPr="00BA22E1" w:rsidRDefault="00F21050" w:rsidP="007F59FC">
                            <w:pPr>
                              <w:pStyle w:val="Tabletext0"/>
                            </w:pPr>
                            <w:r w:rsidRPr="00BA22E1">
                              <w:t>pH, hardness</w:t>
                            </w:r>
                          </w:p>
                        </w:tc>
                      </w:tr>
                    </w:tbl>
                    <w:p w14:paraId="3F397A03" w14:textId="77777777" w:rsidR="00F21050" w:rsidRPr="00254695" w:rsidRDefault="00F21050"/>
                  </w:txbxContent>
                </v:textbox>
                <w10:anchorlock/>
              </v:shape>
            </w:pict>
          </mc:Fallback>
        </mc:AlternateContent>
      </w:r>
    </w:p>
    <w:p w14:paraId="080BC0B6" w14:textId="77777777" w:rsidR="007F59FC" w:rsidRDefault="007F59FC" w:rsidP="00F21050">
      <w:pPr>
        <w:spacing w:line="259" w:lineRule="auto"/>
      </w:pPr>
    </w:p>
    <w:p w14:paraId="4BFF6F92" w14:textId="5AD96F89" w:rsidR="00892F99" w:rsidRDefault="00F21050" w:rsidP="00924E83">
      <w:pPr>
        <w:keepNext/>
        <w:keepLines/>
        <w:spacing w:line="259" w:lineRule="auto"/>
      </w:pPr>
      <w:r>
        <w:lastRenderedPageBreak/>
        <w:t>The appropriate spatial scale for the risk assessment is the area in which impacts may occur. The appropriate temporal scale is the period that meets management outcomes and is protective of environmental values. Temporal variability (for example, seasonality and climatic influences) should also be incorporated into the scope of the risk assessment.</w:t>
      </w:r>
      <w:r w:rsidR="00B14E38">
        <w:t xml:space="preserve"> </w:t>
      </w:r>
      <w:r w:rsidR="00B14E38" w:rsidRPr="00B14E38">
        <w:t>Impacts due to climate change and stream flow predictions should also be taken into consideration.</w:t>
      </w:r>
      <w:r w:rsidR="00B14E38">
        <w:rPr>
          <w:rFonts w:eastAsia="Times New Roman" w:cs="Arial"/>
          <w:iCs/>
        </w:rPr>
        <w:t xml:space="preserve"> </w:t>
      </w:r>
      <w:r>
        <w:t>The</w:t>
      </w:r>
      <w:r w:rsidRPr="073E3263">
        <w:rPr>
          <w:b/>
          <w:bCs/>
          <w:i/>
          <w:iCs/>
        </w:rPr>
        <w:t xml:space="preserve"> </w:t>
      </w:r>
      <w:r w:rsidR="002E5003">
        <w:rPr>
          <w:rFonts w:cs="Arial"/>
          <w:b/>
          <w:bCs/>
          <w:i/>
          <w:iCs/>
        </w:rPr>
        <w:t>E</w:t>
      </w:r>
      <w:r w:rsidRPr="073E3263">
        <w:rPr>
          <w:rFonts w:cs="Arial"/>
          <w:b/>
          <w:bCs/>
          <w:i/>
          <w:iCs/>
        </w:rPr>
        <w:t>xample of spatial and temporal scales and variability</w:t>
      </w:r>
      <w:r>
        <w:t xml:space="preserve"> </w:t>
      </w:r>
      <w:r w:rsidRPr="003447A0">
        <w:t>in the box below</w:t>
      </w:r>
      <w:r>
        <w:t xml:space="preserve"> provides considerations of temporal and spatial scales.</w:t>
      </w:r>
    </w:p>
    <w:p w14:paraId="1A52697B" w14:textId="77777777" w:rsidR="003139FD" w:rsidRPr="00924E83" w:rsidRDefault="003139FD" w:rsidP="00924E83">
      <w:pPr>
        <w:keepNext/>
        <w:keepLines/>
        <w:spacing w:line="259" w:lineRule="auto"/>
      </w:pPr>
    </w:p>
    <w:p w14:paraId="29A93A3D" w14:textId="3FC67849" w:rsidR="003139FD" w:rsidRPr="0028142C" w:rsidRDefault="00F21050" w:rsidP="003139FD">
      <w:pPr>
        <w:rPr>
          <w:rFonts w:cs="Arial"/>
        </w:rPr>
      </w:pPr>
      <w:r>
        <w:rPr>
          <w:noProof/>
        </w:rPr>
        <mc:AlternateContent>
          <mc:Choice Requires="wps">
            <w:drawing>
              <wp:inline distT="0" distB="0" distL="0" distR="0" wp14:anchorId="1FE06339" wp14:editId="1DE246E8">
                <wp:extent cx="1828800" cy="1828800"/>
                <wp:effectExtent l="0" t="0" r="8890" b="12065"/>
                <wp:docPr id="506" name="Text Box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C557E9F" w14:textId="77777777" w:rsidR="00F21050" w:rsidRPr="00F21050" w:rsidRDefault="00F21050" w:rsidP="00071B66">
                            <w:pPr>
                              <w:rPr>
                                <w:b/>
                                <w:bCs/>
                              </w:rPr>
                            </w:pPr>
                            <w:r w:rsidRPr="00F21050">
                              <w:rPr>
                                <w:b/>
                                <w:bCs/>
                              </w:rPr>
                              <w:t>Example of spatial and temporal scales and variability</w:t>
                            </w:r>
                          </w:p>
                          <w:p w14:paraId="66E751A8" w14:textId="77777777" w:rsidR="00F21050" w:rsidRPr="00BA22E1" w:rsidRDefault="00F21050" w:rsidP="00656CC2">
                            <w:pPr>
                              <w:spacing w:line="259" w:lineRule="auto"/>
                              <w:rPr>
                                <w:rFonts w:cs="Arial"/>
                                <w:b/>
                              </w:rPr>
                            </w:pPr>
                            <w:r w:rsidRPr="00BA22E1">
                              <w:rPr>
                                <w:rFonts w:cs="Arial"/>
                                <w:b/>
                              </w:rPr>
                              <w:t>Potential risk</w:t>
                            </w:r>
                          </w:p>
                          <w:p w14:paraId="53348733" w14:textId="77777777" w:rsidR="00F21050" w:rsidRPr="00BA22E1" w:rsidRDefault="00F21050" w:rsidP="00656CC2">
                            <w:pPr>
                              <w:spacing w:line="259" w:lineRule="auto"/>
                              <w:rPr>
                                <w:rFonts w:cs="Arial"/>
                              </w:rPr>
                            </w:pPr>
                            <w:r w:rsidRPr="00BA22E1">
                              <w:rPr>
                                <w:rFonts w:cs="Arial"/>
                              </w:rPr>
                              <w:t xml:space="preserve">The potential risk of algal blooms in a stream from a wastewater treatment plant discharge. </w:t>
                            </w:r>
                          </w:p>
                          <w:p w14:paraId="2133A252" w14:textId="77777777" w:rsidR="00F21050" w:rsidRPr="00BA22E1" w:rsidRDefault="00F21050" w:rsidP="00656CC2">
                            <w:pPr>
                              <w:spacing w:line="259" w:lineRule="auto"/>
                              <w:rPr>
                                <w:rFonts w:cs="Arial"/>
                                <w:b/>
                              </w:rPr>
                            </w:pPr>
                            <w:r w:rsidRPr="00BA22E1">
                              <w:rPr>
                                <w:rFonts w:cs="Arial"/>
                                <w:b/>
                              </w:rPr>
                              <w:t>Spatial considerations</w:t>
                            </w:r>
                          </w:p>
                          <w:p w14:paraId="54E6E1C1" w14:textId="77777777" w:rsidR="00F21050" w:rsidRPr="00BA22E1" w:rsidRDefault="00F21050" w:rsidP="00656CC2">
                            <w:pPr>
                              <w:spacing w:line="259" w:lineRule="auto"/>
                              <w:rPr>
                                <w:rFonts w:cs="Arial"/>
                              </w:rPr>
                            </w:pPr>
                            <w:r w:rsidRPr="00BA22E1">
                              <w:rPr>
                                <w:rFonts w:cs="Arial"/>
                                <w:iCs/>
                              </w:rPr>
                              <w:t>T</w:t>
                            </w:r>
                            <w:r w:rsidRPr="00BA22E1">
                              <w:rPr>
                                <w:rFonts w:cs="Arial"/>
                              </w:rPr>
                              <w:t xml:space="preserve">he area included in the risk assessment </w:t>
                            </w:r>
                            <w:r>
                              <w:rPr>
                                <w:rFonts w:cs="Arial"/>
                              </w:rPr>
                              <w:t>c</w:t>
                            </w:r>
                            <w:r w:rsidRPr="00BA22E1">
                              <w:rPr>
                                <w:rFonts w:cs="Arial"/>
                              </w:rPr>
                              <w:t xml:space="preserve">ould be the point of discharge, upstream of this point (this is, ambient levels in the receiving waters) and downstream to the point where nutrient concentrations have returned to ambient levels or met the relevant ERS objectives. </w:t>
                            </w:r>
                            <w:r w:rsidRPr="002A6565">
                              <w:rPr>
                                <w:rFonts w:cs="Arial"/>
                              </w:rPr>
                              <w:t>In some cases, a broader spatial scale may be applicable, where the contribution to the catchment load of nutrients is identified as a risk.</w:t>
                            </w:r>
                            <w:r>
                              <w:rPr>
                                <w:rFonts w:cs="Arial"/>
                              </w:rPr>
                              <w:t xml:space="preserve"> </w:t>
                            </w:r>
                            <w:r w:rsidRPr="001049D4">
                              <w:rPr>
                                <w:rFonts w:cs="Arial"/>
                              </w:rPr>
                              <w:t>This is particularly relevant for catchments surrounding surface waters with pollutant load objectives, such as Port Phillip Bay and Western Port.</w:t>
                            </w:r>
                          </w:p>
                          <w:p w14:paraId="386F8B45" w14:textId="77777777" w:rsidR="00F21050" w:rsidRPr="00BA22E1" w:rsidRDefault="00F21050" w:rsidP="00656CC2">
                            <w:pPr>
                              <w:spacing w:line="259" w:lineRule="auto"/>
                              <w:rPr>
                                <w:rFonts w:cs="Arial"/>
                                <w:b/>
                              </w:rPr>
                            </w:pPr>
                            <w:r w:rsidRPr="00BA22E1">
                              <w:rPr>
                                <w:rFonts w:cs="Arial"/>
                                <w:b/>
                              </w:rPr>
                              <w:t>Temporal considerations</w:t>
                            </w:r>
                          </w:p>
                          <w:p w14:paraId="2A3EADF5" w14:textId="77777777" w:rsidR="00F21050" w:rsidRPr="00BA22E1" w:rsidRDefault="00F21050" w:rsidP="00656CC2">
                            <w:pPr>
                              <w:spacing w:line="259" w:lineRule="auto"/>
                              <w:rPr>
                                <w:rFonts w:cs="Arial"/>
                              </w:rPr>
                            </w:pPr>
                            <w:r w:rsidRPr="00BA22E1">
                              <w:rPr>
                                <w:rFonts w:cs="Arial"/>
                              </w:rPr>
                              <w:t xml:space="preserve">This determines the periods of time the risk assessment needs to consider; for example, one year, five or 10 years. The temporal scale may be based on the timing of management plans, </w:t>
                            </w:r>
                            <w:r w:rsidRPr="00893EA2">
                              <w:rPr>
                                <w:rFonts w:cs="Arial"/>
                              </w:rPr>
                              <w:t>the variability of the discharge, the frequency of algal blooms,</w:t>
                            </w:r>
                            <w:r>
                              <w:rPr>
                                <w:rFonts w:cs="Arial"/>
                              </w:rPr>
                              <w:t xml:space="preserve"> </w:t>
                            </w:r>
                            <w:r w:rsidRPr="00BA22E1">
                              <w:rPr>
                                <w:rFonts w:cs="Arial"/>
                              </w:rPr>
                              <w:t>climatic variability or seasonality.</w:t>
                            </w:r>
                          </w:p>
                          <w:p w14:paraId="41A46C51" w14:textId="77777777" w:rsidR="00F21050" w:rsidRPr="00BA22E1" w:rsidRDefault="00F21050" w:rsidP="00656CC2">
                            <w:pPr>
                              <w:spacing w:line="259" w:lineRule="auto"/>
                              <w:rPr>
                                <w:rFonts w:cs="Arial"/>
                                <w:b/>
                              </w:rPr>
                            </w:pPr>
                            <w:r w:rsidRPr="00BA22E1">
                              <w:rPr>
                                <w:rFonts w:cs="Arial"/>
                                <w:b/>
                              </w:rPr>
                              <w:t>Seasonal and climatic variability</w:t>
                            </w:r>
                          </w:p>
                          <w:p w14:paraId="508C73A1" w14:textId="373CDB1A" w:rsidR="0028142C" w:rsidRPr="00A053A9" w:rsidRDefault="00F21050" w:rsidP="00A053A9">
                            <w:pPr>
                              <w:spacing w:line="259" w:lineRule="auto"/>
                              <w:rPr>
                                <w:rFonts w:cs="Arial"/>
                              </w:rPr>
                            </w:pPr>
                            <w:r w:rsidRPr="00BA22E1">
                              <w:rPr>
                                <w:rFonts w:cs="Arial"/>
                              </w:rPr>
                              <w:t>In this example, seasonal influences could be low summer flows. At such a time, nutrients in the discharge will become more concentrated in the receiving waters. In addition, the climatic influence of drought would further exacerbate low flows and nutrient concentrations.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FE06339" id="Text Box 506"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2C557E9F" w14:textId="77777777" w:rsidR="00F21050" w:rsidRPr="00F21050" w:rsidRDefault="00F21050" w:rsidP="00071B66">
                      <w:pPr>
                        <w:rPr>
                          <w:b/>
                          <w:bCs/>
                        </w:rPr>
                      </w:pPr>
                      <w:r w:rsidRPr="00F21050">
                        <w:rPr>
                          <w:b/>
                          <w:bCs/>
                        </w:rPr>
                        <w:t>Example of spatial and temporal scales and variability</w:t>
                      </w:r>
                    </w:p>
                    <w:p w14:paraId="66E751A8" w14:textId="77777777" w:rsidR="00F21050" w:rsidRPr="00BA22E1" w:rsidRDefault="00F21050" w:rsidP="00656CC2">
                      <w:pPr>
                        <w:spacing w:line="259" w:lineRule="auto"/>
                        <w:rPr>
                          <w:rFonts w:cs="Arial"/>
                          <w:b/>
                        </w:rPr>
                      </w:pPr>
                      <w:r w:rsidRPr="00BA22E1">
                        <w:rPr>
                          <w:rFonts w:cs="Arial"/>
                          <w:b/>
                        </w:rPr>
                        <w:t>Potential risk</w:t>
                      </w:r>
                    </w:p>
                    <w:p w14:paraId="53348733" w14:textId="77777777" w:rsidR="00F21050" w:rsidRPr="00BA22E1" w:rsidRDefault="00F21050" w:rsidP="00656CC2">
                      <w:pPr>
                        <w:spacing w:line="259" w:lineRule="auto"/>
                        <w:rPr>
                          <w:rFonts w:cs="Arial"/>
                        </w:rPr>
                      </w:pPr>
                      <w:r w:rsidRPr="00BA22E1">
                        <w:rPr>
                          <w:rFonts w:cs="Arial"/>
                        </w:rPr>
                        <w:t xml:space="preserve">The potential risk of algal blooms in a stream from a wastewater treatment plant discharge. </w:t>
                      </w:r>
                    </w:p>
                    <w:p w14:paraId="2133A252" w14:textId="77777777" w:rsidR="00F21050" w:rsidRPr="00BA22E1" w:rsidRDefault="00F21050" w:rsidP="00656CC2">
                      <w:pPr>
                        <w:spacing w:line="259" w:lineRule="auto"/>
                        <w:rPr>
                          <w:rFonts w:cs="Arial"/>
                          <w:b/>
                        </w:rPr>
                      </w:pPr>
                      <w:r w:rsidRPr="00BA22E1">
                        <w:rPr>
                          <w:rFonts w:cs="Arial"/>
                          <w:b/>
                        </w:rPr>
                        <w:t>Spatial considerations</w:t>
                      </w:r>
                    </w:p>
                    <w:p w14:paraId="54E6E1C1" w14:textId="77777777" w:rsidR="00F21050" w:rsidRPr="00BA22E1" w:rsidRDefault="00F21050" w:rsidP="00656CC2">
                      <w:pPr>
                        <w:spacing w:line="259" w:lineRule="auto"/>
                        <w:rPr>
                          <w:rFonts w:cs="Arial"/>
                        </w:rPr>
                      </w:pPr>
                      <w:r w:rsidRPr="00BA22E1">
                        <w:rPr>
                          <w:rFonts w:cs="Arial"/>
                          <w:iCs/>
                        </w:rPr>
                        <w:t>T</w:t>
                      </w:r>
                      <w:r w:rsidRPr="00BA22E1">
                        <w:rPr>
                          <w:rFonts w:cs="Arial"/>
                        </w:rPr>
                        <w:t xml:space="preserve">he area included in the risk assessment </w:t>
                      </w:r>
                      <w:r>
                        <w:rPr>
                          <w:rFonts w:cs="Arial"/>
                        </w:rPr>
                        <w:t>c</w:t>
                      </w:r>
                      <w:r w:rsidRPr="00BA22E1">
                        <w:rPr>
                          <w:rFonts w:cs="Arial"/>
                        </w:rPr>
                        <w:t xml:space="preserve">ould be the point of discharge, upstream of this point (this is, ambient levels in the receiving waters) and downstream to the point where nutrient concentrations have returned to ambient levels or met the relevant ERS objectives. </w:t>
                      </w:r>
                      <w:r w:rsidRPr="002A6565">
                        <w:rPr>
                          <w:rFonts w:cs="Arial"/>
                        </w:rPr>
                        <w:t>In some cases, a broader spatial scale may be applicable, where the contribution to the catchment load of nutrients is identified as a risk.</w:t>
                      </w:r>
                      <w:r>
                        <w:rPr>
                          <w:rFonts w:cs="Arial"/>
                        </w:rPr>
                        <w:t xml:space="preserve"> </w:t>
                      </w:r>
                      <w:r w:rsidRPr="001049D4">
                        <w:rPr>
                          <w:rFonts w:cs="Arial"/>
                        </w:rPr>
                        <w:t>This is particularly relevant for catchments surrounding surface waters with pollutant load objectives, such as Port Phillip Bay and Western Port.</w:t>
                      </w:r>
                    </w:p>
                    <w:p w14:paraId="386F8B45" w14:textId="77777777" w:rsidR="00F21050" w:rsidRPr="00BA22E1" w:rsidRDefault="00F21050" w:rsidP="00656CC2">
                      <w:pPr>
                        <w:spacing w:line="259" w:lineRule="auto"/>
                        <w:rPr>
                          <w:rFonts w:cs="Arial"/>
                          <w:b/>
                        </w:rPr>
                      </w:pPr>
                      <w:r w:rsidRPr="00BA22E1">
                        <w:rPr>
                          <w:rFonts w:cs="Arial"/>
                          <w:b/>
                        </w:rPr>
                        <w:t>Temporal considerations</w:t>
                      </w:r>
                    </w:p>
                    <w:p w14:paraId="2A3EADF5" w14:textId="77777777" w:rsidR="00F21050" w:rsidRPr="00BA22E1" w:rsidRDefault="00F21050" w:rsidP="00656CC2">
                      <w:pPr>
                        <w:spacing w:line="259" w:lineRule="auto"/>
                        <w:rPr>
                          <w:rFonts w:cs="Arial"/>
                        </w:rPr>
                      </w:pPr>
                      <w:r w:rsidRPr="00BA22E1">
                        <w:rPr>
                          <w:rFonts w:cs="Arial"/>
                        </w:rPr>
                        <w:t xml:space="preserve">This determines the periods of time the risk assessment needs to consider; for example, one year, five or 10 years. The temporal scale may be based on the timing of management plans, </w:t>
                      </w:r>
                      <w:r w:rsidRPr="00893EA2">
                        <w:rPr>
                          <w:rFonts w:cs="Arial"/>
                        </w:rPr>
                        <w:t>the variability of the discharge, the frequency of algal blooms,</w:t>
                      </w:r>
                      <w:r>
                        <w:rPr>
                          <w:rFonts w:cs="Arial"/>
                        </w:rPr>
                        <w:t xml:space="preserve"> </w:t>
                      </w:r>
                      <w:r w:rsidRPr="00BA22E1">
                        <w:rPr>
                          <w:rFonts w:cs="Arial"/>
                        </w:rPr>
                        <w:t>climatic variability or seasonality.</w:t>
                      </w:r>
                    </w:p>
                    <w:p w14:paraId="41A46C51" w14:textId="77777777" w:rsidR="00F21050" w:rsidRPr="00BA22E1" w:rsidRDefault="00F21050" w:rsidP="00656CC2">
                      <w:pPr>
                        <w:spacing w:line="259" w:lineRule="auto"/>
                        <w:rPr>
                          <w:rFonts w:cs="Arial"/>
                          <w:b/>
                        </w:rPr>
                      </w:pPr>
                      <w:r w:rsidRPr="00BA22E1">
                        <w:rPr>
                          <w:rFonts w:cs="Arial"/>
                          <w:b/>
                        </w:rPr>
                        <w:t>Seasonal and climatic variability</w:t>
                      </w:r>
                    </w:p>
                    <w:p w14:paraId="508C73A1" w14:textId="373CDB1A" w:rsidR="0028142C" w:rsidRPr="00A053A9" w:rsidRDefault="00F21050" w:rsidP="00A053A9">
                      <w:pPr>
                        <w:spacing w:line="259" w:lineRule="auto"/>
                        <w:rPr>
                          <w:rFonts w:cs="Arial"/>
                        </w:rPr>
                      </w:pPr>
                      <w:r w:rsidRPr="00BA22E1">
                        <w:rPr>
                          <w:rFonts w:cs="Arial"/>
                        </w:rPr>
                        <w:t>In this example, seasonal influences could be low summer flows. At such a time, nutrients in the discharge will become more concentrated in the receiving waters. In addition, the climatic influence of drought would further exacerbate low flows and nutrient concentrations.</w:t>
                      </w:r>
                    </w:p>
                  </w:txbxContent>
                </v:textbox>
                <w10:anchorlock/>
              </v:shape>
            </w:pict>
          </mc:Fallback>
        </mc:AlternateContent>
      </w:r>
      <w:bookmarkStart w:id="37" w:name="_Ref88212215"/>
    </w:p>
    <w:p w14:paraId="0508934E" w14:textId="4AF4BAA5" w:rsidR="00395469" w:rsidRDefault="00395469" w:rsidP="0028142C">
      <w:pPr>
        <w:pStyle w:val="Heading3"/>
        <w:keepNext w:val="0"/>
        <w:keepLines w:val="0"/>
      </w:pPr>
      <w:bookmarkStart w:id="38" w:name="_Ref133938013"/>
      <w:bookmarkStart w:id="39" w:name="_Toc133938137"/>
      <w:r>
        <w:t>Identification of endpoints</w:t>
      </w:r>
      <w:bookmarkEnd w:id="37"/>
      <w:bookmarkEnd w:id="38"/>
      <w:bookmarkEnd w:id="39"/>
    </w:p>
    <w:p w14:paraId="3507C472" w14:textId="3DB25B53" w:rsidR="00395469" w:rsidRPr="00BA22E1" w:rsidRDefault="00395469" w:rsidP="00395469">
      <w:pPr>
        <w:spacing w:line="259" w:lineRule="auto"/>
        <w:rPr>
          <w:rFonts w:cs="Arial"/>
        </w:rPr>
      </w:pPr>
      <w:r w:rsidRPr="00BA22E1">
        <w:rPr>
          <w:rFonts w:cs="Arial"/>
        </w:rPr>
        <w:t>Endpoints are selected to measure</w:t>
      </w:r>
      <w:r w:rsidR="005B22EF">
        <w:rPr>
          <w:rFonts w:cs="Arial"/>
        </w:rPr>
        <w:t xml:space="preserve"> and </w:t>
      </w:r>
      <w:r w:rsidRPr="00BA22E1">
        <w:rPr>
          <w:rFonts w:cs="Arial"/>
        </w:rPr>
        <w:t xml:space="preserve">monitor the environmental values being assessed. </w:t>
      </w:r>
      <w:r w:rsidRPr="00BA22E1">
        <w:rPr>
          <w:rFonts w:cs="Arial"/>
          <w:b/>
          <w:bCs/>
          <w:iCs/>
        </w:rPr>
        <w:t>Assessment endpoints</w:t>
      </w:r>
      <w:r w:rsidRPr="00BA22E1">
        <w:rPr>
          <w:rFonts w:cs="Arial"/>
        </w:rPr>
        <w:t xml:space="preserve"> are explicit expressions of the value to be protected. </w:t>
      </w:r>
      <w:r w:rsidRPr="00BA22E1">
        <w:rPr>
          <w:rFonts w:cs="Arial"/>
          <w:b/>
          <w:bCs/>
          <w:iCs/>
        </w:rPr>
        <w:t>Measurement endpoints</w:t>
      </w:r>
      <w:r w:rsidRPr="00BA22E1">
        <w:rPr>
          <w:rFonts w:cs="Arial"/>
        </w:rPr>
        <w:t xml:space="preserve"> are the aspect of the assessment endpoint that can be measured.</w:t>
      </w:r>
    </w:p>
    <w:p w14:paraId="06080A3B" w14:textId="052463A4" w:rsidR="00395469" w:rsidRPr="00BA22E1" w:rsidRDefault="00395469" w:rsidP="003139FD">
      <w:pPr>
        <w:keepNext/>
        <w:keepLines/>
        <w:spacing w:line="259" w:lineRule="auto"/>
        <w:rPr>
          <w:rFonts w:cs="Arial"/>
        </w:rPr>
      </w:pPr>
      <w:r w:rsidRPr="00BA22E1">
        <w:rPr>
          <w:rFonts w:cs="Arial"/>
        </w:rPr>
        <w:lastRenderedPageBreak/>
        <w:t>For example, if risk</w:t>
      </w:r>
      <w:r w:rsidR="000922B4">
        <w:rPr>
          <w:rFonts w:cs="Arial"/>
        </w:rPr>
        <w:t>s</w:t>
      </w:r>
      <w:r w:rsidRPr="00BA22E1">
        <w:rPr>
          <w:rFonts w:cs="Arial"/>
        </w:rPr>
        <w:t xml:space="preserve"> to water dependent ecosystems and species </w:t>
      </w:r>
      <w:r w:rsidR="000922B4">
        <w:rPr>
          <w:rFonts w:cs="Arial"/>
        </w:rPr>
        <w:t>are</w:t>
      </w:r>
      <w:r w:rsidR="000922B4" w:rsidRPr="00BA22E1">
        <w:rPr>
          <w:rFonts w:cs="Arial"/>
        </w:rPr>
        <w:t xml:space="preserve"> </w:t>
      </w:r>
      <w:r w:rsidRPr="00BA22E1">
        <w:rPr>
          <w:rFonts w:cs="Arial"/>
        </w:rPr>
        <w:t>being investigated, the endpoints selected may be:</w:t>
      </w:r>
    </w:p>
    <w:p w14:paraId="7D7D317A" w14:textId="77777777" w:rsidR="00395469" w:rsidRPr="002D070A" w:rsidRDefault="00395469" w:rsidP="003139FD">
      <w:pPr>
        <w:pStyle w:val="ListBullet"/>
        <w:keepNext/>
        <w:keepLines/>
      </w:pPr>
      <w:r w:rsidRPr="002D070A">
        <w:t>assessment endpoint: macroinvertebrate community</w:t>
      </w:r>
    </w:p>
    <w:p w14:paraId="46E0106D" w14:textId="600F3FDA" w:rsidR="00395469" w:rsidRPr="002D070A" w:rsidRDefault="00395469" w:rsidP="003139FD">
      <w:pPr>
        <w:pStyle w:val="ListBullet"/>
        <w:keepNext/>
        <w:keepLines/>
      </w:pPr>
      <w:r w:rsidRPr="002D070A">
        <w:t>measurement endpoint: macroinvertebrate community diversity</w:t>
      </w:r>
    </w:p>
    <w:p w14:paraId="1CE31039" w14:textId="77777777" w:rsidR="00395469" w:rsidRPr="00BA22E1" w:rsidRDefault="00395469" w:rsidP="00395469">
      <w:pPr>
        <w:spacing w:line="259" w:lineRule="auto"/>
        <w:rPr>
          <w:rFonts w:cs="Arial"/>
        </w:rPr>
      </w:pPr>
      <w:r w:rsidRPr="00BA22E1">
        <w:rPr>
          <w:rFonts w:cs="Arial"/>
        </w:rPr>
        <w:t>and/or</w:t>
      </w:r>
    </w:p>
    <w:p w14:paraId="4DF22064" w14:textId="44116DA7" w:rsidR="00395469" w:rsidRPr="00BA22E1" w:rsidRDefault="00395469" w:rsidP="002D070A">
      <w:pPr>
        <w:pStyle w:val="ListBullet"/>
      </w:pPr>
      <w:r w:rsidRPr="00BA22E1">
        <w:t>assessment endpoint: a native fish population (for example, Murray cod)</w:t>
      </w:r>
    </w:p>
    <w:p w14:paraId="6A41E634" w14:textId="3BC87DB0" w:rsidR="00395469" w:rsidRDefault="00395469" w:rsidP="002D070A">
      <w:pPr>
        <w:pStyle w:val="ListBullet"/>
      </w:pPr>
      <w:r w:rsidRPr="00BA22E1">
        <w:t>measurement endpoint: abundance (for example, Murray cod abundance).</w:t>
      </w:r>
    </w:p>
    <w:p w14:paraId="7D295BC9" w14:textId="77777777" w:rsidR="00395469" w:rsidRPr="00BA22E1" w:rsidRDefault="00395469" w:rsidP="00395469">
      <w:pPr>
        <w:spacing w:line="259" w:lineRule="auto"/>
      </w:pPr>
      <w:r w:rsidRPr="00BA22E1">
        <w:t>If the risk of an algal bloom occurring in a river is being investigated, the endpoints selected may be:</w:t>
      </w:r>
    </w:p>
    <w:p w14:paraId="36B33ABC" w14:textId="77777777" w:rsidR="00395469" w:rsidRDefault="00395469" w:rsidP="002D070A">
      <w:pPr>
        <w:pStyle w:val="ListBullet"/>
      </w:pPr>
      <w:r w:rsidRPr="00BA22E1">
        <w:t>assessment endpoint: the river phytoplankton community</w:t>
      </w:r>
    </w:p>
    <w:p w14:paraId="1B1FC01D" w14:textId="00402D78" w:rsidR="00395469" w:rsidRDefault="00395469" w:rsidP="002D070A">
      <w:pPr>
        <w:pStyle w:val="ListBullet"/>
      </w:pPr>
      <w:r>
        <w:t xml:space="preserve">measurement endpoint: chlorophyll </w:t>
      </w:r>
      <w:bookmarkStart w:id="40" w:name="_Int_nGuGyfey"/>
      <w:r w:rsidRPr="10077A7C">
        <w:t>a</w:t>
      </w:r>
      <w:r>
        <w:t xml:space="preserve"> and</w:t>
      </w:r>
      <w:bookmarkEnd w:id="40"/>
      <w:r>
        <w:t>/or phytoplankton diversity and abundance.</w:t>
      </w:r>
    </w:p>
    <w:p w14:paraId="1C39B9EF" w14:textId="483FE76A" w:rsidR="00F256C1" w:rsidRDefault="00395469" w:rsidP="00395469">
      <w:pPr>
        <w:spacing w:after="0"/>
      </w:pPr>
      <w:r w:rsidRPr="00BA22E1">
        <w:t>Endpoints are distinguished from management goals by their neutrality and specificity. Endpoints do not represent a desired achievement (or goal). Rather, they are defined by specific measurable components and provide a means of measuring stress-response relationships.</w:t>
      </w:r>
    </w:p>
    <w:p w14:paraId="5C36ACD1" w14:textId="77777777" w:rsidR="00F256C1" w:rsidRPr="00BA22E1" w:rsidRDefault="00F256C1" w:rsidP="00F256C1">
      <w:pPr>
        <w:spacing w:line="259" w:lineRule="auto"/>
      </w:pPr>
      <w:r w:rsidRPr="00BA22E1">
        <w:t>Endpoints need to be:</w:t>
      </w:r>
    </w:p>
    <w:p w14:paraId="3890AEBC" w14:textId="16957A89" w:rsidR="00F256C1" w:rsidRPr="00BA22E1" w:rsidRDefault="00F256C1" w:rsidP="002D070A">
      <w:pPr>
        <w:pStyle w:val="ListBullet"/>
      </w:pPr>
      <w:r>
        <w:t xml:space="preserve">susceptible to </w:t>
      </w:r>
      <w:bookmarkStart w:id="41" w:name="_Int_jvh+gvVA"/>
      <w:r>
        <w:t>the wastewater</w:t>
      </w:r>
      <w:bookmarkEnd w:id="41"/>
      <w:r>
        <w:t xml:space="preserve"> </w:t>
      </w:r>
      <w:r w:rsidR="007372BA">
        <w:t>hazard</w:t>
      </w:r>
    </w:p>
    <w:p w14:paraId="218C2FDA" w14:textId="77777777" w:rsidR="00F256C1" w:rsidRPr="00BA22E1" w:rsidRDefault="00F256C1" w:rsidP="002D070A">
      <w:pPr>
        <w:pStyle w:val="ListBullet"/>
      </w:pPr>
      <w:r w:rsidRPr="00BA22E1">
        <w:t>predictable and measurable</w:t>
      </w:r>
    </w:p>
    <w:p w14:paraId="1D56C54A" w14:textId="33FD0493" w:rsidR="00F256C1" w:rsidRPr="00BA22E1" w:rsidRDefault="00F256C1" w:rsidP="002D070A">
      <w:pPr>
        <w:pStyle w:val="ListBullet"/>
      </w:pPr>
      <w:r>
        <w:t xml:space="preserve">relevant to </w:t>
      </w:r>
      <w:bookmarkStart w:id="42" w:name="_Int_Z53HV/at"/>
      <w:r>
        <w:t>the environmental</w:t>
      </w:r>
      <w:bookmarkEnd w:id="42"/>
      <w:r>
        <w:t xml:space="preserve"> values.</w:t>
      </w:r>
    </w:p>
    <w:p w14:paraId="24DB5F08" w14:textId="77777777" w:rsidR="00F256C1" w:rsidRPr="00BA22E1" w:rsidRDefault="00F256C1" w:rsidP="00F256C1">
      <w:pPr>
        <w:spacing w:line="259" w:lineRule="auto"/>
      </w:pPr>
      <w:r w:rsidRPr="00BA22E1">
        <w:t>There is often a trade-off in selecting an endpoint between the costs of ambiguity if endpoints are loosely defined and a loss of generality in endpoints that are very precisely defined. In some cases, more than one endpoint may be required for a risk assessment, to cover the complexity of aquatic systems and the cause-and-effect relationships within these.</w:t>
      </w:r>
    </w:p>
    <w:p w14:paraId="0ED983C3" w14:textId="77777777" w:rsidR="00F256C1" w:rsidRPr="00BA22E1" w:rsidRDefault="00F256C1" w:rsidP="00F256C1">
      <w:pPr>
        <w:spacing w:line="259" w:lineRule="auto"/>
      </w:pPr>
      <w:r w:rsidRPr="00BA22E1">
        <w:t xml:space="preserve">The strengths and limitations of potential endpoints should be assessed to select the most appropriate endpoint to analyse the risks. Selection of endpoints requires expert knowledge of aquatic processes and the assessment of these. It also requires local knowledge of the area and management concerns. </w:t>
      </w:r>
    </w:p>
    <w:p w14:paraId="49A078C0" w14:textId="77777777" w:rsidR="00F256C1" w:rsidRDefault="00F256C1" w:rsidP="00341E57">
      <w:pPr>
        <w:pStyle w:val="Heading3"/>
      </w:pPr>
      <w:bookmarkStart w:id="43" w:name="_Toc133938138"/>
      <w:r>
        <w:t>Conceptual models</w:t>
      </w:r>
      <w:bookmarkEnd w:id="43"/>
    </w:p>
    <w:p w14:paraId="2C453E56" w14:textId="77777777" w:rsidR="00F256C1" w:rsidRPr="00BA22E1" w:rsidRDefault="00F256C1" w:rsidP="00F256C1">
      <w:pPr>
        <w:spacing w:line="259" w:lineRule="auto"/>
        <w:rPr>
          <w:rFonts w:cs="Arial"/>
        </w:rPr>
      </w:pPr>
      <w:r w:rsidRPr="00BA22E1">
        <w:rPr>
          <w:rFonts w:cs="Arial"/>
        </w:rPr>
        <w:t>A conceptual model is a diagram or picture of the relationships between:</w:t>
      </w:r>
    </w:p>
    <w:p w14:paraId="777521E3" w14:textId="003728A0" w:rsidR="00F256C1" w:rsidRPr="00BA22E1" w:rsidRDefault="00F256C1" w:rsidP="002D070A">
      <w:pPr>
        <w:pStyle w:val="ListBullet"/>
      </w:pPr>
      <w:r w:rsidRPr="00BA22E1">
        <w:t xml:space="preserve">human activities, sources, </w:t>
      </w:r>
      <w:r w:rsidR="007372BA">
        <w:t>hazard</w:t>
      </w:r>
      <w:r w:rsidRPr="00BA22E1">
        <w:t>s and the environment</w:t>
      </w:r>
    </w:p>
    <w:p w14:paraId="63A1E797" w14:textId="77777777" w:rsidR="00F256C1" w:rsidRPr="00BA22E1" w:rsidRDefault="00F256C1" w:rsidP="002D070A">
      <w:pPr>
        <w:pStyle w:val="ListBullet"/>
      </w:pPr>
      <w:r w:rsidRPr="00BA22E1">
        <w:t>factors influencing the likelihood of risk occurring</w:t>
      </w:r>
    </w:p>
    <w:p w14:paraId="5923090E" w14:textId="3628CA2A" w:rsidR="00F256C1" w:rsidRPr="00917DCC" w:rsidRDefault="00F256C1" w:rsidP="00F256C1">
      <w:pPr>
        <w:pStyle w:val="ListBullet"/>
      </w:pPr>
      <w:r w:rsidRPr="00BA22E1">
        <w:t xml:space="preserve">impacts to the assessment endpoints. </w:t>
      </w:r>
    </w:p>
    <w:p w14:paraId="301F3F45" w14:textId="240F713A" w:rsidR="00F256C1" w:rsidRPr="00BA22E1" w:rsidRDefault="00F256C1" w:rsidP="00F256C1">
      <w:pPr>
        <w:spacing w:line="259" w:lineRule="auto"/>
        <w:rPr>
          <w:rFonts w:cs="Arial"/>
        </w:rPr>
      </w:pPr>
      <w:r w:rsidRPr="00BA22E1">
        <w:rPr>
          <w:rFonts w:cs="Arial"/>
        </w:rPr>
        <w:lastRenderedPageBreak/>
        <w:t xml:space="preserve">Creating a conceptual model is an important initial step in the analysis of multiple </w:t>
      </w:r>
      <w:r w:rsidR="007372BA">
        <w:rPr>
          <w:rFonts w:cs="Arial"/>
        </w:rPr>
        <w:t>hazard</w:t>
      </w:r>
      <w:r w:rsidRPr="00BA22E1">
        <w:rPr>
          <w:rFonts w:cs="Arial"/>
        </w:rPr>
        <w:t>s and provides the basis for developing hypotheses on potential cause-effect relationships (Ferenc and Foran, 2000).</w:t>
      </w:r>
    </w:p>
    <w:p w14:paraId="39CB0419" w14:textId="77777777" w:rsidR="00F256C1" w:rsidRPr="00BA22E1" w:rsidRDefault="00F256C1" w:rsidP="00F256C1">
      <w:pPr>
        <w:spacing w:line="259" w:lineRule="auto"/>
        <w:rPr>
          <w:rFonts w:cs="Arial"/>
        </w:rPr>
      </w:pPr>
      <w:r w:rsidRPr="00BA22E1">
        <w:rPr>
          <w:rFonts w:cs="Arial"/>
        </w:rPr>
        <w:t>The development of a conceptual model has several benefits. Conceptual models:</w:t>
      </w:r>
    </w:p>
    <w:p w14:paraId="3C68F83E" w14:textId="77777777" w:rsidR="00F256C1" w:rsidRPr="00BA22E1" w:rsidRDefault="00F256C1" w:rsidP="002D070A">
      <w:pPr>
        <w:pStyle w:val="ListBullet"/>
      </w:pPr>
      <w:r w:rsidRPr="00BA22E1">
        <w:t>aid in simplifying complex processes that may not always be completely understood</w:t>
      </w:r>
    </w:p>
    <w:p w14:paraId="22082F1A" w14:textId="77777777" w:rsidR="00F256C1" w:rsidRPr="00BA22E1" w:rsidRDefault="00F256C1" w:rsidP="002D070A">
      <w:pPr>
        <w:pStyle w:val="ListBullet"/>
      </w:pPr>
      <w:r w:rsidRPr="00BA22E1">
        <w:t>compel risk assessors to think through and clarify their assumptions about cause-effect relationships</w:t>
      </w:r>
    </w:p>
    <w:p w14:paraId="2F03C459" w14:textId="77777777" w:rsidR="00F256C1" w:rsidRDefault="00F256C1" w:rsidP="002D070A">
      <w:pPr>
        <w:pStyle w:val="ListBullet"/>
      </w:pPr>
      <w:r w:rsidRPr="00BA22E1">
        <w:t>identify knowledge gaps and determine research/data needs</w:t>
      </w:r>
    </w:p>
    <w:p w14:paraId="3E90643F" w14:textId="77777777" w:rsidR="00F256C1" w:rsidRPr="00BA22E1" w:rsidRDefault="00F256C1" w:rsidP="002D070A">
      <w:pPr>
        <w:pStyle w:val="ListBullet"/>
      </w:pPr>
      <w:r w:rsidRPr="00BA22E1">
        <w:t>can easily be updated as information becomes available</w:t>
      </w:r>
    </w:p>
    <w:p w14:paraId="16421950" w14:textId="30FB47A7" w:rsidR="00F256C1" w:rsidRPr="002D070A" w:rsidRDefault="00F256C1" w:rsidP="002D070A">
      <w:pPr>
        <w:pStyle w:val="ListBullet"/>
      </w:pPr>
      <w:r w:rsidRPr="00BA22E1">
        <w:t>provide an easily understandable communication tool for conveying the risks, assumptions and uncertainties to risk managers and stakeholders.</w:t>
      </w:r>
    </w:p>
    <w:p w14:paraId="00D1E0AB" w14:textId="77BEB59A" w:rsidR="00F256C1" w:rsidRPr="00BA22E1" w:rsidRDefault="00F256C1" w:rsidP="00F256C1">
      <w:pPr>
        <w:spacing w:line="259" w:lineRule="auto"/>
        <w:rPr>
          <w:rFonts w:cs="Arial"/>
        </w:rPr>
      </w:pPr>
      <w:r w:rsidRPr="00BA22E1">
        <w:rPr>
          <w:rFonts w:cs="Arial"/>
        </w:rPr>
        <w:t xml:space="preserve">Development of conceptual models should involve risk managers, technical and scientific experts, </w:t>
      </w:r>
      <w:r w:rsidR="00A83EBD">
        <w:rPr>
          <w:rFonts w:cs="Arial"/>
        </w:rPr>
        <w:t>Traditional Owner</w:t>
      </w:r>
      <w:r w:rsidRPr="00BA22E1">
        <w:rPr>
          <w:rFonts w:cs="Arial"/>
        </w:rPr>
        <w:t>s, resource managers and other relevant stakeholders. Hart et al. (2005) outlined the positive outcomes of stakeholder involvement in building conceptual models as:</w:t>
      </w:r>
    </w:p>
    <w:p w14:paraId="0EA4A1FE" w14:textId="77777777" w:rsidR="00F256C1" w:rsidRPr="002D070A" w:rsidRDefault="00F256C1" w:rsidP="002D070A">
      <w:pPr>
        <w:pStyle w:val="ListBullet"/>
      </w:pPr>
      <w:r w:rsidRPr="002D070A">
        <w:t>providing the stakeholders with some ownership of the process</w:t>
      </w:r>
    </w:p>
    <w:p w14:paraId="5CE744A5" w14:textId="77777777" w:rsidR="00F256C1" w:rsidRPr="002D070A" w:rsidRDefault="00F256C1" w:rsidP="002D070A">
      <w:pPr>
        <w:pStyle w:val="ListBullet"/>
      </w:pPr>
      <w:r w:rsidRPr="002D070A">
        <w:t>bringing out knowledge that is not formally documented</w:t>
      </w:r>
    </w:p>
    <w:p w14:paraId="6BF8571B" w14:textId="1695F9EE" w:rsidR="001E2D34" w:rsidRPr="002D070A" w:rsidRDefault="00F256C1" w:rsidP="002D070A">
      <w:pPr>
        <w:pStyle w:val="ListBullet"/>
      </w:pPr>
      <w:r w:rsidRPr="002D070A">
        <w:t>providing a useful means for increasing participants’ knowledge of the ecosystems being assessed.</w:t>
      </w:r>
    </w:p>
    <w:p w14:paraId="797AE20C" w14:textId="1C39A708" w:rsidR="00F256C1" w:rsidRPr="00BA22E1" w:rsidRDefault="00F256C1" w:rsidP="00F256C1">
      <w:pPr>
        <w:spacing w:line="259" w:lineRule="auto"/>
        <w:rPr>
          <w:rFonts w:cs="Arial"/>
        </w:rPr>
      </w:pPr>
      <w:r w:rsidRPr="00BA22E1">
        <w:rPr>
          <w:rFonts w:cs="Arial"/>
        </w:rPr>
        <w:t xml:space="preserve">Conceptual models are most commonly flow diagrams that use arrows to represent relationships between sources, </w:t>
      </w:r>
      <w:r w:rsidR="007372BA">
        <w:rPr>
          <w:rFonts w:cs="Arial"/>
        </w:rPr>
        <w:t>hazard</w:t>
      </w:r>
      <w:r w:rsidRPr="00BA22E1">
        <w:rPr>
          <w:rFonts w:cs="Arial"/>
        </w:rPr>
        <w:t>s and assessment endpoints (see</w:t>
      </w:r>
      <w:r w:rsidR="008A517A">
        <w:rPr>
          <w:rFonts w:cs="Arial"/>
        </w:rPr>
        <w:t xml:space="preserve"> </w:t>
      </w:r>
      <w:r w:rsidR="00F21050">
        <w:rPr>
          <w:rFonts w:cs="Arial"/>
        </w:rPr>
        <w:t>Appendix A</w:t>
      </w:r>
      <w:r w:rsidR="007B5828">
        <w:rPr>
          <w:rFonts w:cs="Arial"/>
        </w:rPr>
        <w:t xml:space="preserve"> </w:t>
      </w:r>
      <w:r w:rsidRPr="00BA22E1">
        <w:rPr>
          <w:rFonts w:cs="Arial"/>
        </w:rPr>
        <w:t>for examples). They will vary in complexity, depending on the risks and systems being assessed. If there are many complex relationships, it may be more desirable and less confusing to represent the relationships and processes as a set of interrelated models. Such models could progress from a broad scale (such as the catchment level), working towards a finer scale showing more detail (for example, the relationship between wastewater pathogens and toxicants to human health issues).</w:t>
      </w:r>
    </w:p>
    <w:p w14:paraId="7A3ED82C" w14:textId="77777777" w:rsidR="00F256C1" w:rsidRPr="00BA22E1" w:rsidRDefault="00F256C1" w:rsidP="00F256C1">
      <w:pPr>
        <w:spacing w:line="259" w:lineRule="auto"/>
        <w:rPr>
          <w:rFonts w:cs="Arial"/>
        </w:rPr>
      </w:pPr>
      <w:r w:rsidRPr="00BA22E1">
        <w:rPr>
          <w:rFonts w:cs="Arial"/>
        </w:rPr>
        <w:t>Depending on the complexity of the conceptual model, supplementary text may be important for providing explanations of the relationships. This helps to prevent confusion. It is also important that the underlying assumptions of the model and key knowledge gaps are identified, reviewed and documented as sources of uncertainty. This avoids the inclusion of incorrect information or misrepresentation of the actual risks. Data and information can be collected to address these knowledge gaps and incorporated into the model as they become available throughout the investigation.</w:t>
      </w:r>
    </w:p>
    <w:p w14:paraId="57F80CE4" w14:textId="2C217752" w:rsidR="00F256C1" w:rsidRPr="00BA22E1" w:rsidRDefault="00F256C1" w:rsidP="00F256C1">
      <w:pPr>
        <w:spacing w:line="259" w:lineRule="auto"/>
      </w:pPr>
      <w:r w:rsidRPr="00BA22E1">
        <w:rPr>
          <w:rFonts w:cs="Arial"/>
        </w:rPr>
        <w:t xml:space="preserve">The library of conceptual models developed by the United States Environmental Protection Agency’s Interactive </w:t>
      </w:r>
      <w:r w:rsidR="000922B4" w:rsidRPr="00BA22E1">
        <w:rPr>
          <w:rFonts w:cs="Arial"/>
        </w:rPr>
        <w:t>C</w:t>
      </w:r>
      <w:r w:rsidR="000922B4">
        <w:rPr>
          <w:rFonts w:cs="Arial"/>
        </w:rPr>
        <w:t>onceptual</w:t>
      </w:r>
      <w:r w:rsidR="000922B4" w:rsidRPr="00BA22E1">
        <w:rPr>
          <w:rFonts w:cs="Arial"/>
        </w:rPr>
        <w:t xml:space="preserve"> </w:t>
      </w:r>
      <w:r w:rsidRPr="00BA22E1">
        <w:rPr>
          <w:rFonts w:cs="Arial"/>
        </w:rPr>
        <w:t>Diagram tool (</w:t>
      </w:r>
      <w:hyperlink r:id="rId37" w:history="1">
        <w:r w:rsidR="00CC1692" w:rsidRPr="000922B4">
          <w:rPr>
            <w:rStyle w:val="Hyperlink"/>
            <w:rFonts w:cs="Arial"/>
          </w:rPr>
          <w:t>www.epa.gov/caddis-vol2/simple-and-detailed-conceptual-model-diagram-downloads</w:t>
        </w:r>
      </w:hyperlink>
      <w:r w:rsidRPr="00BA22E1">
        <w:rPr>
          <w:rFonts w:cs="Arial"/>
        </w:rPr>
        <w:t>) is a useful source of existing models.</w:t>
      </w:r>
    </w:p>
    <w:p w14:paraId="621358DF" w14:textId="77777777" w:rsidR="00F256C1" w:rsidRDefault="00F256C1" w:rsidP="00341E57">
      <w:pPr>
        <w:pStyle w:val="Heading3"/>
      </w:pPr>
      <w:bookmarkStart w:id="44" w:name="_Ref88209736"/>
      <w:bookmarkStart w:id="45" w:name="_Toc133938139"/>
      <w:r>
        <w:lastRenderedPageBreak/>
        <w:t>Risk analysis plan</w:t>
      </w:r>
      <w:bookmarkEnd w:id="44"/>
      <w:bookmarkEnd w:id="45"/>
    </w:p>
    <w:p w14:paraId="1B455F3F" w14:textId="77777777" w:rsidR="00F256C1" w:rsidRDefault="00F256C1" w:rsidP="00F256C1">
      <w:r w:rsidRPr="00BA22E1">
        <w:t>Problem formulation concludes with an analysis plan that summarises the problem formulation phase and delineates the risk analysis phase. The plan is developed based on the conceptual model and information and data collected during problem formulation. It defines the endpoints that will be used to assess risk and how the risk will be quantified and described</w:t>
      </w:r>
      <w:r>
        <w:t>.</w:t>
      </w:r>
    </w:p>
    <w:p w14:paraId="4F63AD82" w14:textId="4D7B5322" w:rsidR="00F256C1" w:rsidRPr="00C40EA6" w:rsidRDefault="00F256C1" w:rsidP="00F256C1">
      <w:pPr>
        <w:spacing w:line="259" w:lineRule="auto"/>
        <w:rPr>
          <w:rStyle w:val="Hyperlink"/>
          <w:rFonts w:cs="Arial"/>
        </w:rPr>
      </w:pPr>
      <w:r w:rsidRPr="00BA22E1">
        <w:rPr>
          <w:rFonts w:cs="Arial"/>
          <w:lang w:eastAsia="en-AU"/>
        </w:rPr>
        <w:t xml:space="preserve">The risk analysis plan also delineates the monitoring program to address data gaps for the risk analysis phase. The aim of a monitoring program is to obtain information to help assess risks of the discharge on the receiving waters. </w:t>
      </w:r>
      <w:r w:rsidRPr="00BA22E1">
        <w:rPr>
          <w:rFonts w:cs="Arial"/>
        </w:rPr>
        <w:t xml:space="preserve">The </w:t>
      </w:r>
      <w:r w:rsidRPr="00BA22E1">
        <w:rPr>
          <w:shd w:val="clear" w:color="auto" w:fill="FFFFFF"/>
        </w:rPr>
        <w:t>ANZG</w:t>
      </w:r>
      <w:r w:rsidRPr="00BA22E1">
        <w:rPr>
          <w:rFonts w:cs="Arial"/>
        </w:rPr>
        <w:t xml:space="preserve"> provides guidance for developing a monitoring program, including field sampling and laboratory analysis. ANZG is available at </w:t>
      </w:r>
      <w:hyperlink r:id="rId38" w:history="1">
        <w:r w:rsidRPr="000E75B4">
          <w:rPr>
            <w:rStyle w:val="Hyperlink"/>
          </w:rPr>
          <w:t>www.waterquality.gov.au/anz-guidelines</w:t>
        </w:r>
      </w:hyperlink>
      <w:r w:rsidRPr="000E75B4">
        <w:t xml:space="preserve"> </w:t>
      </w:r>
      <w:r w:rsidRPr="000E75B4">
        <w:rPr>
          <w:rStyle w:val="Hyperlink"/>
          <w:rFonts w:cs="Arial"/>
          <w:color w:val="auto"/>
          <w:u w:val="none"/>
        </w:rPr>
        <w:t>and</w:t>
      </w:r>
      <w:r w:rsidRPr="00C40EA6">
        <w:rPr>
          <w:rStyle w:val="Hyperlink"/>
          <w:rFonts w:cs="Arial"/>
          <w:color w:val="auto"/>
          <w:u w:val="none"/>
        </w:rPr>
        <w:t xml:space="preserve"> some important points are summarised below.</w:t>
      </w:r>
    </w:p>
    <w:p w14:paraId="3E0421DA" w14:textId="69780048" w:rsidR="00F256C1" w:rsidRPr="00BA22E1" w:rsidRDefault="00F256C1" w:rsidP="00F256C1">
      <w:pPr>
        <w:spacing w:line="259" w:lineRule="auto"/>
        <w:rPr>
          <w:shd w:val="clear" w:color="auto" w:fill="FFFFFF"/>
        </w:rPr>
      </w:pPr>
      <w:r w:rsidRPr="00BA22E1">
        <w:t xml:space="preserve">The starting point for any monitoring program is to set clear monitoring objectives. </w:t>
      </w:r>
      <w:r w:rsidRPr="00BA22E1">
        <w:rPr>
          <w:shd w:val="clear" w:color="auto" w:fill="FFFFFF"/>
        </w:rPr>
        <w:t>Good monitoring objectives should be specific, measurable, meaningful and understandable. One example of a monitoring objective can be ‘to determine if contaminant concentrations being discharged under base flow conditions are exceeding the</w:t>
      </w:r>
      <w:r w:rsidRPr="00BA22E1">
        <w:rPr>
          <w:rFonts w:ascii="Cambria" w:hAnsi="Cambria" w:cs="Cambria"/>
          <w:shd w:val="clear" w:color="auto" w:fill="FFFFFF"/>
        </w:rPr>
        <w:t> </w:t>
      </w:r>
      <w:r w:rsidRPr="00BA22E1">
        <w:rPr>
          <w:shd w:val="clear" w:color="auto" w:fill="FFFFFF"/>
        </w:rPr>
        <w:t xml:space="preserve">ANZG </w:t>
      </w:r>
      <w:hyperlink r:id="rId39" w:history="1">
        <w:r w:rsidRPr="00BA22E1">
          <w:rPr>
            <w:rStyle w:val="Hyperlink"/>
            <w:rFonts w:cs="Arial"/>
            <w:shd w:val="clear" w:color="auto" w:fill="FFFFFF"/>
          </w:rPr>
          <w:t xml:space="preserve">default guideline values </w:t>
        </w:r>
      </w:hyperlink>
      <w:r w:rsidRPr="00BA22E1">
        <w:rPr>
          <w:shd w:val="clear" w:color="auto" w:fill="FFFFFF"/>
        </w:rPr>
        <w:t>for the protection of aquatic ecosystems in the receiving waters.</w:t>
      </w:r>
    </w:p>
    <w:p w14:paraId="19F8D90C" w14:textId="77777777" w:rsidR="00F256C1" w:rsidRPr="00BA22E1" w:rsidRDefault="00F256C1" w:rsidP="004B788D">
      <w:pPr>
        <w:rPr>
          <w:shd w:val="clear" w:color="auto" w:fill="FFFFFF"/>
        </w:rPr>
      </w:pPr>
      <w:r w:rsidRPr="00BA22E1">
        <w:t xml:space="preserve">Once objectives are defined, an appropriate monitoring plan can be designed. </w:t>
      </w:r>
      <w:r w:rsidRPr="00BA22E1">
        <w:rPr>
          <w:shd w:val="clear" w:color="auto" w:fill="FFFFFF"/>
        </w:rPr>
        <w:t>This involves selecting indicators to be monitored, as well as when, where and how they will be sampled. Quality assurance and quality control (QA/QC) for field and laboratory measurements should be considered, together with work health and safety requirements.</w:t>
      </w:r>
    </w:p>
    <w:p w14:paraId="7AAB58E1" w14:textId="77777777" w:rsidR="00F256C1" w:rsidRPr="00BA22E1" w:rsidRDefault="00F256C1" w:rsidP="00F256C1">
      <w:pPr>
        <w:spacing w:line="259" w:lineRule="auto"/>
        <w:rPr>
          <w:rStyle w:val="Hyperlink"/>
          <w:rFonts w:cs="Arial"/>
        </w:rPr>
      </w:pPr>
      <w:r w:rsidRPr="00BA22E1">
        <w:rPr>
          <w:rFonts w:cs="Arial"/>
        </w:rPr>
        <w:t>Based on the specific monitoring objectives and data requirements, it is important to consider the sample collection methods for water, sediment, biota or any other lines of evidence, including any requirements for analysis-specific sample containers, sample preservation and storage and field measurements.</w:t>
      </w:r>
    </w:p>
    <w:p w14:paraId="1A7DA06F" w14:textId="6EE1EA66" w:rsidR="00F256C1" w:rsidRPr="00BA22E1" w:rsidRDefault="00F256C1" w:rsidP="00F256C1">
      <w:pPr>
        <w:spacing w:line="259" w:lineRule="auto"/>
        <w:rPr>
          <w:rStyle w:val="Hyperlink"/>
          <w:rFonts w:cs="Arial"/>
        </w:rPr>
      </w:pPr>
      <w:r w:rsidRPr="00CA0176">
        <w:rPr>
          <w:rFonts w:cs="Arial"/>
          <w:i/>
        </w:rPr>
        <w:t>Sampling and analysis of waters, wastewaters, soils and wastes</w:t>
      </w:r>
      <w:r w:rsidRPr="00BA22E1">
        <w:rPr>
          <w:rFonts w:cs="Arial"/>
        </w:rPr>
        <w:t xml:space="preserve"> (</w:t>
      </w:r>
      <w:r w:rsidR="00260DC7">
        <w:rPr>
          <w:rFonts w:cs="Arial"/>
          <w:iCs/>
        </w:rPr>
        <w:t>EPA publication</w:t>
      </w:r>
      <w:r w:rsidRPr="00BA22E1">
        <w:rPr>
          <w:rFonts w:cs="Arial"/>
          <w:iCs/>
        </w:rPr>
        <w:t xml:space="preserve"> </w:t>
      </w:r>
      <w:r w:rsidRPr="00BA22E1">
        <w:rPr>
          <w:rFonts w:cs="Calibri"/>
        </w:rPr>
        <w:t xml:space="preserve">IWRG701) </w:t>
      </w:r>
      <w:r w:rsidRPr="00BA22E1">
        <w:rPr>
          <w:rFonts w:cs="Arial"/>
        </w:rPr>
        <w:t xml:space="preserve">provides detailed direction on appropriate sampling, preservation, storage, analytical and quality assurance procedures. </w:t>
      </w:r>
    </w:p>
    <w:p w14:paraId="60807CFE" w14:textId="77777777" w:rsidR="00F256C1" w:rsidRPr="00BA22E1" w:rsidRDefault="00F256C1" w:rsidP="00AA7232">
      <w:pPr>
        <w:pStyle w:val="Heading4"/>
        <w:rPr>
          <w:lang w:eastAsia="en-AU"/>
        </w:rPr>
      </w:pPr>
      <w:r w:rsidRPr="00BA22E1">
        <w:rPr>
          <w:lang w:eastAsia="en-AU"/>
        </w:rPr>
        <w:t>Indicators to be monitored</w:t>
      </w:r>
    </w:p>
    <w:p w14:paraId="3C47FEBB" w14:textId="7026F2C3" w:rsidR="00F256C1" w:rsidRPr="00BA22E1" w:rsidRDefault="00F256C1" w:rsidP="00F256C1">
      <w:pPr>
        <w:spacing w:line="259" w:lineRule="auto"/>
        <w:rPr>
          <w:rFonts w:cs="Arial"/>
        </w:rPr>
      </w:pPr>
      <w:r w:rsidRPr="00BA22E1">
        <w:rPr>
          <w:rFonts w:cs="Arial"/>
        </w:rPr>
        <w:t>Indicators of water quality include physical, chemical and biological parameters. When selecting the indicators, it is important to consider the objectives of the monitoring program, the nature of the discharge effluent and the condition of the receiving waters (including sediments)</w:t>
      </w:r>
      <w:r w:rsidR="00DB66FC">
        <w:rPr>
          <w:rFonts w:cs="Arial"/>
        </w:rPr>
        <w:t>, including the following</w:t>
      </w:r>
      <w:r w:rsidRPr="00BA22E1">
        <w:rPr>
          <w:rFonts w:cs="Arial"/>
        </w:rPr>
        <w:t>:</w:t>
      </w:r>
    </w:p>
    <w:p w14:paraId="31041956" w14:textId="77777777" w:rsidR="00F256C1" w:rsidRDefault="00F256C1" w:rsidP="006F1C84">
      <w:pPr>
        <w:pStyle w:val="ListBullet"/>
      </w:pPr>
      <w:r w:rsidRPr="00BA22E1">
        <w:t xml:space="preserve">Physical indicators include temperature, turbidity and electrical conductivity. </w:t>
      </w:r>
    </w:p>
    <w:p w14:paraId="054CC413" w14:textId="19DAF206" w:rsidR="00F256C1" w:rsidRDefault="00F256C1" w:rsidP="006F1C84">
      <w:pPr>
        <w:pStyle w:val="ListBullet"/>
      </w:pPr>
      <w:r w:rsidRPr="008B63F1">
        <w:t>Chemical indicators include pH, dissolved oxygen, nutrients, metals, suspended solids, biological oxygen demand, chemical oxygen demand, petroleum hydrocarbons and other natural and manufactured chemicals and contaminants, including contaminants of emerging concern (</w:t>
      </w:r>
      <w:r w:rsidR="001049D4" w:rsidRPr="001049D4">
        <w:t>see box</w:t>
      </w:r>
      <w:r w:rsidR="008020C1">
        <w:t>:</w:t>
      </w:r>
      <w:r w:rsidR="001049D4">
        <w:t xml:space="preserve"> </w:t>
      </w:r>
      <w:r w:rsidRPr="008B63F1">
        <w:rPr>
          <w:b/>
          <w:bCs/>
          <w:i/>
          <w:iCs/>
        </w:rPr>
        <w:t>Contaminants of emerging concern</w:t>
      </w:r>
      <w:r w:rsidRPr="008B63F1">
        <w:t>).</w:t>
      </w:r>
    </w:p>
    <w:p w14:paraId="29D8EF7F" w14:textId="70434A61" w:rsidR="001049D4" w:rsidRPr="001049D4" w:rsidRDefault="001049D4" w:rsidP="006F1C84">
      <w:pPr>
        <w:pStyle w:val="ListBullet"/>
      </w:pPr>
      <w:r w:rsidRPr="001049D4">
        <w:rPr>
          <w:i/>
          <w:iCs/>
        </w:rPr>
        <w:t>E. coli</w:t>
      </w:r>
      <w:r w:rsidRPr="001049D4">
        <w:t xml:space="preserve"> and enterococci are bacterial indicators of faecal contamination used for routine/compliance monitoring. </w:t>
      </w:r>
      <w:r w:rsidR="00C85C7E">
        <w:t>However, i</w:t>
      </w:r>
      <w:r w:rsidRPr="001049D4">
        <w:t xml:space="preserve">t would not be appropriate to use them to </w:t>
      </w:r>
      <w:r w:rsidRPr="001049D4">
        <w:lastRenderedPageBreak/>
        <w:t>assess the microbial risk associated with a discharge</w:t>
      </w:r>
      <w:r w:rsidR="000D484C">
        <w:t>. This is because</w:t>
      </w:r>
      <w:r w:rsidRPr="001049D4">
        <w:t>, depending on the treatment, these indicators may be preferentially removed while drivers of risks such as viruses and protozoa may remain. Bacterial indicators remain useful for sanity check and monitoring for plant failures.</w:t>
      </w:r>
    </w:p>
    <w:p w14:paraId="6D0AB97B" w14:textId="15AF3C3A" w:rsidR="00F256C1" w:rsidRPr="00BA22E1" w:rsidRDefault="00F256C1" w:rsidP="006F1C84">
      <w:pPr>
        <w:pStyle w:val="ListBullet"/>
      </w:pPr>
      <w:r w:rsidRPr="008B63F1">
        <w:t>Biological assessment using macroinvertebrates is recommended for a general assessment of rivers and streams. Rapid techniques for macroinvertebrate</w:t>
      </w:r>
      <w:r>
        <w:t xml:space="preserve"> </w:t>
      </w:r>
      <w:r w:rsidRPr="00BA22E1">
        <w:t xml:space="preserve">monitoring are published in </w:t>
      </w:r>
      <w:r w:rsidRPr="00BA22E1">
        <w:rPr>
          <w:i/>
        </w:rPr>
        <w:t>Guideline for environmental management (GEM) – Rapid bioassessment methodology for rivers and streams</w:t>
      </w:r>
      <w:r w:rsidRPr="00BA22E1">
        <w:t xml:space="preserve"> (</w:t>
      </w:r>
      <w:r w:rsidR="00260DC7">
        <w:t>EPA publication</w:t>
      </w:r>
      <w:r w:rsidRPr="00BA22E1">
        <w:t xml:space="preserve"> 604</w:t>
      </w:r>
      <w:r w:rsidR="00E60249">
        <w:t>.2</w:t>
      </w:r>
      <w:r w:rsidRPr="00BA22E1">
        <w:t>). In estuarine and coastal waters, other bio</w:t>
      </w:r>
      <w:r w:rsidR="00CA606D">
        <w:t xml:space="preserve">logical </w:t>
      </w:r>
      <w:r w:rsidRPr="00BA22E1">
        <w:t>indicators such as seagrasses can be used to determine the overall health of the system.</w:t>
      </w:r>
    </w:p>
    <w:p w14:paraId="4F7AA6CF" w14:textId="7920E93D" w:rsidR="00F256C1" w:rsidRPr="00BA22E1" w:rsidRDefault="00F256C1" w:rsidP="006F1C84">
      <w:pPr>
        <w:pStyle w:val="ListBullet"/>
      </w:pPr>
      <w:r w:rsidRPr="00BA22E1">
        <w:t>If pollutants of interest indicate potential for accumulation</w:t>
      </w:r>
      <w:r w:rsidR="00B7285E">
        <w:t>,</w:t>
      </w:r>
      <w:r w:rsidR="00DB66FC">
        <w:t xml:space="preserve"> </w:t>
      </w:r>
      <w:r w:rsidR="003F182E">
        <w:t xml:space="preserve">then </w:t>
      </w:r>
      <w:r w:rsidRPr="00BA22E1">
        <w:t>biota</w:t>
      </w:r>
      <w:r w:rsidR="00B7285E">
        <w:t xml:space="preserve"> indicators</w:t>
      </w:r>
      <w:r w:rsidRPr="00BA22E1">
        <w:t xml:space="preserve"> </w:t>
      </w:r>
      <w:r w:rsidR="00DE4FD9">
        <w:t>(</w:t>
      </w:r>
      <w:r w:rsidRPr="00BA22E1">
        <w:t>such as fish or crustaceans that may be consumed</w:t>
      </w:r>
      <w:r w:rsidR="00DE4FD9">
        <w:t>)</w:t>
      </w:r>
      <w:r w:rsidR="00DE4FD9" w:rsidRPr="00DE4FD9">
        <w:t xml:space="preserve"> </w:t>
      </w:r>
      <w:r w:rsidR="00DE4FD9" w:rsidRPr="00BA22E1">
        <w:t>will be required</w:t>
      </w:r>
      <w:r w:rsidR="00DE4FD9">
        <w:t>.</w:t>
      </w:r>
    </w:p>
    <w:p w14:paraId="20AF408B" w14:textId="3EA42DAC" w:rsidR="002A4746" w:rsidRDefault="00F256C1" w:rsidP="006F1C84">
      <w:pPr>
        <w:pStyle w:val="ListBullet"/>
      </w:pPr>
      <w:r w:rsidRPr="001E2D34">
        <w:t>Indicators for stream flow and discharge volumes or other indicators used to calculate dilution will also be required.</w:t>
      </w:r>
    </w:p>
    <w:p w14:paraId="571AA8A6" w14:textId="77777777" w:rsidR="006F1C84" w:rsidRPr="00BA22E1" w:rsidRDefault="006F1C84" w:rsidP="006F1C84">
      <w:pPr>
        <w:pStyle w:val="Heading4"/>
        <w:rPr>
          <w:lang w:eastAsia="en-AU"/>
        </w:rPr>
      </w:pPr>
      <w:r w:rsidRPr="00BA22E1">
        <w:rPr>
          <w:lang w:eastAsia="en-AU"/>
        </w:rPr>
        <w:t>Sampling sites</w:t>
      </w:r>
    </w:p>
    <w:p w14:paraId="34C4DC98" w14:textId="77777777" w:rsidR="006F1C84" w:rsidRPr="00BA22E1" w:rsidRDefault="006F1C84" w:rsidP="006F1C84">
      <w:pPr>
        <w:spacing w:line="259" w:lineRule="auto"/>
        <w:rPr>
          <w:rFonts w:cs="Arial"/>
          <w:shd w:val="clear" w:color="auto" w:fill="FFFFFF"/>
        </w:rPr>
      </w:pPr>
      <w:r w:rsidRPr="00BA22E1">
        <w:rPr>
          <w:rFonts w:cs="Arial"/>
          <w:shd w:val="clear" w:color="auto" w:fill="FFFFFF"/>
        </w:rPr>
        <w:t>The selection of sampling sites must provide adequate spatial and temporal information to address the monitoring objectives:</w:t>
      </w:r>
    </w:p>
    <w:p w14:paraId="7F4F8975" w14:textId="77777777" w:rsidR="006F1C84" w:rsidRPr="00BA22E1" w:rsidRDefault="006F1C84" w:rsidP="006F1C84">
      <w:pPr>
        <w:pStyle w:val="ListBullet"/>
        <w:rPr>
          <w:rFonts w:eastAsia="SimSun"/>
        </w:rPr>
      </w:pPr>
      <w:r w:rsidRPr="10077A7C">
        <w:t>The monitoring plan must include sampling at ‘control sites’ which are sites</w:t>
      </w:r>
      <w:r w:rsidRPr="10077A7C">
        <w:rPr>
          <w:i/>
          <w:iCs/>
        </w:rPr>
        <w:t xml:space="preserve"> not</w:t>
      </w:r>
      <w:r w:rsidRPr="10077A7C">
        <w:t xml:space="preserve"> affected by the discharge; as well as ‘impacted sites’, which </w:t>
      </w:r>
      <w:r w:rsidRPr="10077A7C">
        <w:rPr>
          <w:i/>
          <w:iCs/>
        </w:rPr>
        <w:t>are</w:t>
      </w:r>
      <w:r w:rsidRPr="10077A7C">
        <w:t xml:space="preserve"> affected by the discharge. In a river or stream, control sites are usually sites located upstream of the discharge, while impacted sites are located downstream of the discharge. In lakes or coastal environments, control sites are sites outside the impacted area with similar environmental and biological characteristics to the impacted sites.</w:t>
      </w:r>
    </w:p>
    <w:p w14:paraId="29595055" w14:textId="77777777" w:rsidR="006F1C84" w:rsidRPr="005E175E" w:rsidRDefault="006F1C84" w:rsidP="006F1C84">
      <w:pPr>
        <w:pStyle w:val="ListBullet"/>
        <w:rPr>
          <w:sz w:val="24"/>
          <w:szCs w:val="24"/>
        </w:rPr>
      </w:pPr>
      <w:r w:rsidRPr="005E175E">
        <w:t>The number of control and impacted sites that are necessary will depend on the spatial scale defined for the risk assessment. The number of sites monitored should be sufficient to assess the environmental conditions and the extent of variation of those conditions.</w:t>
      </w:r>
    </w:p>
    <w:p w14:paraId="626B860C" w14:textId="77777777" w:rsidR="006F1C84" w:rsidRPr="00BA22E1" w:rsidRDefault="006F1C84" w:rsidP="006F1C84">
      <w:pPr>
        <w:pStyle w:val="ListBullet"/>
      </w:pPr>
      <w:r w:rsidRPr="00BA22E1">
        <w:t xml:space="preserve">The number and location of impacted sites must be sufficient to determine the fate of the pollutants in the receiving waters (such as decaying rates and decomposition) and the spatial extent of any potential impact. For example, in rivers and streams, downstream sites should be sampled at increasing distances from the discharge. The first downstream site should allow mixing of the discharge and the receiving waters. This will depend on the dilution capacity of the receiving waters. </w:t>
      </w:r>
    </w:p>
    <w:p w14:paraId="52026AE7" w14:textId="77777777" w:rsidR="006F1C84" w:rsidRPr="00BA22E1" w:rsidRDefault="006F1C84" w:rsidP="00C61E56">
      <w:pPr>
        <w:pStyle w:val="ListBullet"/>
        <w:spacing w:line="240" w:lineRule="auto"/>
      </w:pPr>
      <w:r w:rsidRPr="00BA22E1">
        <w:t>The discharge must be sampled immediately prior to the discharge point into the receiving waters.</w:t>
      </w:r>
    </w:p>
    <w:p w14:paraId="41CBF303" w14:textId="77777777" w:rsidR="006F1C84" w:rsidRPr="00C01409" w:rsidRDefault="006F1C84" w:rsidP="00C61E56">
      <w:pPr>
        <w:pStyle w:val="ListBullet"/>
        <w:spacing w:line="240" w:lineRule="auto"/>
      </w:pPr>
      <w:r w:rsidRPr="00BA22E1">
        <w:rPr>
          <w:shd w:val="clear" w:color="auto" w:fill="FFFFFF"/>
        </w:rPr>
        <w:t>When selecting sampling sites, seasonal variations should be considered.</w:t>
      </w:r>
    </w:p>
    <w:p w14:paraId="4836A4CA" w14:textId="77777777" w:rsidR="006F1C84" w:rsidRPr="001049D4" w:rsidRDefault="006F1C84" w:rsidP="00C61E56">
      <w:pPr>
        <w:pStyle w:val="ListBullet"/>
        <w:spacing w:line="240" w:lineRule="auto"/>
        <w:ind w:left="714" w:hanging="357"/>
      </w:pPr>
      <w:r w:rsidRPr="001049D4">
        <w:rPr>
          <w:shd w:val="clear" w:color="auto" w:fill="FFFFFF"/>
        </w:rPr>
        <w:t xml:space="preserve">Other potential sources of contamination, such as stormwater drains or confluences/discharges of waterways should also be considered. </w:t>
      </w:r>
    </w:p>
    <w:p w14:paraId="4DB50746" w14:textId="0185FE57" w:rsidR="00711734" w:rsidRPr="00892F99" w:rsidRDefault="006F1C84" w:rsidP="00D74390">
      <w:pPr>
        <w:pStyle w:val="ListBullet"/>
        <w:ind w:left="714" w:hanging="357"/>
      </w:pPr>
      <w:r w:rsidRPr="00BA22E1">
        <w:rPr>
          <w:shd w:val="clear" w:color="auto" w:fill="FFFFFF"/>
        </w:rPr>
        <w:t>Consider human contact points, for example, recreational water uses points, recreational fishing</w:t>
      </w:r>
      <w:r>
        <w:rPr>
          <w:shd w:val="clear" w:color="auto" w:fill="FFFFFF"/>
        </w:rPr>
        <w:t>,</w:t>
      </w:r>
      <w:r w:rsidRPr="00BA22E1">
        <w:rPr>
          <w:shd w:val="clear" w:color="auto" w:fill="FFFFFF"/>
        </w:rPr>
        <w:t xml:space="preserve"> etc</w:t>
      </w:r>
      <w:r>
        <w:rPr>
          <w:shd w:val="clear" w:color="auto" w:fill="FFFFFF"/>
        </w:rPr>
        <w:t>.</w:t>
      </w:r>
    </w:p>
    <w:p w14:paraId="456168D8" w14:textId="77777777" w:rsidR="00892F99" w:rsidRPr="00BA22E1" w:rsidRDefault="00892F99" w:rsidP="00892F99">
      <w:pPr>
        <w:pBdr>
          <w:top w:val="single" w:sz="4" w:space="1" w:color="auto"/>
          <w:left w:val="single" w:sz="4" w:space="4" w:color="auto"/>
          <w:bottom w:val="single" w:sz="4" w:space="0" w:color="auto"/>
          <w:right w:val="single" w:sz="4" w:space="4" w:color="auto"/>
        </w:pBdr>
        <w:rPr>
          <w:b/>
          <w:bCs/>
        </w:rPr>
      </w:pPr>
      <w:r w:rsidRPr="00BA22E1">
        <w:rPr>
          <w:b/>
          <w:bCs/>
        </w:rPr>
        <w:lastRenderedPageBreak/>
        <w:t>Contaminants of emerging concern</w:t>
      </w:r>
    </w:p>
    <w:p w14:paraId="4500039B" w14:textId="77777777" w:rsidR="00892F99" w:rsidRPr="00BA22E1" w:rsidRDefault="00892F99" w:rsidP="00892F99">
      <w:pPr>
        <w:pBdr>
          <w:top w:val="single" w:sz="4" w:space="1" w:color="auto"/>
          <w:left w:val="single" w:sz="4" w:space="4" w:color="auto"/>
          <w:bottom w:val="single" w:sz="4" w:space="0" w:color="auto"/>
          <w:right w:val="single" w:sz="4" w:space="4" w:color="auto"/>
        </w:pBdr>
        <w:rPr>
          <w:shd w:val="clear" w:color="auto" w:fill="FFFFFF"/>
        </w:rPr>
      </w:pPr>
      <w:r w:rsidRPr="00BA22E1">
        <w:rPr>
          <w:shd w:val="clear" w:color="auto" w:fill="FFFFFF"/>
        </w:rPr>
        <w:t xml:space="preserve">Contaminants of emerging concern (CEC) can be defined as natural or manufactured compounds that 1) are newly introduced into the environment or </w:t>
      </w:r>
      <w:r>
        <w:rPr>
          <w:shd w:val="clear" w:color="auto" w:fill="FFFFFF"/>
        </w:rPr>
        <w:t xml:space="preserve">2) </w:t>
      </w:r>
      <w:r w:rsidRPr="00BA22E1">
        <w:rPr>
          <w:shd w:val="clear" w:color="auto" w:fill="FFFFFF"/>
        </w:rPr>
        <w:t xml:space="preserve">may have been around for longer but have only recently been monitored or detected in the environment, </w:t>
      </w:r>
      <w:r>
        <w:rPr>
          <w:shd w:val="clear" w:color="auto" w:fill="FFFFFF"/>
        </w:rPr>
        <w:t>3</w:t>
      </w:r>
      <w:r w:rsidRPr="00BA22E1">
        <w:rPr>
          <w:shd w:val="clear" w:color="auto" w:fill="FFFFFF"/>
        </w:rPr>
        <w:t xml:space="preserve">) lack standards and guidelines for their monitoring and/or risk assessment and </w:t>
      </w:r>
      <w:r>
        <w:rPr>
          <w:shd w:val="clear" w:color="auto" w:fill="FFFFFF"/>
        </w:rPr>
        <w:t>4</w:t>
      </w:r>
      <w:r w:rsidRPr="00BA22E1">
        <w:rPr>
          <w:shd w:val="clear" w:color="auto" w:fill="FFFFFF"/>
        </w:rPr>
        <w:t xml:space="preserve">) </w:t>
      </w:r>
      <w:r>
        <w:rPr>
          <w:shd w:val="clear" w:color="auto" w:fill="FFFFFF"/>
        </w:rPr>
        <w:t>are</w:t>
      </w:r>
      <w:r w:rsidRPr="00BA22E1">
        <w:rPr>
          <w:shd w:val="clear" w:color="auto" w:fill="FFFFFF"/>
        </w:rPr>
        <w:t xml:space="preserve"> suspected, or known, to cause adverse ecological and/or human health effects. CEC include a wide array of compounds/chemicals, such as pesticides, pharmaceuticals and personal care products, and microplastics.</w:t>
      </w:r>
    </w:p>
    <w:p w14:paraId="2C9722AF" w14:textId="77777777" w:rsidR="00892F99" w:rsidRPr="00422A64" w:rsidRDefault="00892F99" w:rsidP="00892F99">
      <w:pPr>
        <w:pBdr>
          <w:top w:val="single" w:sz="4" w:space="1" w:color="auto"/>
          <w:left w:val="single" w:sz="4" w:space="4" w:color="auto"/>
          <w:bottom w:val="single" w:sz="4" w:space="0" w:color="auto"/>
          <w:right w:val="single" w:sz="4" w:space="4" w:color="auto"/>
        </w:pBdr>
      </w:pPr>
      <w:r w:rsidRPr="00BA22E1">
        <w:rPr>
          <w:shd w:val="clear" w:color="auto" w:fill="FFFFFF"/>
        </w:rPr>
        <w:t xml:space="preserve">There are potentially many thousands of CEC present in discharged wastewaters that may cause adverse effects in receiving aquatic environments. Although it is recognised that CEC present a challenge for risk assessments, the duties under the GED mean that the risks from CEC need to be considered and understood. </w:t>
      </w:r>
      <w:r w:rsidRPr="001049D4">
        <w:rPr>
          <w:shd w:val="clear" w:color="auto" w:fill="FFFFFF"/>
        </w:rPr>
        <w:t xml:space="preserve">This involves reviewing and keeping up to date with new and evolving knowledge about the effects of CEC on the environment and human health and the techniques and technologies to treat them. The concept of </w:t>
      </w:r>
      <w:r w:rsidRPr="001049D4">
        <w:rPr>
          <w:i/>
          <w:iCs/>
          <w:shd w:val="clear" w:color="auto" w:fill="FFFFFF"/>
        </w:rPr>
        <w:t>reasonably practicable</w:t>
      </w:r>
      <w:r w:rsidRPr="001049D4">
        <w:rPr>
          <w:shd w:val="clear" w:color="auto" w:fill="FFFFFF"/>
        </w:rPr>
        <w:t xml:space="preserve"> is particularly relevant when deciding the control measures for CEC. </w:t>
      </w:r>
      <w:r w:rsidRPr="001049D4">
        <w:t xml:space="preserve">More information about reasonably practicable </w:t>
      </w:r>
      <w:r w:rsidRPr="001049D4">
        <w:rPr>
          <w:rFonts w:cs="Arial"/>
          <w:lang w:eastAsia="en-AU"/>
        </w:rPr>
        <w:t>can b</w:t>
      </w:r>
      <w:r>
        <w:rPr>
          <w:rFonts w:cs="Arial"/>
          <w:lang w:eastAsia="en-AU"/>
        </w:rPr>
        <w:t>e</w:t>
      </w:r>
      <w:r w:rsidRPr="001049D4">
        <w:rPr>
          <w:rFonts w:cs="Arial"/>
          <w:lang w:eastAsia="en-AU"/>
        </w:rPr>
        <w:t xml:space="preserve"> found in </w:t>
      </w:r>
      <w:r w:rsidRPr="001049D4">
        <w:rPr>
          <w:rFonts w:cs="Arial"/>
          <w:i/>
          <w:iCs/>
          <w:lang w:eastAsia="en-AU"/>
        </w:rPr>
        <w:t>Reasonably practicable</w:t>
      </w:r>
      <w:r w:rsidRPr="001049D4">
        <w:rPr>
          <w:rFonts w:cs="Arial"/>
          <w:lang w:eastAsia="en-AU"/>
        </w:rPr>
        <w:t xml:space="preserve"> (</w:t>
      </w:r>
      <w:r>
        <w:rPr>
          <w:rFonts w:cs="Arial"/>
          <w:lang w:eastAsia="en-AU"/>
        </w:rPr>
        <w:t>EPA publication</w:t>
      </w:r>
      <w:r w:rsidRPr="001049D4">
        <w:rPr>
          <w:rFonts w:cs="Arial"/>
          <w:lang w:eastAsia="en-AU"/>
        </w:rPr>
        <w:t xml:space="preserve"> 1856)</w:t>
      </w:r>
      <w:r>
        <w:rPr>
          <w:rFonts w:cs="Arial"/>
          <w:lang w:eastAsia="en-AU"/>
        </w:rPr>
        <w:t>.</w:t>
      </w:r>
    </w:p>
    <w:p w14:paraId="3D1A5117" w14:textId="77777777" w:rsidR="00892F99" w:rsidRPr="00BA22E1" w:rsidRDefault="00892F99" w:rsidP="00892F99">
      <w:pPr>
        <w:pBdr>
          <w:top w:val="single" w:sz="4" w:space="1" w:color="auto"/>
          <w:left w:val="single" w:sz="4" w:space="4" w:color="auto"/>
          <w:bottom w:val="single" w:sz="4" w:space="0" w:color="auto"/>
          <w:right w:val="single" w:sz="4" w:space="4" w:color="auto"/>
        </w:pBdr>
        <w:rPr>
          <w:shd w:val="clear" w:color="auto" w:fill="FFFFFF"/>
        </w:rPr>
      </w:pPr>
      <w:r w:rsidRPr="00BA22E1">
        <w:rPr>
          <w:shd w:val="clear" w:color="auto" w:fill="FFFFFF"/>
        </w:rPr>
        <w:t>Some considerations for CEC risk assessment include:</w:t>
      </w:r>
    </w:p>
    <w:p w14:paraId="35A5BE11" w14:textId="77777777" w:rsidR="00892F99" w:rsidRPr="00BA22E1"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pPr>
      <w:r w:rsidRPr="00BA22E1">
        <w:t>the nature of the wastewater influent and population served (for example, municipal and/or trade waste)</w:t>
      </w:r>
    </w:p>
    <w:p w14:paraId="32795C6E" w14:textId="77777777" w:rsidR="00892F99" w:rsidRPr="00BA22E1"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pPr>
      <w:r w:rsidRPr="00BA22E1">
        <w:t>the wastewater treatment technology and final effluent</w:t>
      </w:r>
      <w:r>
        <w:t xml:space="preserve"> quality</w:t>
      </w:r>
    </w:p>
    <w:p w14:paraId="74DBC206" w14:textId="77777777" w:rsidR="00892F99" w:rsidRPr="00664A77"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rPr>
          <w:rFonts w:cs="Arial"/>
        </w:rPr>
      </w:pPr>
      <w:r w:rsidRPr="00BA22E1">
        <w:t>the nature of the receiving waters (environmental values, vulnerability of the system).</w:t>
      </w:r>
    </w:p>
    <w:p w14:paraId="2DAF46C2" w14:textId="77777777" w:rsidR="00892F99" w:rsidRDefault="00892F99" w:rsidP="00892F99">
      <w:pPr>
        <w:pBdr>
          <w:top w:val="single" w:sz="4" w:space="1" w:color="auto"/>
          <w:left w:val="single" w:sz="4" w:space="4" w:color="auto"/>
          <w:bottom w:val="single" w:sz="4" w:space="0" w:color="auto"/>
          <w:right w:val="single" w:sz="4" w:space="4" w:color="auto"/>
        </w:pBdr>
      </w:pPr>
      <w:r>
        <w:t xml:space="preserve">For further information: </w:t>
      </w:r>
    </w:p>
    <w:p w14:paraId="383A4D94" w14:textId="5F079EB8" w:rsidR="00892F99" w:rsidRDefault="00892F99" w:rsidP="00892F99">
      <w:pPr>
        <w:pBdr>
          <w:top w:val="single" w:sz="4" w:space="1" w:color="auto"/>
          <w:left w:val="single" w:sz="4" w:space="4" w:color="auto"/>
          <w:bottom w:val="single" w:sz="4" w:space="0" w:color="auto"/>
          <w:right w:val="single" w:sz="4" w:space="4" w:color="auto"/>
        </w:pBdr>
        <w:rPr>
          <w:rStyle w:val="Hyperlink"/>
        </w:rPr>
      </w:pPr>
      <w:r>
        <w:t xml:space="preserve">EPA’s assessment of emerging contaminants in the environment: </w:t>
      </w:r>
      <w:hyperlink r:id="rId40" w:history="1">
        <w:r w:rsidRPr="00CD4F46">
          <w:rPr>
            <w:rStyle w:val="Hyperlink"/>
          </w:rPr>
          <w:t>www.epa.vic.gov.au/about-epa/publications/1879</w:t>
        </w:r>
      </w:hyperlink>
    </w:p>
    <w:p w14:paraId="3E7206D9" w14:textId="1661E881" w:rsidR="00892F99" w:rsidRDefault="00892F99" w:rsidP="00892F99">
      <w:pPr>
        <w:pBdr>
          <w:top w:val="single" w:sz="4" w:space="1" w:color="auto"/>
          <w:left w:val="single" w:sz="4" w:space="4" w:color="auto"/>
          <w:bottom w:val="single" w:sz="4" w:space="0" w:color="auto"/>
          <w:right w:val="single" w:sz="4" w:space="4" w:color="auto"/>
        </w:pBdr>
        <w:rPr>
          <w:rStyle w:val="Hyperlink"/>
        </w:rPr>
      </w:pPr>
      <w:r w:rsidRPr="00736A8F">
        <w:rPr>
          <w:rStyle w:val="Hyperlink"/>
          <w:color w:val="auto"/>
          <w:u w:val="none"/>
        </w:rPr>
        <w:t xml:space="preserve">About PFAS: </w:t>
      </w:r>
      <w:hyperlink r:id="rId41" w:history="1">
        <w:r w:rsidRPr="00CD4F46">
          <w:rPr>
            <w:rStyle w:val="Hyperlink"/>
          </w:rPr>
          <w:t>www.epa.vic.gov.au/for-community/environmental-information/pfas</w:t>
        </w:r>
      </w:hyperlink>
      <w:r>
        <w:rPr>
          <w:rStyle w:val="Hyperlink"/>
          <w:color w:val="auto"/>
          <w:u w:val="none"/>
        </w:rPr>
        <w:t xml:space="preserve"> and </w:t>
      </w:r>
      <w:hyperlink r:id="rId42" w:history="1">
        <w:r w:rsidRPr="00396DA4">
          <w:rPr>
            <w:rStyle w:val="Hyperlink"/>
          </w:rPr>
          <w:t>www.epa.vic.gov.au/about-epa/publications/2049-report-on-pfas-in-the-environment</w:t>
        </w:r>
      </w:hyperlink>
    </w:p>
    <w:p w14:paraId="57670A57" w14:textId="77777777" w:rsidR="0018296B" w:rsidRPr="00892F99" w:rsidRDefault="0018296B" w:rsidP="00892F99">
      <w:pPr>
        <w:pBdr>
          <w:top w:val="single" w:sz="4" w:space="1" w:color="auto"/>
          <w:left w:val="single" w:sz="4" w:space="4" w:color="auto"/>
          <w:bottom w:val="single" w:sz="4" w:space="0" w:color="auto"/>
          <w:right w:val="single" w:sz="4" w:space="4" w:color="auto"/>
        </w:pBdr>
        <w:rPr>
          <w:rStyle w:val="Hyperlink"/>
        </w:rPr>
      </w:pPr>
    </w:p>
    <w:p w14:paraId="0A479D23" w14:textId="77777777" w:rsidR="00D231C4" w:rsidRPr="00664A77" w:rsidRDefault="00D231C4" w:rsidP="00D231C4">
      <w:pPr>
        <w:spacing w:after="0"/>
        <w:rPr>
          <w:rFonts w:cs="Arial"/>
        </w:rPr>
      </w:pPr>
    </w:p>
    <w:p w14:paraId="7D287615" w14:textId="2DAA9B53" w:rsidR="00F256C1" w:rsidRPr="00BA22E1" w:rsidRDefault="00F256C1" w:rsidP="00AA7232">
      <w:pPr>
        <w:pStyle w:val="Heading4"/>
        <w:rPr>
          <w:lang w:eastAsia="en-AU"/>
        </w:rPr>
      </w:pPr>
      <w:r w:rsidRPr="00BA22E1">
        <w:rPr>
          <w:lang w:eastAsia="en-AU"/>
        </w:rPr>
        <w:t>Sampling frequency</w:t>
      </w:r>
    </w:p>
    <w:p w14:paraId="1446F320" w14:textId="77777777" w:rsidR="00F256C1" w:rsidRPr="00BA22E1" w:rsidRDefault="00F256C1" w:rsidP="00F256C1">
      <w:pPr>
        <w:spacing w:line="259" w:lineRule="auto"/>
        <w:rPr>
          <w:rFonts w:eastAsia="SimSun" w:cs="Arial"/>
          <w:bCs/>
          <w:lang w:eastAsia="en-AU"/>
        </w:rPr>
      </w:pPr>
      <w:r w:rsidRPr="00BA22E1">
        <w:rPr>
          <w:rFonts w:cs="Arial"/>
        </w:rPr>
        <w:t>The monitoring objectives and the expected statistical analyses can both influence the sampling frequency.</w:t>
      </w:r>
      <w:r w:rsidRPr="00BA22E1">
        <w:rPr>
          <w:rFonts w:eastAsia="SimSun" w:cs="Arial"/>
          <w:bCs/>
          <w:lang w:eastAsia="en-AU"/>
        </w:rPr>
        <w:t xml:space="preserve"> The following points must be considered when deciding the sampling frequency:</w:t>
      </w:r>
    </w:p>
    <w:p w14:paraId="00E9D0E5" w14:textId="77777777" w:rsidR="00F256C1" w:rsidRPr="00BA22E1" w:rsidRDefault="00F256C1" w:rsidP="006F1C84">
      <w:pPr>
        <w:pStyle w:val="ListBullet"/>
        <w:rPr>
          <w:lang w:eastAsia="en-AU"/>
        </w:rPr>
      </w:pPr>
      <w:r w:rsidRPr="00BA22E1">
        <w:rPr>
          <w:lang w:eastAsia="en-AU"/>
        </w:rPr>
        <w:t>Statistical or other tools that will be used to interpret the data.</w:t>
      </w:r>
    </w:p>
    <w:p w14:paraId="24FF927F" w14:textId="77777777" w:rsidR="00F256C1" w:rsidRPr="00BA22E1" w:rsidRDefault="00F256C1" w:rsidP="006F1C84">
      <w:pPr>
        <w:pStyle w:val="ListBullet"/>
      </w:pPr>
      <w:r w:rsidRPr="00BA22E1">
        <w:t>Understanding of the system and/or processes under investigation. For example:</w:t>
      </w:r>
    </w:p>
    <w:p w14:paraId="7BA3D98B" w14:textId="77777777" w:rsidR="00F256C1" w:rsidRPr="00BA22E1" w:rsidRDefault="00F256C1" w:rsidP="00525686">
      <w:pPr>
        <w:pStyle w:val="ListBullet"/>
        <w:keepNext/>
        <w:keepLines/>
        <w:numPr>
          <w:ilvl w:val="1"/>
          <w:numId w:val="9"/>
        </w:numPr>
        <w:ind w:left="1434" w:hanging="357"/>
      </w:pPr>
      <w:r w:rsidRPr="00BA22E1">
        <w:lastRenderedPageBreak/>
        <w:t>Sampling frequency should be increased in cases where a reduced quality of the discharge effluent is expected as a result of decreased treatment performance (such as under big wet loads or shock loads).</w:t>
      </w:r>
    </w:p>
    <w:p w14:paraId="57DD92CF" w14:textId="77777777" w:rsidR="00F256C1" w:rsidRPr="00BA22E1" w:rsidRDefault="00F256C1" w:rsidP="00525686">
      <w:pPr>
        <w:pStyle w:val="ListBullet"/>
        <w:keepNext/>
        <w:keepLines/>
        <w:numPr>
          <w:ilvl w:val="1"/>
          <w:numId w:val="9"/>
        </w:numPr>
        <w:ind w:left="1434" w:hanging="357"/>
      </w:pPr>
      <w:r w:rsidRPr="00BA22E1">
        <w:t xml:space="preserve">Weekly measurements might be appropriate for measuring the development of an algal bloom but not for investigating fish. </w:t>
      </w:r>
    </w:p>
    <w:p w14:paraId="6A55E13E" w14:textId="6026181A" w:rsidR="00F256C1" w:rsidRPr="00BA22E1" w:rsidRDefault="00F256C1" w:rsidP="006F1C84">
      <w:pPr>
        <w:pStyle w:val="ListBullet"/>
      </w:pPr>
      <w:r w:rsidRPr="00BA22E1">
        <w:t xml:space="preserve">For rivers and streams, biological sampling should be done using collection methods described in </w:t>
      </w:r>
      <w:r w:rsidRPr="00BA22E1">
        <w:rPr>
          <w:i/>
        </w:rPr>
        <w:t>Guideline for environmental management (GEM) – Rapid bioassessment methodology for rivers and streams</w:t>
      </w:r>
      <w:r w:rsidRPr="00BA22E1">
        <w:t xml:space="preserve"> (</w:t>
      </w:r>
      <w:r w:rsidR="00260DC7">
        <w:t>EPA publication</w:t>
      </w:r>
      <w:r w:rsidRPr="00BA22E1">
        <w:t xml:space="preserve"> 604</w:t>
      </w:r>
      <w:r w:rsidR="00856F1E">
        <w:t>.2</w:t>
      </w:r>
      <w:r w:rsidRPr="00BA22E1">
        <w:t xml:space="preserve">) in either spring or autumn and from both riffle and pool habitats if present. </w:t>
      </w:r>
    </w:p>
    <w:p w14:paraId="7BAF03C0" w14:textId="77777777" w:rsidR="00F256C1" w:rsidRPr="00BA22E1" w:rsidRDefault="00F256C1" w:rsidP="00AA7232">
      <w:pPr>
        <w:pStyle w:val="Heading4"/>
        <w:rPr>
          <w:lang w:eastAsia="en-AU"/>
        </w:rPr>
      </w:pPr>
      <w:r w:rsidRPr="00BA22E1">
        <w:rPr>
          <w:lang w:eastAsia="en-AU"/>
        </w:rPr>
        <w:t xml:space="preserve">Laboratory analysis </w:t>
      </w:r>
    </w:p>
    <w:p w14:paraId="042FE31A" w14:textId="43527C4E" w:rsidR="00F256C1" w:rsidRPr="00BA22E1" w:rsidRDefault="00F256C1" w:rsidP="00F256C1">
      <w:pPr>
        <w:spacing w:line="259" w:lineRule="auto"/>
        <w:rPr>
          <w:rFonts w:eastAsia="SimSun" w:cs="Arial"/>
          <w:b/>
          <w:lang w:eastAsia="en-AU"/>
        </w:rPr>
      </w:pPr>
      <w:r w:rsidRPr="00BA22E1">
        <w:rPr>
          <w:rFonts w:eastAsia="SimSun" w:cs="Arial"/>
          <w:bCs/>
          <w:lang w:eastAsia="en-AU"/>
        </w:rPr>
        <w:t>When</w:t>
      </w:r>
      <w:r w:rsidRPr="00BA22E1">
        <w:rPr>
          <w:rFonts w:eastAsia="SimSun" w:cs="Arial"/>
          <w:b/>
          <w:lang w:eastAsia="en-AU"/>
        </w:rPr>
        <w:t xml:space="preserve"> </w:t>
      </w:r>
      <w:r w:rsidRPr="00BA22E1">
        <w:rPr>
          <w:rFonts w:eastAsia="SimSun" w:cs="Arial"/>
          <w:bCs/>
          <w:lang w:eastAsia="en-AU"/>
        </w:rPr>
        <w:t>selecting the laboratory for analyses, it is important to confirm that the</w:t>
      </w:r>
      <w:r w:rsidRPr="00BA22E1">
        <w:rPr>
          <w:rFonts w:cs="Arial"/>
          <w:shd w:val="clear" w:color="auto" w:fill="FFFFFF"/>
        </w:rPr>
        <w:t xml:space="preserve"> chosen laboratory has the appropriate equipment, expertise and experience to undertake the analyses for the chosen indicators, as well as an adequate quality assurance/quality control (QA/QC) program. The use of laboratories accredited by the National Association of Testing Authorities (NATA), wherever possible, is recommended. Important considerations for the analysis are</w:t>
      </w:r>
      <w:r w:rsidR="00B80F81">
        <w:rPr>
          <w:rFonts w:cs="Arial"/>
          <w:shd w:val="clear" w:color="auto" w:fill="FFFFFF"/>
        </w:rPr>
        <w:t xml:space="preserve"> as follows</w:t>
      </w:r>
      <w:r w:rsidRPr="00BA22E1">
        <w:rPr>
          <w:rFonts w:cs="Arial"/>
          <w:shd w:val="clear" w:color="auto" w:fill="FFFFFF"/>
        </w:rPr>
        <w:t>:</w:t>
      </w:r>
    </w:p>
    <w:p w14:paraId="3C2803C9" w14:textId="77777777" w:rsidR="00F256C1" w:rsidRPr="00BA22E1" w:rsidRDefault="00F256C1" w:rsidP="006F1C84">
      <w:pPr>
        <w:pStyle w:val="ListBullet"/>
      </w:pPr>
      <w:r w:rsidRPr="00BA22E1">
        <w:t>The analytical methods must detect the minimum concentration of the pollutant/s of interest.</w:t>
      </w:r>
    </w:p>
    <w:p w14:paraId="6625F75B" w14:textId="77777777" w:rsidR="00F256C1" w:rsidRPr="00BA22E1" w:rsidRDefault="00F256C1" w:rsidP="006F1C84">
      <w:pPr>
        <w:pStyle w:val="ListBullet"/>
      </w:pPr>
      <w:r w:rsidRPr="00BA22E1">
        <w:t>W</w:t>
      </w:r>
      <w:r w:rsidRPr="00BA22E1">
        <w:rPr>
          <w:shd w:val="clear" w:color="auto" w:fill="FFFFFF"/>
        </w:rPr>
        <w:t>hen the monitoring program aims to ensure that guideline values or standards are not exceeded,</w:t>
      </w:r>
      <w:r w:rsidRPr="00BA22E1">
        <w:t xml:space="preserve"> the detection limit concentrations for the relevant indicators must be less than the guideline value or standard.</w:t>
      </w:r>
    </w:p>
    <w:p w14:paraId="598F46E2" w14:textId="77777777" w:rsidR="00F256C1" w:rsidRPr="00BA22E1" w:rsidRDefault="00F256C1" w:rsidP="006F1C84">
      <w:pPr>
        <w:pStyle w:val="ListBullet"/>
      </w:pPr>
      <w:r w:rsidRPr="00BA22E1">
        <w:t>If the laboratory detection limit commercially available is above the available standard value, the lowest commercially available detection limit concentration should be used.</w:t>
      </w:r>
    </w:p>
    <w:p w14:paraId="03C12565" w14:textId="2510C80F" w:rsidR="00927246" w:rsidRPr="00BD711C" w:rsidRDefault="00F256C1" w:rsidP="006F1C84">
      <w:pPr>
        <w:pStyle w:val="ListBullet"/>
      </w:pPr>
      <w:r w:rsidRPr="0018730A">
        <w:t>When sampling biota for a human health risk assessment</w:t>
      </w:r>
      <w:r w:rsidR="00A27798">
        <w:t>,</w:t>
      </w:r>
      <w:r w:rsidRPr="0018730A">
        <w:t xml:space="preserve"> sample and analyse those parts of the species that are consumed.</w:t>
      </w:r>
    </w:p>
    <w:p w14:paraId="67D5ABA5" w14:textId="77777777" w:rsidR="00F256C1" w:rsidRPr="00212547" w:rsidRDefault="00F256C1" w:rsidP="00917DCC">
      <w:pPr>
        <w:pStyle w:val="Heading2"/>
        <w:rPr>
          <w:rFonts w:eastAsiaTheme="minorHAnsi" w:cstheme="minorBidi"/>
          <w:lang w:val="en-US"/>
        </w:rPr>
      </w:pPr>
      <w:bookmarkStart w:id="46" w:name="_Ref103596688"/>
      <w:bookmarkStart w:id="47" w:name="_Toc133938140"/>
      <w:r>
        <w:t>Risk analysis</w:t>
      </w:r>
      <w:bookmarkEnd w:id="46"/>
      <w:bookmarkEnd w:id="47"/>
    </w:p>
    <w:p w14:paraId="0B26BD46" w14:textId="50363B12" w:rsidR="00F256C1" w:rsidRPr="00053F8D" w:rsidRDefault="00F256C1" w:rsidP="00F256C1">
      <w:pPr>
        <w:spacing w:line="259" w:lineRule="auto"/>
        <w:rPr>
          <w:rFonts w:cs="Arial"/>
        </w:rPr>
      </w:pPr>
      <w:r w:rsidRPr="10077A7C">
        <w:rPr>
          <w:rFonts w:cs="Arial"/>
        </w:rPr>
        <w:t xml:space="preserve">Risk analysis determines the probability and magnitude of an adverse effect with specific consequences to the environmental values within a certain </w:t>
      </w:r>
      <w:r w:rsidR="3E35F6AB" w:rsidRPr="10077A7C">
        <w:rPr>
          <w:rFonts w:cs="Arial"/>
        </w:rPr>
        <w:t>period</w:t>
      </w:r>
      <w:r w:rsidRPr="10077A7C">
        <w:rPr>
          <w:rFonts w:cs="Arial"/>
        </w:rPr>
        <w:t xml:space="preserve"> (Hart et al., 2005). In the risk analysis phase, the endpoints, conceptual model and risk analysis plan developed in problem formulation are used to analyse risk to the environmental values of the waterbody. </w:t>
      </w:r>
    </w:p>
    <w:p w14:paraId="6837E238" w14:textId="75197652" w:rsidR="00F256C1" w:rsidRPr="00053F8D" w:rsidRDefault="00F256C1" w:rsidP="00F256C1">
      <w:pPr>
        <w:spacing w:line="259" w:lineRule="auto"/>
        <w:rPr>
          <w:rFonts w:cs="Arial"/>
        </w:rPr>
      </w:pPr>
      <w:r w:rsidRPr="00053F8D">
        <w:rPr>
          <w:rFonts w:cs="Arial"/>
        </w:rPr>
        <w:t>In risk analysis, the following steps should be taken for each identified hazard:</w:t>
      </w:r>
    </w:p>
    <w:p w14:paraId="42EE7C99" w14:textId="6051F7A2" w:rsidR="00F256C1" w:rsidRPr="006F1C84" w:rsidRDefault="00B80F81" w:rsidP="00525686">
      <w:pPr>
        <w:pStyle w:val="ListParagraph"/>
        <w:numPr>
          <w:ilvl w:val="0"/>
          <w:numId w:val="30"/>
        </w:numPr>
      </w:pPr>
      <w:r w:rsidRPr="006F1C84">
        <w:t xml:space="preserve">Determine </w:t>
      </w:r>
      <w:r w:rsidR="00F256C1" w:rsidRPr="006F1C84">
        <w:t xml:space="preserve">the likelihood of the </w:t>
      </w:r>
      <w:r w:rsidR="007372BA" w:rsidRPr="006F1C84">
        <w:t>hazard</w:t>
      </w:r>
      <w:r w:rsidR="00F256C1" w:rsidRPr="006F1C84">
        <w:t xml:space="preserve"> causing an adverse effect </w:t>
      </w:r>
    </w:p>
    <w:p w14:paraId="522ED5E5" w14:textId="4395E2A9" w:rsidR="00F256C1" w:rsidRPr="006F1C84" w:rsidRDefault="00B80F81" w:rsidP="00525686">
      <w:pPr>
        <w:pStyle w:val="ListParagraph"/>
        <w:numPr>
          <w:ilvl w:val="0"/>
          <w:numId w:val="30"/>
        </w:numPr>
      </w:pPr>
      <w:r w:rsidRPr="006F1C84">
        <w:t xml:space="preserve">Assess </w:t>
      </w:r>
      <w:r w:rsidR="00F256C1" w:rsidRPr="006F1C84">
        <w:t>the consequence (impact) on the environmental value/s identified</w:t>
      </w:r>
    </w:p>
    <w:p w14:paraId="7F56EF0F" w14:textId="080F0B0A" w:rsidR="00F256C1" w:rsidRPr="006F1C84" w:rsidRDefault="00B80F81" w:rsidP="00525686">
      <w:pPr>
        <w:pStyle w:val="ListParagraph"/>
        <w:numPr>
          <w:ilvl w:val="0"/>
          <w:numId w:val="30"/>
        </w:numPr>
      </w:pPr>
      <w:r w:rsidRPr="006F1C84">
        <w:t xml:space="preserve">Calculate </w:t>
      </w:r>
      <w:r w:rsidR="00F256C1" w:rsidRPr="006F1C84">
        <w:t>the severity of the risk</w:t>
      </w:r>
      <w:r w:rsidR="008F156B" w:rsidRPr="006F1C84">
        <w:t>,</w:t>
      </w:r>
      <w:r w:rsidR="00F256C1" w:rsidRPr="006F1C84">
        <w:t xml:space="preserve"> based on the likelihood and magnitude of the impact.</w:t>
      </w:r>
    </w:p>
    <w:p w14:paraId="451E1367" w14:textId="716E4EF9" w:rsidR="00F256C1" w:rsidRDefault="00F256C1" w:rsidP="00F256C1">
      <w:pPr>
        <w:spacing w:line="259" w:lineRule="auto"/>
        <w:rPr>
          <w:rFonts w:cs="Arial"/>
        </w:rPr>
      </w:pPr>
      <w:r w:rsidRPr="00053F8D">
        <w:rPr>
          <w:rFonts w:cs="Arial"/>
        </w:rPr>
        <w:t xml:space="preserve">These three steps should be done for each identified </w:t>
      </w:r>
      <w:r w:rsidR="007372BA">
        <w:rPr>
          <w:rFonts w:cs="Arial"/>
        </w:rPr>
        <w:t>hazard</w:t>
      </w:r>
      <w:r w:rsidRPr="00053F8D">
        <w:rPr>
          <w:rFonts w:cs="Arial"/>
        </w:rPr>
        <w:t xml:space="preserve">. </w:t>
      </w:r>
    </w:p>
    <w:p w14:paraId="2DDB211F" w14:textId="77777777" w:rsidR="00F256C1" w:rsidRDefault="00F256C1" w:rsidP="00341E57">
      <w:pPr>
        <w:pStyle w:val="Heading3"/>
      </w:pPr>
      <w:bookmarkStart w:id="48" w:name="_Toc133938141"/>
      <w:r>
        <w:lastRenderedPageBreak/>
        <w:t>Risk likelihood</w:t>
      </w:r>
      <w:bookmarkEnd w:id="48"/>
    </w:p>
    <w:p w14:paraId="05D8A139" w14:textId="02299048" w:rsidR="00F21050" w:rsidRDefault="00F256C1" w:rsidP="008D6529">
      <w:pPr>
        <w:spacing w:line="259" w:lineRule="auto"/>
        <w:rPr>
          <w:lang w:val="en-US"/>
        </w:rPr>
      </w:pPr>
      <w:r w:rsidRPr="00053F8D">
        <w:rPr>
          <w:rFonts w:cs="Arial"/>
        </w:rPr>
        <w:t xml:space="preserve">Likelihood is based on what is known, or should be known, about the </w:t>
      </w:r>
      <w:r w:rsidR="007372BA">
        <w:rPr>
          <w:rFonts w:cs="Arial"/>
        </w:rPr>
        <w:t>hazard</w:t>
      </w:r>
      <w:r w:rsidRPr="00053F8D">
        <w:rPr>
          <w:rFonts w:cs="Arial"/>
        </w:rPr>
        <w:t xml:space="preserve">, and the factors influencing the likelihood of risk occurring. </w:t>
      </w:r>
      <w:r w:rsidR="00E27E54" w:rsidRPr="00E27E54">
        <w:rPr>
          <w:rFonts w:cs="Arial"/>
        </w:rPr>
        <w:fldChar w:fldCharType="begin"/>
      </w:r>
      <w:r w:rsidR="00E27E54" w:rsidRPr="00E27E54">
        <w:rPr>
          <w:rFonts w:cs="Arial"/>
        </w:rPr>
        <w:instrText xml:space="preserve"> REF _Ref88213621 \h  \* MERGEFORMAT </w:instrText>
      </w:r>
      <w:r w:rsidR="00E27E54" w:rsidRPr="00E27E54">
        <w:rPr>
          <w:rFonts w:cs="Arial"/>
        </w:rPr>
      </w:r>
      <w:r w:rsidR="00E27E54" w:rsidRPr="00E27E54">
        <w:rPr>
          <w:rFonts w:cs="Arial"/>
        </w:rPr>
        <w:fldChar w:fldCharType="separate"/>
      </w:r>
      <w:r w:rsidR="00FD64B0" w:rsidRPr="00823C44">
        <w:rPr>
          <w:rFonts w:asciiTheme="majorHAnsi" w:hAnsiTheme="majorHAnsi"/>
        </w:rPr>
        <w:t xml:space="preserve">Table </w:t>
      </w:r>
      <w:r w:rsidR="00FD64B0">
        <w:rPr>
          <w:rFonts w:asciiTheme="majorHAnsi" w:hAnsiTheme="majorHAnsi"/>
          <w:noProof/>
        </w:rPr>
        <w:t>2</w:t>
      </w:r>
      <w:r w:rsidR="00E27E54" w:rsidRPr="00E27E54">
        <w:rPr>
          <w:rFonts w:cs="Arial"/>
        </w:rPr>
        <w:fldChar w:fldCharType="end"/>
      </w:r>
      <w:r>
        <w:rPr>
          <w:rFonts w:cs="Arial"/>
        </w:rPr>
        <w:t xml:space="preserve"> below</w:t>
      </w:r>
      <w:r w:rsidRPr="00053F8D">
        <w:rPr>
          <w:rFonts w:cs="Arial"/>
        </w:rPr>
        <w:t xml:space="preserve"> from </w:t>
      </w:r>
      <w:r w:rsidRPr="00053F8D">
        <w:rPr>
          <w:i/>
          <w:iCs/>
          <w:lang w:val="en-US"/>
        </w:rPr>
        <w:t>Assessing and controlling risk: a guide for business</w:t>
      </w:r>
      <w:r w:rsidRPr="00053F8D">
        <w:rPr>
          <w:lang w:val="en-US"/>
        </w:rPr>
        <w:t xml:space="preserve"> (</w:t>
      </w:r>
      <w:r w:rsidR="00260DC7">
        <w:rPr>
          <w:lang w:val="en-US"/>
        </w:rPr>
        <w:t>EPA publication</w:t>
      </w:r>
      <w:r w:rsidRPr="00053F8D">
        <w:rPr>
          <w:lang w:val="en-US"/>
        </w:rPr>
        <w:t xml:space="preserve"> 1695.1) provides key concepts to determine likelihood.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2"/>
        <w:gridCol w:w="8194"/>
      </w:tblGrid>
      <w:tr w:rsidR="00CC78F7" w:rsidRPr="00053F8D" w14:paraId="05E6628D" w14:textId="77777777" w:rsidTr="00D1396D">
        <w:trPr>
          <w:cantSplit/>
          <w:tblHeader/>
          <w:jc w:val="center"/>
        </w:trPr>
        <w:tc>
          <w:tcPr>
            <w:tcW w:w="5000" w:type="pct"/>
            <w:gridSpan w:val="2"/>
            <w:tcBorders>
              <w:top w:val="nil"/>
              <w:left w:val="nil"/>
              <w:right w:val="nil"/>
            </w:tcBorders>
            <w:shd w:val="clear" w:color="auto" w:fill="auto"/>
            <w:vAlign w:val="center"/>
          </w:tcPr>
          <w:p w14:paraId="72D58F46" w14:textId="7E6AEC3C" w:rsidR="00CC78F7" w:rsidRPr="00823C44" w:rsidRDefault="00CC78F7" w:rsidP="00BD711C">
            <w:pPr>
              <w:pStyle w:val="Caption"/>
              <w:ind w:left="-53"/>
            </w:pPr>
            <w:bookmarkStart w:id="49" w:name="_Ref88213621"/>
            <w:r w:rsidRPr="00823C44">
              <w:rPr>
                <w:rFonts w:asciiTheme="majorHAnsi" w:hAnsiTheme="majorHAnsi"/>
              </w:rPr>
              <w:t xml:space="preserve">Table </w:t>
            </w:r>
            <w:r w:rsidRPr="00823C44">
              <w:rPr>
                <w:rFonts w:asciiTheme="majorHAnsi" w:hAnsiTheme="majorHAnsi"/>
              </w:rPr>
              <w:fldChar w:fldCharType="begin"/>
            </w:r>
            <w:r w:rsidRPr="00823C44">
              <w:rPr>
                <w:rFonts w:asciiTheme="majorHAnsi" w:hAnsiTheme="majorHAnsi"/>
              </w:rPr>
              <w:instrText xml:space="preserve"> SEQ Table \* ARABIC </w:instrText>
            </w:r>
            <w:r w:rsidRPr="00823C44">
              <w:rPr>
                <w:rFonts w:asciiTheme="majorHAnsi" w:hAnsiTheme="majorHAnsi"/>
              </w:rPr>
              <w:fldChar w:fldCharType="separate"/>
            </w:r>
            <w:r w:rsidR="00FD64B0">
              <w:rPr>
                <w:rFonts w:asciiTheme="majorHAnsi" w:hAnsiTheme="majorHAnsi"/>
                <w:noProof/>
              </w:rPr>
              <w:t>2</w:t>
            </w:r>
            <w:r w:rsidRPr="00823C44">
              <w:rPr>
                <w:rFonts w:asciiTheme="majorHAnsi" w:hAnsiTheme="majorHAnsi"/>
              </w:rPr>
              <w:fldChar w:fldCharType="end"/>
            </w:r>
            <w:bookmarkEnd w:id="49"/>
            <w:r w:rsidRPr="00823C44">
              <w:rPr>
                <w:rFonts w:asciiTheme="majorHAnsi" w:hAnsiTheme="majorHAnsi"/>
              </w:rPr>
              <w:t xml:space="preserve"> </w:t>
            </w:r>
            <w:r w:rsidRPr="00823C44">
              <w:t>– Key concepts to determine likelihood</w:t>
            </w:r>
          </w:p>
        </w:tc>
      </w:tr>
      <w:tr w:rsidR="00CC78F7" w:rsidRPr="00053F8D" w14:paraId="6B6D82AF" w14:textId="77777777" w:rsidTr="00D1396D">
        <w:trPr>
          <w:cantSplit/>
          <w:tblHeader/>
          <w:jc w:val="center"/>
        </w:trPr>
        <w:tc>
          <w:tcPr>
            <w:tcW w:w="974" w:type="pct"/>
            <w:shd w:val="clear" w:color="auto" w:fill="003F72"/>
            <w:vAlign w:val="center"/>
          </w:tcPr>
          <w:p w14:paraId="725F60E9" w14:textId="77777777" w:rsidR="00CC78F7" w:rsidRPr="00E61BA4" w:rsidRDefault="00CC78F7" w:rsidP="00E61BA4">
            <w:pPr>
              <w:pStyle w:val="Tabletext0"/>
            </w:pPr>
            <w:r w:rsidRPr="00E61BA4">
              <w:t>Concept</w:t>
            </w:r>
          </w:p>
        </w:tc>
        <w:tc>
          <w:tcPr>
            <w:tcW w:w="4026" w:type="pct"/>
            <w:shd w:val="clear" w:color="auto" w:fill="003F72"/>
            <w:vAlign w:val="center"/>
          </w:tcPr>
          <w:p w14:paraId="5015B27F" w14:textId="77777777" w:rsidR="00CC78F7" w:rsidRPr="00E61BA4" w:rsidRDefault="00CC78F7" w:rsidP="00E61BA4">
            <w:pPr>
              <w:pStyle w:val="Tabletext0"/>
            </w:pPr>
            <w:r w:rsidRPr="00E61BA4">
              <w:t>Explanation</w:t>
            </w:r>
          </w:p>
        </w:tc>
      </w:tr>
      <w:tr w:rsidR="00CC78F7" w:rsidRPr="00053F8D" w14:paraId="02C92E16" w14:textId="77777777" w:rsidTr="00D1396D">
        <w:trPr>
          <w:cantSplit/>
          <w:jc w:val="center"/>
        </w:trPr>
        <w:tc>
          <w:tcPr>
            <w:tcW w:w="974" w:type="pct"/>
          </w:tcPr>
          <w:p w14:paraId="633B5787" w14:textId="77777777" w:rsidR="00CC78F7" w:rsidRPr="00E61BA4" w:rsidRDefault="00CC78F7" w:rsidP="00E61BA4">
            <w:pPr>
              <w:pStyle w:val="Tabletext0"/>
            </w:pPr>
            <w:r w:rsidRPr="00E61BA4">
              <w:t>Previous occurrence</w:t>
            </w:r>
          </w:p>
        </w:tc>
        <w:tc>
          <w:tcPr>
            <w:tcW w:w="4026" w:type="pct"/>
          </w:tcPr>
          <w:p w14:paraId="7699BBDE" w14:textId="77777777" w:rsidR="00CC78F7" w:rsidRPr="00E61BA4" w:rsidRDefault="00CC78F7" w:rsidP="00E61BA4">
            <w:pPr>
              <w:pStyle w:val="Tabletext0"/>
            </w:pPr>
            <w:r w:rsidRPr="00E61BA4">
              <w:t>Assessing what has happened previously, such as incidents or near misses, gives an indication about likelihood.</w:t>
            </w:r>
          </w:p>
        </w:tc>
      </w:tr>
      <w:tr w:rsidR="00CC78F7" w:rsidRPr="00053F8D" w14:paraId="67E45A1A" w14:textId="77777777" w:rsidTr="00D1396D">
        <w:trPr>
          <w:cantSplit/>
          <w:jc w:val="center"/>
        </w:trPr>
        <w:tc>
          <w:tcPr>
            <w:tcW w:w="974" w:type="pct"/>
          </w:tcPr>
          <w:p w14:paraId="7AF9ADF9" w14:textId="77777777" w:rsidR="00CC78F7" w:rsidRPr="00E61BA4" w:rsidRDefault="00CC78F7" w:rsidP="00E61BA4">
            <w:pPr>
              <w:pStyle w:val="Tabletext0"/>
            </w:pPr>
            <w:r w:rsidRPr="00E61BA4">
              <w:t>Controls</w:t>
            </w:r>
          </w:p>
        </w:tc>
        <w:tc>
          <w:tcPr>
            <w:tcW w:w="4026" w:type="pct"/>
          </w:tcPr>
          <w:p w14:paraId="57941B33" w14:textId="77777777" w:rsidR="00CC78F7" w:rsidRPr="00E61BA4" w:rsidRDefault="00CC78F7" w:rsidP="00E61BA4">
            <w:pPr>
              <w:pStyle w:val="Tabletext0"/>
            </w:pPr>
            <w:r w:rsidRPr="00E61BA4">
              <w:t>Consider what controls are in place and how effective they are.</w:t>
            </w:r>
          </w:p>
        </w:tc>
      </w:tr>
      <w:tr w:rsidR="00CC78F7" w:rsidRPr="00053F8D" w14:paraId="173B70E9" w14:textId="77777777" w:rsidTr="00D1396D">
        <w:trPr>
          <w:cantSplit/>
          <w:jc w:val="center"/>
        </w:trPr>
        <w:tc>
          <w:tcPr>
            <w:tcW w:w="974" w:type="pct"/>
          </w:tcPr>
          <w:p w14:paraId="3E618AD6" w14:textId="77777777" w:rsidR="00CC78F7" w:rsidRPr="00E61BA4" w:rsidRDefault="00CC78F7" w:rsidP="00E61BA4">
            <w:pPr>
              <w:pStyle w:val="Tabletext0"/>
            </w:pPr>
            <w:r w:rsidRPr="00E61BA4">
              <w:t>Frequency</w:t>
            </w:r>
          </w:p>
        </w:tc>
        <w:tc>
          <w:tcPr>
            <w:tcW w:w="4026" w:type="pct"/>
          </w:tcPr>
          <w:p w14:paraId="3F180317" w14:textId="77777777" w:rsidR="00CC78F7" w:rsidRPr="00E61BA4" w:rsidRDefault="00CC78F7" w:rsidP="00E61BA4">
            <w:pPr>
              <w:pStyle w:val="Tabletext0"/>
            </w:pPr>
            <w:r w:rsidRPr="00E61BA4">
              <w:t>A hazard may exist all the time or only sometimes. The more often the hazard is present, the greater the likelihood that it will cause harm.</w:t>
            </w:r>
          </w:p>
        </w:tc>
      </w:tr>
      <w:tr w:rsidR="00CC78F7" w:rsidRPr="00053F8D" w14:paraId="259890AF" w14:textId="77777777" w:rsidTr="00D1396D">
        <w:trPr>
          <w:cantSplit/>
          <w:jc w:val="center"/>
        </w:trPr>
        <w:tc>
          <w:tcPr>
            <w:tcW w:w="974" w:type="pct"/>
          </w:tcPr>
          <w:p w14:paraId="5E674F2B" w14:textId="77777777" w:rsidR="00CC78F7" w:rsidRPr="00E61BA4" w:rsidRDefault="00CC78F7" w:rsidP="00E61BA4">
            <w:pPr>
              <w:pStyle w:val="Tabletext0"/>
            </w:pPr>
            <w:r w:rsidRPr="00E61BA4">
              <w:t>Changes in conditions</w:t>
            </w:r>
          </w:p>
        </w:tc>
        <w:tc>
          <w:tcPr>
            <w:tcW w:w="4026" w:type="pct"/>
          </w:tcPr>
          <w:p w14:paraId="3C550B20" w14:textId="77777777" w:rsidR="00CC78F7" w:rsidRPr="00E61BA4" w:rsidRDefault="00CC78F7" w:rsidP="00E61BA4">
            <w:pPr>
              <w:pStyle w:val="Tabletext0"/>
            </w:pPr>
            <w:r w:rsidRPr="00E61BA4">
              <w:t>Operating or environmental conditions change over time and vary throughout the year. These changes can influence likelihood of a hazard causing harm.</w:t>
            </w:r>
          </w:p>
        </w:tc>
      </w:tr>
      <w:tr w:rsidR="00CC78F7" w:rsidRPr="00053F8D" w14:paraId="0E07B466" w14:textId="77777777" w:rsidTr="00D1396D">
        <w:trPr>
          <w:cantSplit/>
          <w:jc w:val="center"/>
        </w:trPr>
        <w:tc>
          <w:tcPr>
            <w:tcW w:w="974" w:type="pct"/>
          </w:tcPr>
          <w:p w14:paraId="68F35D0B" w14:textId="77777777" w:rsidR="00CC78F7" w:rsidRPr="00E61BA4" w:rsidRDefault="00CC78F7" w:rsidP="00E61BA4">
            <w:pPr>
              <w:pStyle w:val="Tabletext0"/>
            </w:pPr>
            <w:r w:rsidRPr="00E61BA4">
              <w:t>Behaviour</w:t>
            </w:r>
          </w:p>
        </w:tc>
        <w:tc>
          <w:tcPr>
            <w:tcW w:w="4026" w:type="pct"/>
          </w:tcPr>
          <w:p w14:paraId="5B45562C" w14:textId="77777777" w:rsidR="00CC78F7" w:rsidRPr="00E61BA4" w:rsidRDefault="00CC78F7" w:rsidP="00E61BA4">
            <w:pPr>
              <w:pStyle w:val="Tabletext0"/>
            </w:pPr>
            <w:r w:rsidRPr="00E61BA4">
              <w:t>The way people act or behave can affect the likelihood of a hazard causing harm. For example, people may make mistakes or misuse items during an incident.</w:t>
            </w:r>
          </w:p>
        </w:tc>
      </w:tr>
    </w:tbl>
    <w:p w14:paraId="26EDB159" w14:textId="77777777" w:rsidR="00CE4C74" w:rsidRDefault="00CE4C74" w:rsidP="00341E57">
      <w:pPr>
        <w:pStyle w:val="Heading3"/>
      </w:pPr>
      <w:bookmarkStart w:id="50" w:name="_Toc133938142"/>
      <w:r>
        <w:t>Risk consequence</w:t>
      </w:r>
      <w:bookmarkEnd w:id="50"/>
    </w:p>
    <w:p w14:paraId="07B95B62" w14:textId="6235FF49" w:rsidR="00CE4C74" w:rsidRPr="0066294D" w:rsidRDefault="00CE4C74" w:rsidP="007372BA">
      <w:pPr>
        <w:spacing w:line="259" w:lineRule="auto"/>
        <w:rPr>
          <w:rFonts w:cs="Arial"/>
        </w:rPr>
      </w:pPr>
      <w:r w:rsidRPr="0066294D">
        <w:rPr>
          <w:rFonts w:cs="Arial"/>
        </w:rPr>
        <w:t xml:space="preserve">When assessing the magnitude of the impact that each </w:t>
      </w:r>
      <w:r w:rsidR="007372BA">
        <w:rPr>
          <w:rFonts w:cs="Arial"/>
        </w:rPr>
        <w:t>hazard</w:t>
      </w:r>
      <w:r w:rsidRPr="0066294D">
        <w:rPr>
          <w:rFonts w:cs="Arial"/>
        </w:rPr>
        <w:t xml:space="preserve"> could cause it is important to consider:</w:t>
      </w:r>
    </w:p>
    <w:p w14:paraId="6CF36CFB" w14:textId="0CE5820B" w:rsidR="00CE4C74" w:rsidRPr="0066294D" w:rsidRDefault="000F0403" w:rsidP="006F1C84">
      <w:pPr>
        <w:pStyle w:val="ListBullet"/>
      </w:pPr>
      <w:r>
        <w:t>p</w:t>
      </w:r>
      <w:r w:rsidRPr="0066294D">
        <w:t>re</w:t>
      </w:r>
      <w:r w:rsidR="00CE4C74" w:rsidRPr="0066294D">
        <w:t>-control risk (inherent risk): this is the magnitude or degree of harm if no controls were in place</w:t>
      </w:r>
      <w:r w:rsidR="00C03D0E">
        <w:t>.</w:t>
      </w:r>
    </w:p>
    <w:p w14:paraId="7405CD45" w14:textId="69288B8F" w:rsidR="009C23D7" w:rsidRPr="006F1C84" w:rsidRDefault="000F0403" w:rsidP="00CE4C74">
      <w:pPr>
        <w:pStyle w:val="ListBullet"/>
      </w:pPr>
      <w:r>
        <w:t>p</w:t>
      </w:r>
      <w:r w:rsidRPr="0066294D">
        <w:t>ost</w:t>
      </w:r>
      <w:r w:rsidR="00CE4C74" w:rsidRPr="0066294D">
        <w:t>-control risk (residual risk): this is the magnitude or degree of harm with controls in place. This helps determine the importance of existing or proposed controls and if new or improved controls are required.</w:t>
      </w:r>
    </w:p>
    <w:p w14:paraId="3E4A87F2" w14:textId="1F2A8320" w:rsidR="00CE4C74" w:rsidRPr="00704AFF" w:rsidRDefault="00CE4C74" w:rsidP="00CE4C74">
      <w:pPr>
        <w:spacing w:line="259" w:lineRule="auto"/>
        <w:rPr>
          <w:rFonts w:cs="Arial"/>
        </w:rPr>
      </w:pPr>
      <w:r w:rsidRPr="0066294D">
        <w:rPr>
          <w:rFonts w:cs="Arial"/>
        </w:rPr>
        <w:t xml:space="preserve">More information about risk likelihood and consequence can be found in </w:t>
      </w:r>
      <w:r w:rsidRPr="0066294D">
        <w:rPr>
          <w:i/>
          <w:iCs/>
          <w:lang w:val="en-US"/>
        </w:rPr>
        <w:t>Assessing and controlling risk: a guide for business</w:t>
      </w:r>
      <w:r w:rsidRPr="0066294D">
        <w:rPr>
          <w:lang w:val="en-US"/>
        </w:rPr>
        <w:t xml:space="preserve"> (</w:t>
      </w:r>
      <w:r w:rsidR="00260DC7">
        <w:rPr>
          <w:lang w:val="en-US"/>
        </w:rPr>
        <w:t>EPA publication</w:t>
      </w:r>
      <w:r w:rsidRPr="0066294D">
        <w:rPr>
          <w:lang w:val="en-US"/>
        </w:rPr>
        <w:t xml:space="preserve"> 1695.1).</w:t>
      </w:r>
    </w:p>
    <w:p w14:paraId="556C3732" w14:textId="6020F8CE" w:rsidR="00F256C1" w:rsidRPr="002D070A" w:rsidRDefault="00F256C1" w:rsidP="00341E57">
      <w:pPr>
        <w:pStyle w:val="Heading3"/>
      </w:pPr>
      <w:bookmarkStart w:id="51" w:name="_Ref88210367"/>
      <w:bookmarkStart w:id="52" w:name="_Toc133938143"/>
      <w:r w:rsidRPr="002D070A">
        <w:t>Types o</w:t>
      </w:r>
      <w:r w:rsidR="008F0F61">
        <w:t>f</w:t>
      </w:r>
      <w:r w:rsidRPr="002D070A">
        <w:t xml:space="preserve"> risk analysis</w:t>
      </w:r>
      <w:bookmarkEnd w:id="51"/>
      <w:bookmarkEnd w:id="52"/>
    </w:p>
    <w:p w14:paraId="338E692F" w14:textId="557A649B" w:rsidR="00F256C1" w:rsidRPr="0066294D" w:rsidRDefault="00F256C1" w:rsidP="00F256C1">
      <w:pPr>
        <w:spacing w:line="259" w:lineRule="auto"/>
        <w:rPr>
          <w:rFonts w:cs="Arial"/>
        </w:rPr>
      </w:pPr>
      <w:r w:rsidRPr="0066294D">
        <w:rPr>
          <w:rFonts w:cs="Arial"/>
        </w:rPr>
        <w:t>There are three types of risk analysis</w:t>
      </w:r>
      <w:r w:rsidR="008340B0">
        <w:rPr>
          <w:rFonts w:cs="Arial"/>
        </w:rPr>
        <w:t xml:space="preserve"> outlined below</w:t>
      </w:r>
      <w:r w:rsidRPr="0066294D">
        <w:rPr>
          <w:rFonts w:cs="Arial"/>
        </w:rPr>
        <w:t xml:space="preserve">. Risk assessors should determine the appropriate type </w:t>
      </w:r>
      <w:r w:rsidR="000F0403">
        <w:rPr>
          <w:rFonts w:cs="Arial"/>
        </w:rPr>
        <w:t xml:space="preserve">of analysis </w:t>
      </w:r>
      <w:r w:rsidRPr="0066294D">
        <w:rPr>
          <w:rFonts w:cs="Arial"/>
        </w:rPr>
        <w:t>and the resources needed based on the receiving waters and discharge characteristics</w:t>
      </w:r>
      <w:r w:rsidR="000F0403">
        <w:rPr>
          <w:rFonts w:cs="Arial"/>
        </w:rPr>
        <w:t>,</w:t>
      </w:r>
      <w:r w:rsidRPr="0066294D">
        <w:rPr>
          <w:rFonts w:cs="Arial"/>
        </w:rPr>
        <w:t xml:space="preserve"> and the level of knowledge and understanding of these </w:t>
      </w:r>
      <w:r w:rsidRPr="00FC385D">
        <w:rPr>
          <w:rFonts w:cs="Arial"/>
        </w:rPr>
        <w:t>(</w:t>
      </w:r>
      <w:r w:rsidR="006B723C">
        <w:rPr>
          <w:rFonts w:cs="Arial"/>
        </w:rPr>
        <w:fldChar w:fldCharType="begin"/>
      </w:r>
      <w:r w:rsidR="006B723C">
        <w:rPr>
          <w:rFonts w:cs="Arial"/>
        </w:rPr>
        <w:instrText xml:space="preserve"> REF _Ref132748921 \h </w:instrText>
      </w:r>
      <w:r w:rsidR="006B723C">
        <w:rPr>
          <w:rFonts w:cs="Arial"/>
        </w:rPr>
      </w:r>
      <w:r w:rsidR="006B723C">
        <w:rPr>
          <w:rFonts w:cs="Arial"/>
        </w:rPr>
        <w:fldChar w:fldCharType="separate"/>
      </w:r>
      <w:r w:rsidR="00FD64B0">
        <w:t xml:space="preserve">Figure </w:t>
      </w:r>
      <w:r w:rsidR="00FD64B0">
        <w:rPr>
          <w:noProof/>
        </w:rPr>
        <w:t>2</w:t>
      </w:r>
      <w:r w:rsidR="006B723C">
        <w:rPr>
          <w:rFonts w:cs="Arial"/>
        </w:rPr>
        <w:fldChar w:fldCharType="end"/>
      </w:r>
      <w:r w:rsidR="006B723C">
        <w:rPr>
          <w:rFonts w:cs="Arial"/>
        </w:rPr>
        <w:t xml:space="preserve"> </w:t>
      </w:r>
      <w:r w:rsidR="00FC385D">
        <w:rPr>
          <w:rFonts w:cs="Arial"/>
        </w:rPr>
        <w:t xml:space="preserve">and </w:t>
      </w:r>
      <w:r w:rsidR="006B723C">
        <w:rPr>
          <w:rFonts w:cs="Arial"/>
        </w:rPr>
        <w:fldChar w:fldCharType="begin"/>
      </w:r>
      <w:r w:rsidR="006B723C">
        <w:rPr>
          <w:rFonts w:cs="Arial"/>
        </w:rPr>
        <w:instrText xml:space="preserve"> REF _Ref132748944 \h </w:instrText>
      </w:r>
      <w:r w:rsidR="006B723C">
        <w:rPr>
          <w:rFonts w:cs="Arial"/>
        </w:rPr>
      </w:r>
      <w:r w:rsidR="006B723C">
        <w:rPr>
          <w:rFonts w:cs="Arial"/>
        </w:rPr>
        <w:fldChar w:fldCharType="separate"/>
      </w:r>
      <w:r w:rsidR="00FD64B0">
        <w:t xml:space="preserve">Table </w:t>
      </w:r>
      <w:r w:rsidR="00FD64B0">
        <w:rPr>
          <w:noProof/>
        </w:rPr>
        <w:t>1</w:t>
      </w:r>
      <w:r w:rsidR="006B723C">
        <w:rPr>
          <w:rFonts w:cs="Arial"/>
        </w:rPr>
        <w:fldChar w:fldCharType="end"/>
      </w:r>
      <w:r w:rsidRPr="0066294D">
        <w:rPr>
          <w:rFonts w:cs="Arial"/>
        </w:rPr>
        <w:t>).</w:t>
      </w:r>
    </w:p>
    <w:p w14:paraId="7965F8C0" w14:textId="5EEB3BCA" w:rsidR="00F256C1" w:rsidRDefault="00F256C1" w:rsidP="00F256C1">
      <w:pPr>
        <w:rPr>
          <w:rFonts w:cs="Arial"/>
          <w:lang w:eastAsia="en-AU"/>
        </w:rPr>
      </w:pPr>
      <w:r w:rsidRPr="0066294D">
        <w:rPr>
          <w:rFonts w:eastAsia="Times New Roman" w:cs="Arial"/>
          <w:b/>
        </w:rPr>
        <w:t>Qualitative</w:t>
      </w:r>
      <w:r w:rsidRPr="0066294D">
        <w:rPr>
          <w:rFonts w:cs="Arial"/>
        </w:rPr>
        <w:t xml:space="preserve"> </w:t>
      </w:r>
      <w:r w:rsidRPr="0066294D">
        <w:rPr>
          <w:rFonts w:cs="Arial"/>
          <w:b/>
          <w:bCs/>
        </w:rPr>
        <w:t>risk analysis</w:t>
      </w:r>
      <w:r w:rsidRPr="0066294D">
        <w:rPr>
          <w:rFonts w:cs="Arial"/>
        </w:rPr>
        <w:t xml:space="preserve"> applies a subjective assessment of likelihood against the potential magnitude of an impact to determine the overall severity of the risk. </w:t>
      </w:r>
      <w:r w:rsidRPr="0066294D">
        <w:rPr>
          <w:rFonts w:cs="Arial"/>
          <w:lang w:eastAsia="en-AU"/>
        </w:rPr>
        <w:t>The risk characteri</w:t>
      </w:r>
      <w:r w:rsidR="001E04DC">
        <w:rPr>
          <w:rFonts w:cs="Arial"/>
          <w:lang w:eastAsia="en-AU"/>
        </w:rPr>
        <w:t>s</w:t>
      </w:r>
      <w:r w:rsidRPr="0066294D">
        <w:rPr>
          <w:rFonts w:cs="Arial"/>
          <w:lang w:eastAsia="en-AU"/>
        </w:rPr>
        <w:t xml:space="preserve">ation generated by a qualitative risk assessment will generally be of a descriptive or categorical </w:t>
      </w:r>
      <w:r w:rsidRPr="0066294D">
        <w:rPr>
          <w:rFonts w:cs="Arial"/>
          <w:lang w:eastAsia="en-AU"/>
        </w:rPr>
        <w:lastRenderedPageBreak/>
        <w:t>nature (for example, ‘low’, ‘medium’, ‘high’ or ‘acceptable’ vs ‘unacceptable’) that is not directly tied to a more precisely quantified measure of risk.</w:t>
      </w:r>
    </w:p>
    <w:p w14:paraId="5804E54B" w14:textId="685321DA" w:rsidR="00F256C1" w:rsidRPr="009E062D" w:rsidRDefault="00F256C1" w:rsidP="00F256C1">
      <w:pPr>
        <w:rPr>
          <w:rFonts w:cs="Arial"/>
        </w:rPr>
      </w:pPr>
      <w:r w:rsidRPr="0066294D">
        <w:rPr>
          <w:rFonts w:cs="Arial"/>
        </w:rPr>
        <w:t>A qualitative analysis of risk is based on subjective assessments, where cultural, personal and professional experiences and values all affect the perception of risk</w:t>
      </w:r>
      <w:r w:rsidR="000F0403">
        <w:rPr>
          <w:rFonts w:cs="Arial"/>
        </w:rPr>
        <w:t>,</w:t>
      </w:r>
      <w:r w:rsidRPr="0066294D">
        <w:rPr>
          <w:rFonts w:cs="Arial"/>
        </w:rPr>
        <w:t xml:space="preserve"> and ultimately</w:t>
      </w:r>
      <w:r w:rsidR="000F0403">
        <w:rPr>
          <w:rFonts w:cs="Arial"/>
        </w:rPr>
        <w:t>,</w:t>
      </w:r>
      <w:r w:rsidRPr="0098055B">
        <w:rPr>
          <w:rFonts w:cs="Arial"/>
        </w:rPr>
        <w:t xml:space="preserve"> </w:t>
      </w:r>
      <w:r w:rsidRPr="009E062D">
        <w:rPr>
          <w:rFonts w:cs="Arial"/>
        </w:rPr>
        <w:t xml:space="preserve">the risk analysis. Consequently, it should be recognised that these estimates of risk represent views or opinions to which there are likely to be many alternatives (Burgman, 1999). Issues of </w:t>
      </w:r>
      <w:r w:rsidRPr="009E062D">
        <w:rPr>
          <w:rFonts w:cs="Arial"/>
          <w:bCs/>
        </w:rPr>
        <w:t>potential</w:t>
      </w:r>
      <w:r w:rsidRPr="009E062D">
        <w:rPr>
          <w:rFonts w:cs="Arial"/>
        </w:rPr>
        <w:t xml:space="preserve"> bias in qualitative estimates can be </w:t>
      </w:r>
      <w:r w:rsidR="001049D4" w:rsidRPr="001049D4">
        <w:rPr>
          <w:rFonts w:cs="Arial"/>
        </w:rPr>
        <w:t>mitigated</w:t>
      </w:r>
      <w:r w:rsidR="001049D4" w:rsidRPr="009E062D">
        <w:rPr>
          <w:rFonts w:cs="Arial"/>
        </w:rPr>
        <w:t xml:space="preserve"> </w:t>
      </w:r>
      <w:r w:rsidRPr="009E062D">
        <w:rPr>
          <w:rFonts w:cs="Arial"/>
        </w:rPr>
        <w:t xml:space="preserve">by wide consultation. </w:t>
      </w:r>
    </w:p>
    <w:p w14:paraId="4EDD5EB6" w14:textId="12ADDF43" w:rsidR="00F256C1" w:rsidRPr="009E062D" w:rsidRDefault="00F256C1" w:rsidP="00F256C1">
      <w:pPr>
        <w:rPr>
          <w:rFonts w:cs="Arial"/>
          <w:lang w:eastAsia="en-AU"/>
        </w:rPr>
      </w:pPr>
      <w:r w:rsidRPr="009E062D">
        <w:rPr>
          <w:rFonts w:cs="Arial"/>
          <w:lang w:eastAsia="en-AU"/>
        </w:rPr>
        <w:t>A qualitative analysis is commonly used for screening risks and may reveal that further investigations are not required to provide relevant advice to the risk manager. If there are obvious sources of risk that can be eliminated, one does not need to wait for the results of a semi-quantitative or full quantitative risk assessment to implement risk management actions (FAO/WHO</w:t>
      </w:r>
      <w:r w:rsidR="00A5242F">
        <w:rPr>
          <w:rFonts w:cs="Arial"/>
          <w:lang w:eastAsia="en-AU"/>
        </w:rPr>
        <w:t>,</w:t>
      </w:r>
      <w:r w:rsidRPr="009E062D">
        <w:rPr>
          <w:rFonts w:cs="Arial"/>
          <w:lang w:eastAsia="en-AU"/>
        </w:rPr>
        <w:t xml:space="preserve"> 2009).</w:t>
      </w:r>
    </w:p>
    <w:p w14:paraId="1D875E9C" w14:textId="1A0F4A8D" w:rsidR="00F256C1" w:rsidRPr="009E062D" w:rsidRDefault="00F256C1" w:rsidP="00F256C1">
      <w:pPr>
        <w:rPr>
          <w:rFonts w:cs="Arial"/>
          <w:lang w:eastAsia="en-AU"/>
        </w:rPr>
      </w:pPr>
      <w:r w:rsidRPr="009E062D">
        <w:rPr>
          <w:rFonts w:eastAsia="Times New Roman" w:cs="Arial"/>
          <w:b/>
        </w:rPr>
        <w:t>Semi-quantitative</w:t>
      </w:r>
      <w:r w:rsidRPr="009E062D">
        <w:rPr>
          <w:rFonts w:cs="Arial"/>
        </w:rPr>
        <w:t xml:space="preserve"> </w:t>
      </w:r>
      <w:r w:rsidRPr="009E062D">
        <w:rPr>
          <w:rFonts w:cs="Arial"/>
          <w:b/>
          <w:bCs/>
        </w:rPr>
        <w:t xml:space="preserve">analysis </w:t>
      </w:r>
      <w:r w:rsidRPr="009E062D">
        <w:rPr>
          <w:rFonts w:cs="Arial"/>
          <w:lang w:eastAsia="en-AU"/>
        </w:rPr>
        <w:t>provides an intermediary level between the textual evaluation of qualitative risk analysis and the numerical evaluation of quantitative risk analysis, by evaluating risks with a score. In a semi-quantitative analysis pre-defined numerical definition or scoring scales are used to characteri</w:t>
      </w:r>
      <w:r w:rsidR="001E04DC">
        <w:rPr>
          <w:rFonts w:cs="Arial"/>
          <w:lang w:eastAsia="en-AU"/>
        </w:rPr>
        <w:t>s</w:t>
      </w:r>
      <w:r w:rsidRPr="009E062D">
        <w:rPr>
          <w:rFonts w:cs="Arial"/>
          <w:lang w:eastAsia="en-AU"/>
        </w:rPr>
        <w:t>e the likelihood of adverse events, their consequences</w:t>
      </w:r>
      <w:r w:rsidR="000F0403">
        <w:rPr>
          <w:rFonts w:cs="Arial"/>
          <w:lang w:eastAsia="en-AU"/>
        </w:rPr>
        <w:t>,</w:t>
      </w:r>
      <w:r w:rsidRPr="009E062D">
        <w:rPr>
          <w:rFonts w:cs="Arial"/>
          <w:lang w:eastAsia="en-AU"/>
        </w:rPr>
        <w:t xml:space="preserve"> or both. </w:t>
      </w:r>
    </w:p>
    <w:p w14:paraId="16F97145" w14:textId="77777777" w:rsidR="00F256C1" w:rsidRPr="009E062D" w:rsidRDefault="00F256C1" w:rsidP="00F256C1">
      <w:pPr>
        <w:rPr>
          <w:rFonts w:cs="Arial"/>
          <w:lang w:eastAsia="en-AU"/>
        </w:rPr>
      </w:pPr>
      <w:r w:rsidRPr="009E062D">
        <w:rPr>
          <w:rFonts w:cs="Arial"/>
          <w:lang w:eastAsia="en-AU"/>
        </w:rPr>
        <w:t>A semi-quantitative risk analysis of risk uses clearly defined categories or scaling like A-F. For example, a ‘low’ probability risk category might be defined as having between 5% and 10% probability of occurring in a year. Therefore, a semi-quantitative risk analysis avoids the qualitative judgemental meaning of categories by attaching a specific, quantitative meaning.</w:t>
      </w:r>
    </w:p>
    <w:p w14:paraId="7A7B143E" w14:textId="77777777" w:rsidR="00F256C1" w:rsidRPr="009E062D" w:rsidRDefault="00F256C1" w:rsidP="00F256C1">
      <w:pPr>
        <w:rPr>
          <w:rFonts w:cs="Arial"/>
        </w:rPr>
      </w:pPr>
      <w:r w:rsidRPr="009E062D">
        <w:rPr>
          <w:rFonts w:eastAsia="Times New Roman" w:cs="Arial"/>
          <w:b/>
        </w:rPr>
        <w:t>Quantitative</w:t>
      </w:r>
      <w:r w:rsidRPr="009E062D">
        <w:rPr>
          <w:rFonts w:cs="Arial"/>
        </w:rPr>
        <w:t xml:space="preserve"> </w:t>
      </w:r>
      <w:r w:rsidRPr="009E062D">
        <w:rPr>
          <w:rFonts w:cs="Arial"/>
          <w:b/>
          <w:bCs/>
        </w:rPr>
        <w:t>risk analysis</w:t>
      </w:r>
      <w:r w:rsidRPr="009E062D">
        <w:rPr>
          <w:rFonts w:cs="Arial"/>
        </w:rPr>
        <w:t xml:space="preserve"> uses available relevant data to calculate impacts and their probabilities and produces numerical values of the level of risk. It includes data gathering, analysis and modelling techniques such as Monte Carlo and Bayesian analyses. </w:t>
      </w:r>
    </w:p>
    <w:p w14:paraId="16A1A71D" w14:textId="77777777" w:rsidR="000F0403" w:rsidRDefault="00F256C1" w:rsidP="00F256C1">
      <w:pPr>
        <w:rPr>
          <w:rFonts w:cs="Arial"/>
        </w:rPr>
      </w:pPr>
      <w:r w:rsidRPr="009E062D">
        <w:rPr>
          <w:rFonts w:cs="Arial"/>
        </w:rPr>
        <w:t xml:space="preserve">Semi-quantitative and quantitative risk analyses provide more rigour in the assessment and more detailed information for managing risks. They also provide better internal consistency and better assessment of uncertainties and assumptions. </w:t>
      </w:r>
    </w:p>
    <w:p w14:paraId="5EC486DB" w14:textId="271C0964" w:rsidR="00F256C1" w:rsidRPr="009E062D" w:rsidRDefault="00F256C1" w:rsidP="00F256C1">
      <w:pPr>
        <w:rPr>
          <w:rFonts w:cs="Arial"/>
        </w:rPr>
      </w:pPr>
      <w:r w:rsidRPr="009E062D">
        <w:rPr>
          <w:rFonts w:cs="Arial"/>
        </w:rPr>
        <w:t>It should be emphasi</w:t>
      </w:r>
      <w:r w:rsidR="001E04DC">
        <w:rPr>
          <w:rFonts w:cs="Arial"/>
        </w:rPr>
        <w:t>s</w:t>
      </w:r>
      <w:r w:rsidRPr="009E062D">
        <w:rPr>
          <w:rFonts w:cs="Arial"/>
        </w:rPr>
        <w:t>ed that</w:t>
      </w:r>
      <w:r w:rsidR="000F0403">
        <w:rPr>
          <w:rFonts w:cs="Arial"/>
        </w:rPr>
        <w:t xml:space="preserve"> </w:t>
      </w:r>
      <w:r w:rsidR="000F0403" w:rsidRPr="004B788D">
        <w:rPr>
          <w:rFonts w:cs="Arial"/>
          <w:i/>
          <w:iCs/>
        </w:rPr>
        <w:t>every</w:t>
      </w:r>
      <w:r w:rsidR="000F0403">
        <w:rPr>
          <w:rFonts w:cs="Arial"/>
        </w:rPr>
        <w:t xml:space="preserve"> type of risk assessment requires </w:t>
      </w:r>
      <w:r w:rsidRPr="009E062D">
        <w:rPr>
          <w:rFonts w:cs="Arial"/>
        </w:rPr>
        <w:t>appropriate data</w:t>
      </w:r>
      <w:r w:rsidR="000F0403">
        <w:rPr>
          <w:rFonts w:cs="Arial"/>
        </w:rPr>
        <w:t xml:space="preserve"> to</w:t>
      </w:r>
      <w:r w:rsidRPr="009E062D">
        <w:rPr>
          <w:rFonts w:cs="Arial"/>
        </w:rPr>
        <w:t xml:space="preserve"> be collected, documented and fully referenced</w:t>
      </w:r>
      <w:r w:rsidR="000F0403">
        <w:rPr>
          <w:rFonts w:cs="Arial"/>
        </w:rPr>
        <w:t>,</w:t>
      </w:r>
      <w:r w:rsidRPr="009E062D">
        <w:rPr>
          <w:rFonts w:cs="Arial"/>
        </w:rPr>
        <w:t xml:space="preserve"> and synthesized in a logical and transparent manner</w:t>
      </w:r>
      <w:r w:rsidR="000F0403">
        <w:rPr>
          <w:rFonts w:cs="Arial"/>
        </w:rPr>
        <w:t>.</w:t>
      </w:r>
      <w:r w:rsidRPr="009E062D">
        <w:rPr>
          <w:rFonts w:cs="Arial"/>
        </w:rPr>
        <w:t xml:space="preserve"> </w:t>
      </w:r>
    </w:p>
    <w:p w14:paraId="347674F9" w14:textId="77777777" w:rsidR="00F256C1" w:rsidRDefault="00F256C1" w:rsidP="00341E57">
      <w:pPr>
        <w:pStyle w:val="Heading3"/>
      </w:pPr>
      <w:bookmarkStart w:id="53" w:name="_Toc133938144"/>
      <w:r>
        <w:t>Use of standards and risk analysis methodologies</w:t>
      </w:r>
      <w:bookmarkEnd w:id="53"/>
    </w:p>
    <w:p w14:paraId="3F724023" w14:textId="30DFC8D6" w:rsidR="00F256C1" w:rsidRPr="009E062D" w:rsidRDefault="00F256C1" w:rsidP="007372BA">
      <w:pPr>
        <w:spacing w:line="259" w:lineRule="auto"/>
        <w:rPr>
          <w:rFonts w:cs="Arial"/>
        </w:rPr>
      </w:pPr>
      <w:r>
        <w:rPr>
          <w:rFonts w:cs="Arial"/>
          <w:bCs/>
        </w:rPr>
        <w:t>R</w:t>
      </w:r>
      <w:r w:rsidRPr="009E062D">
        <w:rPr>
          <w:rFonts w:cs="Arial"/>
        </w:rPr>
        <w:t xml:space="preserve">isk analysis often comprises a review of available </w:t>
      </w:r>
      <w:r>
        <w:rPr>
          <w:rFonts w:cs="Arial"/>
        </w:rPr>
        <w:t xml:space="preserve">criteria, </w:t>
      </w:r>
      <w:r w:rsidRPr="009E062D">
        <w:rPr>
          <w:rFonts w:cs="Arial"/>
        </w:rPr>
        <w:t>standards or guideline values that can be used to assess risk from the wastewater discharge. For example, the ERS provides objectives for key water quality indicators such as nutrients, pH and turbidity</w:t>
      </w:r>
      <w:r w:rsidR="00F61A34">
        <w:rPr>
          <w:rFonts w:cs="Arial"/>
        </w:rPr>
        <w:t>. T</w:t>
      </w:r>
      <w:r w:rsidRPr="009E062D">
        <w:rPr>
          <w:rFonts w:cs="Arial"/>
        </w:rPr>
        <w:t>he ANZG provide default guideline values for toxicants for the protection of aquatic species.</w:t>
      </w:r>
      <w:r>
        <w:rPr>
          <w:rFonts w:cs="Arial"/>
        </w:rPr>
        <w:t xml:space="preserve"> For human health, w</w:t>
      </w:r>
      <w:r w:rsidRPr="004345D1">
        <w:rPr>
          <w:rFonts w:cs="Arial"/>
        </w:rPr>
        <w:t xml:space="preserve">here no </w:t>
      </w:r>
      <w:r>
        <w:rPr>
          <w:rFonts w:cs="Arial"/>
        </w:rPr>
        <w:t xml:space="preserve">criteria </w:t>
      </w:r>
      <w:r w:rsidRPr="004345D1">
        <w:rPr>
          <w:rFonts w:cs="Arial"/>
        </w:rPr>
        <w:t>exist for either the pathway (such as consumption of aquatic foods) or for the specific chemical, guidance on appropriate methodologies are presented in enHealth (2012) and NHMRC (2008).</w:t>
      </w:r>
    </w:p>
    <w:p w14:paraId="1D1343BA" w14:textId="22066D36" w:rsidR="00F256C1" w:rsidRPr="009E062D" w:rsidRDefault="00F256C1" w:rsidP="00F256C1">
      <w:pPr>
        <w:spacing w:line="259" w:lineRule="auto"/>
        <w:rPr>
          <w:rFonts w:cs="Arial"/>
        </w:rPr>
      </w:pPr>
      <w:r>
        <w:rPr>
          <w:rFonts w:cs="Arial"/>
        </w:rPr>
        <w:lastRenderedPageBreak/>
        <w:t>E</w:t>
      </w:r>
      <w:r w:rsidRPr="009E062D">
        <w:rPr>
          <w:rFonts w:cs="Arial"/>
        </w:rPr>
        <w:t>xamples of the types of risk analysis methods that can be used are given below. In all cases, the guidance in section</w:t>
      </w:r>
      <w:r w:rsidR="00C93B6E">
        <w:rPr>
          <w:rFonts w:cs="Arial"/>
        </w:rPr>
        <w:t xml:space="preserve"> </w:t>
      </w:r>
      <w:r w:rsidR="00C93B6E" w:rsidRPr="00C93B6E">
        <w:rPr>
          <w:rFonts w:cs="Arial"/>
          <w:i/>
          <w:iCs/>
        </w:rPr>
        <w:fldChar w:fldCharType="begin"/>
      </w:r>
      <w:r w:rsidR="00C93B6E" w:rsidRPr="00C93B6E">
        <w:rPr>
          <w:rFonts w:cs="Arial"/>
          <w:i/>
          <w:iCs/>
        </w:rPr>
        <w:instrText xml:space="preserve"> REF _Ref88213874 \r \h </w:instrText>
      </w:r>
      <w:r w:rsidR="00C93B6E">
        <w:rPr>
          <w:rFonts w:cs="Arial"/>
          <w:i/>
          <w:iCs/>
        </w:rPr>
        <w:instrText xml:space="preserve"> \* MERGEFORMAT </w:instrText>
      </w:r>
      <w:r w:rsidR="00C93B6E" w:rsidRPr="00C93B6E">
        <w:rPr>
          <w:rFonts w:cs="Arial"/>
          <w:i/>
          <w:iCs/>
        </w:rPr>
      </w:r>
      <w:r w:rsidR="00C93B6E" w:rsidRPr="00C93B6E">
        <w:rPr>
          <w:rFonts w:cs="Arial"/>
          <w:i/>
          <w:iCs/>
        </w:rPr>
        <w:fldChar w:fldCharType="separate"/>
      </w:r>
      <w:r w:rsidR="00FD64B0">
        <w:rPr>
          <w:rFonts w:cs="Arial"/>
          <w:i/>
          <w:iCs/>
        </w:rPr>
        <w:t>3.2.6</w:t>
      </w:r>
      <w:r w:rsidR="00C93B6E" w:rsidRPr="00C93B6E">
        <w:rPr>
          <w:rFonts w:cs="Arial"/>
          <w:i/>
          <w:iCs/>
        </w:rPr>
        <w:fldChar w:fldCharType="end"/>
      </w:r>
      <w:r w:rsidR="008B22C9" w:rsidRPr="00500820">
        <w:rPr>
          <w:rFonts w:cs="Arial"/>
        </w:rPr>
        <w:t xml:space="preserve"> </w:t>
      </w:r>
      <w:r w:rsidR="00500820" w:rsidRPr="00651724">
        <w:rPr>
          <w:rFonts w:cs="Arial"/>
          <w:i/>
          <w:iCs/>
        </w:rPr>
        <w:fldChar w:fldCharType="begin"/>
      </w:r>
      <w:r w:rsidR="00500820" w:rsidRPr="00651724">
        <w:rPr>
          <w:rFonts w:cs="Arial"/>
          <w:i/>
          <w:iCs/>
        </w:rPr>
        <w:instrText xml:space="preserve"> REF _Ref88213874 \h  \* MERGEFORMAT </w:instrText>
      </w:r>
      <w:r w:rsidR="00500820" w:rsidRPr="00651724">
        <w:rPr>
          <w:rFonts w:cs="Arial"/>
          <w:i/>
          <w:iCs/>
        </w:rPr>
      </w:r>
      <w:r w:rsidR="00500820" w:rsidRPr="00651724">
        <w:rPr>
          <w:rFonts w:cs="Arial"/>
          <w:i/>
          <w:iCs/>
        </w:rPr>
        <w:fldChar w:fldCharType="separate"/>
      </w:r>
      <w:r w:rsidR="00FD64B0" w:rsidRPr="00FD64B0">
        <w:rPr>
          <w:i/>
          <w:iCs/>
        </w:rPr>
        <w:t>Uncertainty analysis</w:t>
      </w:r>
      <w:r w:rsidR="00500820" w:rsidRPr="00651724">
        <w:rPr>
          <w:rFonts w:cs="Arial"/>
          <w:i/>
          <w:iCs/>
        </w:rPr>
        <w:fldChar w:fldCharType="end"/>
      </w:r>
      <w:r w:rsidRPr="009E062D">
        <w:rPr>
          <w:rFonts w:cs="Arial"/>
        </w:rPr>
        <w:t xml:space="preserve"> in this document needs to be incorporated into the analysis</w:t>
      </w:r>
      <w:r w:rsidR="006343BB" w:rsidRPr="006343BB">
        <w:rPr>
          <w:rFonts w:cs="Arial"/>
        </w:rPr>
        <w:t xml:space="preserve"> </w:t>
      </w:r>
      <w:r w:rsidR="006343BB" w:rsidRPr="009E062D">
        <w:rPr>
          <w:rFonts w:cs="Arial"/>
        </w:rPr>
        <w:t>for assessing uncertainty</w:t>
      </w:r>
      <w:r w:rsidRPr="009E062D">
        <w:rPr>
          <w:rFonts w:cs="Arial"/>
        </w:rPr>
        <w:t>.</w:t>
      </w:r>
    </w:p>
    <w:p w14:paraId="0719F537" w14:textId="77777777" w:rsidR="00F256C1" w:rsidRPr="00DB300D" w:rsidRDefault="00F256C1" w:rsidP="00AA7232">
      <w:pPr>
        <w:pStyle w:val="Heading4"/>
      </w:pPr>
      <w:r w:rsidRPr="00DB300D">
        <w:t>Desktop study</w:t>
      </w:r>
    </w:p>
    <w:p w14:paraId="09E0ECC4" w14:textId="133FCE49" w:rsidR="00F256C1" w:rsidRPr="00DB300D" w:rsidRDefault="00546063" w:rsidP="00F256C1">
      <w:pPr>
        <w:spacing w:line="259" w:lineRule="auto"/>
        <w:rPr>
          <w:rFonts w:cs="Arial"/>
        </w:rPr>
      </w:pPr>
      <w:r>
        <w:rPr>
          <w:rFonts w:cs="Arial"/>
        </w:rPr>
        <w:t>A</w:t>
      </w:r>
      <w:r w:rsidR="00F256C1" w:rsidRPr="00DB300D">
        <w:rPr>
          <w:rFonts w:cs="Arial"/>
        </w:rPr>
        <w:t xml:space="preserve"> desktop study </w:t>
      </w:r>
      <w:r w:rsidR="00EF7A5E">
        <w:rPr>
          <w:rFonts w:cs="Arial"/>
        </w:rPr>
        <w:t xml:space="preserve">involves the compilation </w:t>
      </w:r>
      <w:r w:rsidR="00F256C1" w:rsidRPr="00DB300D">
        <w:rPr>
          <w:rFonts w:cs="Arial"/>
        </w:rPr>
        <w:t>of currently available information and data for the discharge and receiving waters. This may involve data trends, patterns and correlations analysis, dilution modelling (including low-flow conditions), decay curves</w:t>
      </w:r>
      <w:r w:rsidR="009163F4">
        <w:rPr>
          <w:rFonts w:cs="Arial"/>
        </w:rPr>
        <w:t xml:space="preserve">, </w:t>
      </w:r>
      <w:r w:rsidR="00F256C1" w:rsidRPr="00DB300D">
        <w:rPr>
          <w:rFonts w:cs="Arial"/>
        </w:rPr>
        <w:t xml:space="preserve">comparison to available </w:t>
      </w:r>
      <w:r w:rsidR="00F256C1">
        <w:rPr>
          <w:rFonts w:cs="Arial"/>
        </w:rPr>
        <w:t>standards</w:t>
      </w:r>
      <w:r w:rsidR="00DC6386">
        <w:rPr>
          <w:rFonts w:cs="Arial"/>
        </w:rPr>
        <w:t xml:space="preserve"> (</w:t>
      </w:r>
      <w:r w:rsidR="00F256C1" w:rsidRPr="00DB300D">
        <w:rPr>
          <w:rFonts w:cs="Arial"/>
        </w:rPr>
        <w:t>for example, objectives for indicators in the ERS or default guideline values for toxicants in the ANZG</w:t>
      </w:r>
      <w:r w:rsidR="00DC6386">
        <w:rPr>
          <w:rFonts w:cs="Arial"/>
        </w:rPr>
        <w:t>)</w:t>
      </w:r>
      <w:r w:rsidR="009163F4">
        <w:rPr>
          <w:rFonts w:cs="Arial"/>
        </w:rPr>
        <w:t xml:space="preserve">, </w:t>
      </w:r>
      <w:r w:rsidR="000441F9" w:rsidRPr="000441F9">
        <w:rPr>
          <w:rFonts w:cs="Arial"/>
        </w:rPr>
        <w:t>and calculation of hazard quotients or hazard indices.</w:t>
      </w:r>
      <w:r w:rsidR="000441F9">
        <w:rPr>
          <w:rFonts w:cs="Arial"/>
        </w:rPr>
        <w:t xml:space="preserve"> </w:t>
      </w:r>
      <w:r w:rsidR="00F256C1" w:rsidRPr="00DB300D">
        <w:rPr>
          <w:rFonts w:cs="Arial"/>
        </w:rPr>
        <w:t xml:space="preserve">The spatial and temporal variability of the receiving waters and discharge needs to be considered in these analyses. </w:t>
      </w:r>
    </w:p>
    <w:p w14:paraId="14E7CE02" w14:textId="77777777" w:rsidR="00F256C1" w:rsidRPr="00DB300D" w:rsidRDefault="00F256C1" w:rsidP="00AA7232">
      <w:pPr>
        <w:pStyle w:val="Heading4"/>
        <w:rPr>
          <w:rFonts w:cs="Arial"/>
        </w:rPr>
      </w:pPr>
      <w:r w:rsidRPr="00DB300D">
        <w:t>Information from technical experts</w:t>
      </w:r>
    </w:p>
    <w:p w14:paraId="1BD6DC0D" w14:textId="3FA57EE2" w:rsidR="00F256C1" w:rsidRPr="00DB300D" w:rsidRDefault="00B53667" w:rsidP="00F256C1">
      <w:pPr>
        <w:spacing w:line="259" w:lineRule="auto"/>
        <w:rPr>
          <w:rFonts w:cs="Arial"/>
        </w:rPr>
      </w:pPr>
      <w:r>
        <w:rPr>
          <w:rFonts w:cs="Arial"/>
        </w:rPr>
        <w:t>A</w:t>
      </w:r>
      <w:r w:rsidR="00F256C1" w:rsidRPr="00DB300D">
        <w:rPr>
          <w:rFonts w:cs="Arial"/>
        </w:rPr>
        <w:t>dditional information and/or more detailed analyses from specialised technical experts (such as ecologists with expertise in the biota being assessed, hydrologists, ecotoxicologists, microbiologists or other human health experts)</w:t>
      </w:r>
      <w:r w:rsidR="00A11A8D">
        <w:rPr>
          <w:rFonts w:cs="Arial"/>
        </w:rPr>
        <w:t xml:space="preserve"> can be incorporated into the risk assessment</w:t>
      </w:r>
      <w:r w:rsidR="00F256C1" w:rsidRPr="00DB300D">
        <w:rPr>
          <w:rFonts w:cs="Arial"/>
        </w:rPr>
        <w:t>. This may include the analysis and interpretation of biological data, including calculation of standard indices, expert interpretation of family or species data and multivariate analyses.</w:t>
      </w:r>
    </w:p>
    <w:p w14:paraId="1CC4907A" w14:textId="77777777" w:rsidR="00F256C1" w:rsidRPr="00DB300D" w:rsidRDefault="00F256C1" w:rsidP="00AA7232">
      <w:pPr>
        <w:pStyle w:val="Heading4"/>
      </w:pPr>
      <w:r w:rsidRPr="00DB300D">
        <w:t>Ecotoxicity testing</w:t>
      </w:r>
    </w:p>
    <w:p w14:paraId="3BE7632D" w14:textId="2238A19F" w:rsidR="00F256C1" w:rsidRPr="00DB300D" w:rsidRDefault="00F256C1" w:rsidP="00F256C1">
      <w:pPr>
        <w:spacing w:line="259" w:lineRule="auto"/>
        <w:rPr>
          <w:rFonts w:cs="Arial"/>
        </w:rPr>
      </w:pPr>
      <w:r w:rsidRPr="00DB300D">
        <w:rPr>
          <w:rFonts w:cs="Arial"/>
        </w:rPr>
        <w:t>This may include whole effluent toxicity (WET)</w:t>
      </w:r>
      <w:r w:rsidR="003A0723" w:rsidRPr="003A0723">
        <w:rPr>
          <w:rFonts w:cs="Arial"/>
        </w:rPr>
        <w:t xml:space="preserve"> </w:t>
      </w:r>
      <w:r w:rsidR="003A0723" w:rsidRPr="00DB300D">
        <w:rPr>
          <w:rFonts w:cs="Arial"/>
        </w:rPr>
        <w:t>testing</w:t>
      </w:r>
      <w:r w:rsidRPr="00DB300D">
        <w:rPr>
          <w:rFonts w:cs="Arial"/>
        </w:rPr>
        <w:t>, direct toxicity assessment (DTA) of the receiving waters (Chapman and van Dam, 2001) and/or toxicity identification evaluation (TIE).</w:t>
      </w:r>
    </w:p>
    <w:p w14:paraId="36D47A6F" w14:textId="77777777" w:rsidR="00F256C1" w:rsidRPr="00DB300D" w:rsidRDefault="00F256C1" w:rsidP="00AA7232">
      <w:pPr>
        <w:pStyle w:val="Heading4"/>
      </w:pPr>
      <w:r w:rsidRPr="00DB300D">
        <w:t>Quantitative predictive modelling, sensitivity analysis and management scenario</w:t>
      </w:r>
      <w:r>
        <w:t xml:space="preserve"> testing</w:t>
      </w:r>
    </w:p>
    <w:p w14:paraId="430ED5D9" w14:textId="17AB4CA8" w:rsidR="0018730A" w:rsidRDefault="007D2F9B" w:rsidP="00F256C1">
      <w:pPr>
        <w:spacing w:line="259" w:lineRule="auto"/>
        <w:rPr>
          <w:rFonts w:cs="Arial"/>
        </w:rPr>
      </w:pPr>
      <w:r>
        <w:rPr>
          <w:rFonts w:cs="Arial"/>
        </w:rPr>
        <w:t>This can include</w:t>
      </w:r>
      <w:r w:rsidR="00F256C1" w:rsidRPr="00DB300D">
        <w:rPr>
          <w:rFonts w:cs="Arial"/>
        </w:rPr>
        <w:t xml:space="preserve"> Bayesian networks, Monte Carlo analyses, regression models, quantitative structure-activity relationships, mathematical dynamic simulation models, </w:t>
      </w:r>
      <w:r w:rsidR="00AC5B68">
        <w:rPr>
          <w:rFonts w:cs="Arial"/>
        </w:rPr>
        <w:t xml:space="preserve">and </w:t>
      </w:r>
      <w:r w:rsidR="00F256C1" w:rsidRPr="00DB300D">
        <w:rPr>
          <w:rFonts w:cs="Arial"/>
        </w:rPr>
        <w:t xml:space="preserve">deterministic process models. </w:t>
      </w:r>
    </w:p>
    <w:p w14:paraId="2B2EBF5F" w14:textId="6EBD5CE8" w:rsidR="00F256C1" w:rsidRDefault="00F256C1" w:rsidP="00F256C1">
      <w:pPr>
        <w:spacing w:line="259" w:lineRule="auto"/>
        <w:rPr>
          <w:rFonts w:cs="Arial"/>
        </w:rPr>
      </w:pPr>
      <w:r w:rsidRPr="009E062D">
        <w:rPr>
          <w:rFonts w:cs="Arial"/>
        </w:rPr>
        <w:t xml:space="preserve">If risks and impacts cannot be properly evaluated at the risk analysis phase, it may be necessary to implement a more complex level of assessment. This may include </w:t>
      </w:r>
      <w:r w:rsidRPr="009E062D">
        <w:rPr>
          <w:rFonts w:cs="Arial"/>
          <w:bCs/>
        </w:rPr>
        <w:t>conducting further field investigations to fill knowledge gaps identified in the risk analysis, or further quantification of specific cause</w:t>
      </w:r>
      <w:r w:rsidR="002F58E8">
        <w:rPr>
          <w:rFonts w:cs="Arial"/>
          <w:bCs/>
        </w:rPr>
        <w:t>-</w:t>
      </w:r>
      <w:r w:rsidRPr="009E062D">
        <w:rPr>
          <w:rFonts w:cs="Arial"/>
          <w:bCs/>
        </w:rPr>
        <w:t>and</w:t>
      </w:r>
      <w:r w:rsidR="002F58E8">
        <w:rPr>
          <w:rFonts w:cs="Arial"/>
          <w:bCs/>
        </w:rPr>
        <w:t>-</w:t>
      </w:r>
      <w:r w:rsidRPr="009E062D">
        <w:rPr>
          <w:rFonts w:cs="Arial"/>
          <w:bCs/>
        </w:rPr>
        <w:t xml:space="preserve">effect relationships </w:t>
      </w:r>
      <w:r w:rsidRPr="009E062D">
        <w:rPr>
          <w:rFonts w:cs="Arial"/>
        </w:rPr>
        <w:t>(see section</w:t>
      </w:r>
      <w:r w:rsidR="008F5A2E">
        <w:rPr>
          <w:rFonts w:cs="Arial"/>
        </w:rPr>
        <w:t xml:space="preserve"> </w:t>
      </w:r>
      <w:r w:rsidR="008F5A2E" w:rsidRPr="008F5A2E">
        <w:rPr>
          <w:rFonts w:cs="Arial"/>
          <w:i/>
          <w:iCs/>
        </w:rPr>
        <w:fldChar w:fldCharType="begin"/>
      </w:r>
      <w:r w:rsidR="008F5A2E" w:rsidRPr="008F5A2E">
        <w:rPr>
          <w:rFonts w:cs="Arial"/>
          <w:i/>
          <w:iCs/>
        </w:rPr>
        <w:instrText xml:space="preserve"> REF _Ref88209736 \r \h </w:instrText>
      </w:r>
      <w:r w:rsidR="008F5A2E">
        <w:rPr>
          <w:rFonts w:cs="Arial"/>
          <w:i/>
          <w:iCs/>
        </w:rPr>
        <w:instrText xml:space="preserve"> \* MERGEFORMAT </w:instrText>
      </w:r>
      <w:r w:rsidR="008F5A2E" w:rsidRPr="008F5A2E">
        <w:rPr>
          <w:rFonts w:cs="Arial"/>
          <w:i/>
          <w:iCs/>
        </w:rPr>
      </w:r>
      <w:r w:rsidR="008F5A2E" w:rsidRPr="008F5A2E">
        <w:rPr>
          <w:rFonts w:cs="Arial"/>
          <w:i/>
          <w:iCs/>
        </w:rPr>
        <w:fldChar w:fldCharType="separate"/>
      </w:r>
      <w:r w:rsidR="00FD64B0">
        <w:rPr>
          <w:rFonts w:cs="Arial"/>
          <w:i/>
          <w:iCs/>
        </w:rPr>
        <w:t>3.1.6</w:t>
      </w:r>
      <w:r w:rsidR="008F5A2E" w:rsidRPr="008F5A2E">
        <w:rPr>
          <w:rFonts w:cs="Arial"/>
          <w:i/>
          <w:iCs/>
        </w:rPr>
        <w:fldChar w:fldCharType="end"/>
      </w:r>
      <w:r w:rsidRPr="009E062D">
        <w:rPr>
          <w:rFonts w:cs="Arial"/>
        </w:rPr>
        <w:t xml:space="preserve"> </w:t>
      </w:r>
      <w:r w:rsidR="00B836E1" w:rsidRPr="00375933">
        <w:rPr>
          <w:rFonts w:cs="Arial"/>
          <w:i/>
          <w:iCs/>
        </w:rPr>
        <w:fldChar w:fldCharType="begin"/>
      </w:r>
      <w:r w:rsidR="00B836E1" w:rsidRPr="00375933">
        <w:rPr>
          <w:rFonts w:cs="Arial"/>
          <w:i/>
          <w:iCs/>
        </w:rPr>
        <w:instrText xml:space="preserve"> REF _Ref88209736 \h </w:instrText>
      </w:r>
      <w:r w:rsidR="00787A97" w:rsidRPr="00375933">
        <w:rPr>
          <w:rFonts w:cs="Arial"/>
          <w:i/>
          <w:iCs/>
        </w:rPr>
        <w:instrText xml:space="preserve"> \* MERGEFORMAT </w:instrText>
      </w:r>
      <w:r w:rsidR="00B836E1" w:rsidRPr="00375933">
        <w:rPr>
          <w:rFonts w:cs="Arial"/>
          <w:i/>
          <w:iCs/>
        </w:rPr>
      </w:r>
      <w:r w:rsidR="00B836E1" w:rsidRPr="00375933">
        <w:rPr>
          <w:rFonts w:cs="Arial"/>
          <w:i/>
          <w:iCs/>
        </w:rPr>
        <w:fldChar w:fldCharType="separate"/>
      </w:r>
      <w:r w:rsidR="00FD64B0" w:rsidRPr="00FD64B0">
        <w:rPr>
          <w:i/>
          <w:iCs/>
        </w:rPr>
        <w:t>Risk analysis plan</w:t>
      </w:r>
      <w:r w:rsidR="00B836E1" w:rsidRPr="00375933">
        <w:rPr>
          <w:rFonts w:cs="Arial"/>
          <w:i/>
          <w:iCs/>
        </w:rPr>
        <w:fldChar w:fldCharType="end"/>
      </w:r>
      <w:r w:rsidRPr="009E062D">
        <w:rPr>
          <w:rFonts w:cs="Arial"/>
        </w:rPr>
        <w:t xml:space="preserve"> in this document for more information about developing a monitoring program).</w:t>
      </w:r>
      <w:r w:rsidRPr="009E062D">
        <w:rPr>
          <w:rFonts w:cs="Arial"/>
          <w:bCs/>
        </w:rPr>
        <w:t xml:space="preserve"> The new data and information obtained will then need to be incorporated </w:t>
      </w:r>
      <w:r w:rsidRPr="009E062D">
        <w:rPr>
          <w:rFonts w:cs="Arial"/>
        </w:rPr>
        <w:t xml:space="preserve">into the </w:t>
      </w:r>
      <w:r w:rsidRPr="009E062D">
        <w:rPr>
          <w:rFonts w:cs="Arial"/>
          <w:bCs/>
        </w:rPr>
        <w:t xml:space="preserve">conceptual model and an updated analysis plan will usually need to be developed. </w:t>
      </w:r>
      <w:r w:rsidRPr="009E062D">
        <w:rPr>
          <w:rFonts w:cs="Arial"/>
        </w:rPr>
        <w:t>A risk analysis may be terminated when the risks and management measures are understood.</w:t>
      </w:r>
    </w:p>
    <w:p w14:paraId="3B707BAD" w14:textId="77777777" w:rsidR="00F256C1" w:rsidRDefault="00F256C1" w:rsidP="00341E57">
      <w:pPr>
        <w:pStyle w:val="Heading3"/>
      </w:pPr>
      <w:bookmarkStart w:id="54" w:name="_Ref88211931"/>
      <w:bookmarkStart w:id="55" w:name="_Ref88212002"/>
      <w:bookmarkStart w:id="56" w:name="_Toc133938145"/>
      <w:r>
        <w:t>Special considerations for human health risk analysis</w:t>
      </w:r>
      <w:bookmarkEnd w:id="54"/>
      <w:bookmarkEnd w:id="55"/>
      <w:bookmarkEnd w:id="56"/>
    </w:p>
    <w:p w14:paraId="66C5F8F1" w14:textId="1083E420" w:rsidR="00590586" w:rsidRPr="000441F9" w:rsidRDefault="00F256C1" w:rsidP="00590586">
      <w:pPr>
        <w:spacing w:line="259" w:lineRule="auto"/>
      </w:pPr>
      <w:r w:rsidRPr="001556FD">
        <w:t>Health hazards from wastewater discharges are primarily related to waterborne pathogenic microorganisms, but they may also include chemicals that may have an</w:t>
      </w:r>
      <w:r w:rsidRPr="00114EFE">
        <w:rPr>
          <w:rFonts w:cs="Arial"/>
        </w:rPr>
        <w:t xml:space="preserve"> </w:t>
      </w:r>
      <w:r w:rsidRPr="001556FD">
        <w:rPr>
          <w:rFonts w:cs="Arial"/>
        </w:rPr>
        <w:t xml:space="preserve">adverse human health impact, particularly where discharges are from industrial facilities. </w:t>
      </w:r>
      <w:r w:rsidR="00590586" w:rsidRPr="000441F9">
        <w:t xml:space="preserve">Human health risk assessments require a certain level of quantitative assessment that environmental risk </w:t>
      </w:r>
      <w:r w:rsidR="00590586" w:rsidRPr="000441F9">
        <w:lastRenderedPageBreak/>
        <w:t>assessments may n</w:t>
      </w:r>
      <w:r w:rsidR="00590586" w:rsidRPr="00F8243D">
        <w:t>ot</w:t>
      </w:r>
      <w:r w:rsidR="00F11BBE" w:rsidRPr="00F8243D">
        <w:t xml:space="preserve"> need</w:t>
      </w:r>
      <w:r w:rsidR="00590586" w:rsidRPr="00F8243D">
        <w:t xml:space="preserve">. </w:t>
      </w:r>
      <w:r w:rsidR="00590586" w:rsidRPr="00F8243D">
        <w:rPr>
          <w:rFonts w:cs="Arial"/>
        </w:rPr>
        <w:t xml:space="preserve">Therefore, </w:t>
      </w:r>
      <w:r w:rsidR="002E3AAC" w:rsidRPr="00F8243D">
        <w:rPr>
          <w:rFonts w:cs="Arial"/>
        </w:rPr>
        <w:t xml:space="preserve">conducting a </w:t>
      </w:r>
      <w:r w:rsidR="00F74524" w:rsidRPr="00F8243D">
        <w:rPr>
          <w:rFonts w:cs="Arial"/>
        </w:rPr>
        <w:t>human health risk assessment</w:t>
      </w:r>
      <w:r w:rsidR="00346A19" w:rsidRPr="00F8243D">
        <w:rPr>
          <w:rFonts w:cs="Arial"/>
        </w:rPr>
        <w:t xml:space="preserve"> </w:t>
      </w:r>
      <w:r w:rsidR="002E3AAC" w:rsidRPr="00F8243D">
        <w:rPr>
          <w:rFonts w:cs="Arial"/>
        </w:rPr>
        <w:t xml:space="preserve">needs </w:t>
      </w:r>
      <w:r w:rsidR="00590586" w:rsidRPr="00F8243D">
        <w:rPr>
          <w:rFonts w:cs="Arial"/>
        </w:rPr>
        <w:t>suitabl</w:t>
      </w:r>
      <w:r w:rsidR="00F11BBE" w:rsidRPr="00F8243D">
        <w:rPr>
          <w:rFonts w:cs="Arial"/>
        </w:rPr>
        <w:t>e</w:t>
      </w:r>
      <w:r w:rsidR="00590586" w:rsidRPr="00F8243D">
        <w:rPr>
          <w:rFonts w:cs="Arial"/>
        </w:rPr>
        <w:t xml:space="preserve"> training</w:t>
      </w:r>
      <w:r w:rsidR="00590586" w:rsidRPr="000441F9">
        <w:rPr>
          <w:rFonts w:cs="Arial"/>
        </w:rPr>
        <w:t xml:space="preserve"> in relevant scientific fields (microbial and chemical).</w:t>
      </w:r>
    </w:p>
    <w:p w14:paraId="26391169" w14:textId="77777777" w:rsidR="00590586" w:rsidRPr="001556FD" w:rsidRDefault="00590586" w:rsidP="00590586">
      <w:pPr>
        <w:spacing w:line="259" w:lineRule="auto"/>
        <w:rPr>
          <w:rFonts w:cs="Arial"/>
        </w:rPr>
      </w:pPr>
      <w:r w:rsidRPr="000441F9">
        <w:rPr>
          <w:rFonts w:cs="Arial"/>
        </w:rPr>
        <w:t>It is important to note that water quality downstream of a discharge may be beyond the water corporation's control. For that reason, levels at the point of discharge (adjusted for dilution) should be considered when assessing the risk. This provides an estimate of excess risks that can be attributed to the discharge.</w:t>
      </w:r>
    </w:p>
    <w:p w14:paraId="4E3FF4E1" w14:textId="6D8690B9" w:rsidR="00FC6D18" w:rsidRDefault="00F256C1" w:rsidP="003A7F35">
      <w:pPr>
        <w:rPr>
          <w:rFonts w:cs="Arial"/>
        </w:rPr>
      </w:pPr>
      <w:r w:rsidRPr="001556FD">
        <w:rPr>
          <w:rFonts w:cs="Arial"/>
        </w:rPr>
        <w:t>The procedural steps for assessing microbial risks to human health are described in</w:t>
      </w:r>
      <w:r w:rsidR="009034E0">
        <w:rPr>
          <w:rFonts w:cs="Arial"/>
        </w:rPr>
        <w:t xml:space="preserve"> </w:t>
      </w:r>
      <w:r w:rsidR="00F21050">
        <w:rPr>
          <w:rFonts w:asciiTheme="majorHAnsi" w:hAnsiTheme="majorHAnsi"/>
        </w:rPr>
        <w:t>Appendix C</w:t>
      </w:r>
      <w:r w:rsidRPr="001556FD">
        <w:rPr>
          <w:rFonts w:cs="Arial"/>
        </w:rPr>
        <w:t xml:space="preserve"> in this document. </w:t>
      </w:r>
    </w:p>
    <w:p w14:paraId="71156A70" w14:textId="45F3A90C" w:rsidR="003A7F35" w:rsidRPr="000441F9" w:rsidRDefault="00F256C1" w:rsidP="003A7F35">
      <w:r w:rsidRPr="001556FD">
        <w:rPr>
          <w:rFonts w:cs="Arial"/>
        </w:rPr>
        <w:t>There are two distinct phases in human health risk analysis</w:t>
      </w:r>
      <w:r w:rsidR="000D2217">
        <w:rPr>
          <w:rFonts w:cs="Arial"/>
        </w:rPr>
        <w:t>:</w:t>
      </w:r>
      <w:r w:rsidRPr="001556FD">
        <w:rPr>
          <w:rFonts w:cs="Arial"/>
        </w:rPr>
        <w:t xml:space="preserve"> exposure assessment and health effect/hazard assessment. </w:t>
      </w:r>
      <w:r w:rsidR="003A7F35" w:rsidRPr="000441F9">
        <w:t xml:space="preserve">While chemical risks should be assessed following a similar approach, the scope of the </w:t>
      </w:r>
      <w:r w:rsidR="008A4A78">
        <w:t>Q</w:t>
      </w:r>
      <w:r w:rsidR="00191756">
        <w:t xml:space="preserve">MRA </w:t>
      </w:r>
      <w:r w:rsidR="003A7F35" w:rsidRPr="000441F9">
        <w:t xml:space="preserve">approach described in </w:t>
      </w:r>
      <w:r w:rsidR="00F21050">
        <w:rPr>
          <w:rFonts w:asciiTheme="majorHAnsi" w:hAnsiTheme="majorHAnsi"/>
        </w:rPr>
        <w:t>Appendix C</w:t>
      </w:r>
      <w:r w:rsidR="00F21050" w:rsidRPr="001556FD">
        <w:rPr>
          <w:rFonts w:cs="Arial"/>
        </w:rPr>
        <w:t xml:space="preserve"> </w:t>
      </w:r>
      <w:r w:rsidR="003A7F35" w:rsidRPr="000441F9">
        <w:t xml:space="preserve">is to assess microbial risks only. </w:t>
      </w:r>
    </w:p>
    <w:p w14:paraId="07AD5271" w14:textId="77777777" w:rsidR="00F256C1" w:rsidRPr="005A598D" w:rsidRDefault="00F256C1" w:rsidP="00AA7232">
      <w:pPr>
        <w:pStyle w:val="Heading4"/>
      </w:pPr>
      <w:r w:rsidRPr="005A598D">
        <w:t>Exposure assessment</w:t>
      </w:r>
    </w:p>
    <w:p w14:paraId="1F40645D" w14:textId="77777777" w:rsidR="00F256C1" w:rsidRPr="005A598D" w:rsidRDefault="00F256C1" w:rsidP="00F256C1">
      <w:pPr>
        <w:spacing w:line="259" w:lineRule="auto"/>
        <w:rPr>
          <w:rFonts w:cs="Arial"/>
        </w:rPr>
      </w:pPr>
      <w:r w:rsidRPr="005A598D">
        <w:rPr>
          <w:rFonts w:cs="Arial"/>
        </w:rPr>
        <w:t xml:space="preserve">Exposure assessment must consider the exposure pathway, which includes: </w:t>
      </w:r>
    </w:p>
    <w:p w14:paraId="0456F6D1" w14:textId="77777777" w:rsidR="00F256C1" w:rsidRPr="006F1C84" w:rsidRDefault="00F256C1" w:rsidP="006F1C84">
      <w:pPr>
        <w:pStyle w:val="ListBullet"/>
      </w:pPr>
      <w:r w:rsidRPr="006F1C84">
        <w:t>the pollutant source or release</w:t>
      </w:r>
    </w:p>
    <w:p w14:paraId="174757CA" w14:textId="77777777" w:rsidR="00F256C1" w:rsidRPr="006F1C84" w:rsidRDefault="00F256C1" w:rsidP="006F1C84">
      <w:pPr>
        <w:pStyle w:val="ListBullet"/>
      </w:pPr>
      <w:bookmarkStart w:id="57" w:name="_Int_v8jQJVDs"/>
      <w:r w:rsidRPr="006F1C84">
        <w:t>the environmental</w:t>
      </w:r>
      <w:bookmarkEnd w:id="57"/>
      <w:r w:rsidRPr="006F1C84">
        <w:t xml:space="preserve"> fate and transport</w:t>
      </w:r>
    </w:p>
    <w:p w14:paraId="26FFAC23" w14:textId="77777777" w:rsidR="00F256C1" w:rsidRPr="006F1C84" w:rsidRDefault="00F256C1" w:rsidP="006F1C84">
      <w:pPr>
        <w:pStyle w:val="ListBullet"/>
      </w:pPr>
      <w:r w:rsidRPr="006F1C84">
        <w:t xml:space="preserve">the exposure point or area, which are the location(s) where people might come into contact with a pollutant </w:t>
      </w:r>
    </w:p>
    <w:p w14:paraId="397B86B1" w14:textId="77777777" w:rsidR="00F256C1" w:rsidRPr="006F1C84" w:rsidRDefault="00F256C1" w:rsidP="006F1C84">
      <w:pPr>
        <w:pStyle w:val="ListBullet"/>
      </w:pPr>
      <w:r w:rsidRPr="006F1C84">
        <w:t xml:space="preserve">the exposure route (inhalation, ingestion or dermal contact) </w:t>
      </w:r>
    </w:p>
    <w:p w14:paraId="1F988098" w14:textId="53FA3A59" w:rsidR="00F256C1" w:rsidRPr="006F1C84" w:rsidRDefault="00F256C1" w:rsidP="006F1C84">
      <w:pPr>
        <w:pStyle w:val="ListBullet"/>
      </w:pPr>
      <w:r w:rsidRPr="006F1C84">
        <w:t xml:space="preserve">the potentially exposed population. </w:t>
      </w:r>
    </w:p>
    <w:p w14:paraId="388A1CDD" w14:textId="3A2EC992" w:rsidR="00F256C1" w:rsidRDefault="00F256C1" w:rsidP="00F256C1">
      <w:pPr>
        <w:spacing w:line="259" w:lineRule="auto"/>
        <w:rPr>
          <w:rFonts w:cs="Arial"/>
        </w:rPr>
      </w:pPr>
      <w:r w:rsidRPr="005A598D">
        <w:rPr>
          <w:rFonts w:cs="Arial"/>
        </w:rPr>
        <w:t>These five points will determine to what extent exposure is occurring. All five points must be present for an exposure pathway to be complete.</w:t>
      </w:r>
    </w:p>
    <w:p w14:paraId="5009D898" w14:textId="21D79D20" w:rsidR="00D4654E" w:rsidRPr="00A87A59" w:rsidRDefault="00D4654E" w:rsidP="00D4654E">
      <w:r w:rsidRPr="00D4654E">
        <w:t>Please note that indicative values for calculating risks presente</w:t>
      </w:r>
      <w:r w:rsidR="00711F23">
        <w:t>d</w:t>
      </w:r>
      <w:r w:rsidRPr="00D4654E">
        <w:t xml:space="preserve"> in</w:t>
      </w:r>
      <w:r w:rsidR="009024B4">
        <w:t xml:space="preserve"> Appendix C </w:t>
      </w:r>
      <w:r w:rsidRPr="00D4654E">
        <w:t xml:space="preserve">may change as knowledge in the field increases. For that reason, readers should refer to the latest version of the </w:t>
      </w:r>
      <w:r w:rsidRPr="004B788D">
        <w:rPr>
          <w:i/>
          <w:iCs/>
        </w:rPr>
        <w:t xml:space="preserve">Australian Guidelines for Water Recycling </w:t>
      </w:r>
      <w:r w:rsidR="002141CB" w:rsidRPr="10077A7C">
        <w:rPr>
          <w:rFonts w:cs="Arial"/>
        </w:rPr>
        <w:t>(NRMMC et al., 2006, 2008)</w:t>
      </w:r>
      <w:r w:rsidR="002141CB">
        <w:rPr>
          <w:rFonts w:cs="Arial"/>
        </w:rPr>
        <w:t xml:space="preserve"> </w:t>
      </w:r>
      <w:r w:rsidRPr="00D4654E">
        <w:t>as the point of truth when calculating risks.</w:t>
      </w:r>
    </w:p>
    <w:p w14:paraId="2582155E" w14:textId="77777777" w:rsidR="00F256C1" w:rsidRPr="005A598D" w:rsidRDefault="00F256C1" w:rsidP="00AA7232">
      <w:pPr>
        <w:pStyle w:val="Heading4"/>
      </w:pPr>
      <w:r w:rsidRPr="005A598D">
        <w:t>Health effect/hazard assessment</w:t>
      </w:r>
    </w:p>
    <w:p w14:paraId="0A7A6AC7" w14:textId="77777777" w:rsidR="00F256C1" w:rsidRPr="005A598D" w:rsidRDefault="00F256C1" w:rsidP="00F256C1">
      <w:pPr>
        <w:spacing w:line="259" w:lineRule="auto"/>
        <w:rPr>
          <w:rFonts w:cs="Arial"/>
        </w:rPr>
      </w:pPr>
      <w:r w:rsidRPr="005A598D">
        <w:rPr>
          <w:rFonts w:cs="Arial"/>
        </w:rPr>
        <w:t>Health effect assessments are based on the relationship between the ingested dose of pathogen or chemical and the probability of developing an infection or illness, which are derived from known human feeding studies and scientific investigations. Dose-response assessments can be limited due to dose-response data being unavailable for many pathogens or chemicals. In the absence of dose-response data, assessments can be performed using relevant data from the literature and/or relevant surrogates.</w:t>
      </w:r>
    </w:p>
    <w:p w14:paraId="155F0D8B" w14:textId="77777777" w:rsidR="00F256C1" w:rsidRPr="005A598D" w:rsidRDefault="00F256C1" w:rsidP="00F256C1">
      <w:pPr>
        <w:spacing w:line="259" w:lineRule="auto"/>
        <w:rPr>
          <w:rFonts w:eastAsia="Times New Roman" w:cs="Arial"/>
          <w:color w:val="000000"/>
          <w:lang w:eastAsia="en-AU"/>
        </w:rPr>
      </w:pPr>
      <w:r w:rsidRPr="005A598D">
        <w:rPr>
          <w:rFonts w:cs="Arial"/>
        </w:rPr>
        <w:t xml:space="preserve">In chemical risk assessment, the hazard assessment stage uses the hazard identified to develop a toxicological profile and toxicity reference values for use in risk assessment. In practice, the hazard assessment stage often comprises a toxicological review of already </w:t>
      </w:r>
      <w:r w:rsidRPr="005A598D">
        <w:rPr>
          <w:rFonts w:cs="Arial"/>
        </w:rPr>
        <w:lastRenderedPageBreak/>
        <w:t xml:space="preserve">available toxicity reference numbers that can be used in risk assessment. </w:t>
      </w:r>
      <w:r w:rsidRPr="005A598D">
        <w:rPr>
          <w:rFonts w:eastAsia="Times New Roman" w:cs="Arial"/>
          <w:color w:val="000000"/>
          <w:lang w:eastAsia="en-AU"/>
        </w:rPr>
        <w:t>Further and more general guidance on toxicity assessment is provided in enHealth (2012).</w:t>
      </w:r>
    </w:p>
    <w:p w14:paraId="7A973847" w14:textId="77ECD24F" w:rsidR="00F256C1" w:rsidRDefault="00F256C1" w:rsidP="00F256C1">
      <w:pPr>
        <w:shd w:val="clear" w:color="auto" w:fill="FFFFFF"/>
        <w:spacing w:line="260" w:lineRule="atLeast"/>
        <w:rPr>
          <w:rFonts w:cs="Arial"/>
        </w:rPr>
      </w:pPr>
      <w:r w:rsidRPr="005A598D">
        <w:rPr>
          <w:rFonts w:cs="Arial"/>
        </w:rPr>
        <w:t>Special considerations to vulnerable populations (such as children, pregnant women, elderly and otherwise immunocompromised individuals) may be required during a health effect assessment.</w:t>
      </w:r>
    </w:p>
    <w:p w14:paraId="1656F122" w14:textId="77777777" w:rsidR="00F256C1" w:rsidRPr="00237F31" w:rsidRDefault="00F256C1" w:rsidP="00AA7232">
      <w:pPr>
        <w:pStyle w:val="Heading4"/>
        <w:rPr>
          <w:rFonts w:cs="Arial"/>
        </w:rPr>
      </w:pPr>
      <w:r w:rsidRPr="00237F31">
        <w:t>Practical considerations for human health risk analysis</w:t>
      </w:r>
    </w:p>
    <w:p w14:paraId="206D6A37" w14:textId="77777777" w:rsidR="00F256C1" w:rsidRPr="00237F31" w:rsidRDefault="00F256C1" w:rsidP="006F1C84">
      <w:pPr>
        <w:pStyle w:val="ListBullet"/>
      </w:pPr>
      <w:r w:rsidRPr="00237F31">
        <w:rPr>
          <w:b/>
          <w:bCs/>
        </w:rPr>
        <w:t>Identify potential hazards during problem formulation</w:t>
      </w:r>
      <w:r w:rsidRPr="00237F31">
        <w:t xml:space="preserve">. The chemicals/pathogens present in the wastewater will change depending on the source of the waste (human, animal or industrial). As it is not feasible to test for all potential pathogens present, reference pathogens based on local conditions, source characteristics and exposure pathways should be selected for the assessment. </w:t>
      </w:r>
    </w:p>
    <w:p w14:paraId="209070B0" w14:textId="527344FD" w:rsidR="00F256C1" w:rsidRPr="00237F31" w:rsidRDefault="00F256C1" w:rsidP="006F1C84">
      <w:pPr>
        <w:pStyle w:val="ListBullet"/>
      </w:pPr>
      <w:r w:rsidRPr="00237F31">
        <w:rPr>
          <w:b/>
          <w:bCs/>
        </w:rPr>
        <w:t>Consider how barriers/controls/treatments can reduce risk</w:t>
      </w:r>
      <w:r w:rsidRPr="00237F31">
        <w:t>. The wastewater treatment plant</w:t>
      </w:r>
      <w:r w:rsidR="00CD35C6">
        <w:t>’s</w:t>
      </w:r>
      <w:r w:rsidRPr="00237F31">
        <w:t xml:space="preserve"> performance in reducing these hazards must be assessed so that the residual levels of pathogens in the discharge can be determined. The plant performance in removing microbial indicators (reported as a log reduction value – LRV) is an important factor to consider when assessing the plant performance. This should include the total LRV for the plant and each individual treatment within the process train.</w:t>
      </w:r>
    </w:p>
    <w:p w14:paraId="603FC5F6" w14:textId="21A8904A" w:rsidR="00F256C1" w:rsidRPr="00237F31" w:rsidRDefault="00F256C1" w:rsidP="006F1C84">
      <w:pPr>
        <w:pStyle w:val="ListBullet"/>
      </w:pPr>
      <w:r w:rsidRPr="00237F31">
        <w:rPr>
          <w:b/>
          <w:bCs/>
        </w:rPr>
        <w:t>Determine fate of hazard.</w:t>
      </w:r>
      <w:r w:rsidRPr="00237F31">
        <w:t xml:space="preserve"> When considering the environmental fate and transport of the hazard, the likely fate of pathogens considering dilution factors, die-off and local hydrodynamic conditions should be determined. Similarly for chemicals</w:t>
      </w:r>
      <w:r w:rsidR="00C9502B">
        <w:t>,</w:t>
      </w:r>
      <w:r w:rsidRPr="00237F31">
        <w:t xml:space="preserve"> dilution, degradation and volatilisation may be considerations. </w:t>
      </w:r>
    </w:p>
    <w:p w14:paraId="099A46C9" w14:textId="29DBD1A8" w:rsidR="00F256C1" w:rsidRPr="00237F31" w:rsidRDefault="00F256C1" w:rsidP="006F1C84">
      <w:pPr>
        <w:pStyle w:val="ListBullet"/>
      </w:pPr>
      <w:r w:rsidRPr="10077A7C">
        <w:rPr>
          <w:b/>
          <w:bCs/>
        </w:rPr>
        <w:t>Identify environmental values.</w:t>
      </w:r>
      <w:r w:rsidRPr="10077A7C">
        <w:t xml:space="preserve"> The human health risk assessment must identify the environmental values of the receiving waters, such </w:t>
      </w:r>
      <w:r w:rsidR="6C9E7267" w:rsidRPr="10077A7C">
        <w:t>as</w:t>
      </w:r>
      <w:r w:rsidRPr="10077A7C">
        <w:t xml:space="preserve"> water-based recreation (primary and secondary contact), aquaculture (such as shellfish harvesting for human consumption</w:t>
      </w:r>
      <w:bookmarkStart w:id="58" w:name="_Int_J4cvquet"/>
      <w:r w:rsidRPr="10077A7C">
        <w:t>)</w:t>
      </w:r>
      <w:bookmarkEnd w:id="58"/>
      <w:r w:rsidR="00A754A3">
        <w:t>,</w:t>
      </w:r>
      <w:r w:rsidRPr="10077A7C">
        <w:t xml:space="preserve"> and agriculture uses. These examples may have potential impacts </w:t>
      </w:r>
      <w:bookmarkStart w:id="59" w:name="_Int_WXdszIcM"/>
      <w:r w:rsidRPr="10077A7C">
        <w:t>to</w:t>
      </w:r>
      <w:bookmarkEnd w:id="59"/>
      <w:r w:rsidRPr="10077A7C">
        <w:t xml:space="preserve"> human health through direct and indirect exposure to pathogens or chemicals. </w:t>
      </w:r>
    </w:p>
    <w:p w14:paraId="086E6217" w14:textId="6DE2411A" w:rsidR="00115730" w:rsidRPr="008D6529" w:rsidRDefault="00F256C1" w:rsidP="006F1C84">
      <w:pPr>
        <w:pStyle w:val="ListBullet"/>
      </w:pPr>
      <w:r w:rsidRPr="10077A7C">
        <w:rPr>
          <w:b/>
          <w:bCs/>
        </w:rPr>
        <w:t>Quantify risk for exposed population.</w:t>
      </w:r>
      <w:r w:rsidRPr="10077A7C">
        <w:t xml:space="preserve"> In the first instance, a risk assessor should quantify what the risk is for an exposed population using data from </w:t>
      </w:r>
      <w:bookmarkStart w:id="60" w:name="_Int_uqTveABJ"/>
      <w:r w:rsidRPr="10077A7C">
        <w:t>the literature</w:t>
      </w:r>
      <w:bookmarkEnd w:id="60"/>
      <w:r w:rsidRPr="10077A7C">
        <w:t>, surrogates and conservative assumptions. This may involve using a likely volume of water ingested or inhaled and existing dose-response models or known minimum infectious doses. More complex risk assessment methodology can be used if warranted.</w:t>
      </w:r>
    </w:p>
    <w:p w14:paraId="00978392" w14:textId="77777777" w:rsidR="00F256C1" w:rsidRPr="003217F2" w:rsidRDefault="00F256C1" w:rsidP="00341E57">
      <w:pPr>
        <w:pStyle w:val="Heading3"/>
      </w:pPr>
      <w:bookmarkStart w:id="61" w:name="_Ref88213874"/>
      <w:bookmarkStart w:id="62" w:name="_Ref88218393"/>
      <w:bookmarkStart w:id="63" w:name="_Toc133938146"/>
      <w:bookmarkStart w:id="64" w:name="_Ref66738088"/>
      <w:bookmarkStart w:id="65" w:name="_Toc87369275"/>
      <w:r w:rsidRPr="003217F2">
        <w:t>Uncertainty analysis</w:t>
      </w:r>
      <w:bookmarkEnd w:id="61"/>
      <w:bookmarkEnd w:id="62"/>
      <w:bookmarkEnd w:id="63"/>
    </w:p>
    <w:bookmarkEnd w:id="64"/>
    <w:bookmarkEnd w:id="65"/>
    <w:p w14:paraId="4F9F18EF" w14:textId="77777777" w:rsidR="00F256C1" w:rsidRPr="00237F31" w:rsidRDefault="00F256C1" w:rsidP="00F256C1">
      <w:pPr>
        <w:spacing w:line="259" w:lineRule="auto"/>
        <w:rPr>
          <w:rFonts w:cs="Arial"/>
          <w:shd w:val="clear" w:color="auto" w:fill="FFCC00"/>
        </w:rPr>
      </w:pPr>
      <w:r w:rsidRPr="00237F31">
        <w:rPr>
          <w:rFonts w:cs="Arial"/>
        </w:rPr>
        <w:t>The interactions within waterbodies, particularly ecosystem interactions, are not always fully understood. Even when understanding is high, a degree of uncertainty exists with all data and information and their analyses. Furthermore, there is a natural variability in all aquatic system processes.</w:t>
      </w:r>
      <w:r w:rsidRPr="00237F31">
        <w:rPr>
          <w:rFonts w:cs="Arial"/>
          <w:shd w:val="clear" w:color="auto" w:fill="FFCC00"/>
        </w:rPr>
        <w:t xml:space="preserve"> </w:t>
      </w:r>
    </w:p>
    <w:p w14:paraId="258C58B3" w14:textId="44F4BE0C" w:rsidR="00F256C1" w:rsidRPr="0026373A" w:rsidRDefault="00F256C1" w:rsidP="00F256C1">
      <w:pPr>
        <w:spacing w:line="259" w:lineRule="auto"/>
        <w:rPr>
          <w:rFonts w:cs="Arial"/>
        </w:rPr>
      </w:pPr>
      <w:r w:rsidRPr="00237F31">
        <w:rPr>
          <w:rFonts w:cs="Arial"/>
        </w:rPr>
        <w:t>There are limitations in the type and amount of data that are available or can be collected</w:t>
      </w:r>
      <w:r w:rsidR="00365A0C">
        <w:rPr>
          <w:rFonts w:cs="Arial"/>
        </w:rPr>
        <w:t>,</w:t>
      </w:r>
      <w:r w:rsidRPr="00237F31">
        <w:rPr>
          <w:rFonts w:cs="Arial"/>
        </w:rPr>
        <w:t xml:space="preserve"> and uncertainties associated with the accuracy and/or quality of this data. In addition, there are uncertainties and limitations associated with different methods used for analysing the </w:t>
      </w:r>
      <w:r w:rsidRPr="00237F31">
        <w:rPr>
          <w:rFonts w:cs="Arial"/>
        </w:rPr>
        <w:lastRenderedPageBreak/>
        <w:t>data and information. For these reasons, uncertainties in the data and information from the problem formulation and risk analysis phases should be identified,</w:t>
      </w:r>
      <w:r w:rsidRPr="00204CFC">
        <w:rPr>
          <w:rFonts w:cs="Arial"/>
        </w:rPr>
        <w:t xml:space="preserve"> </w:t>
      </w:r>
      <w:r w:rsidRPr="0026373A">
        <w:rPr>
          <w:rFonts w:cs="Arial"/>
        </w:rPr>
        <w:t xml:space="preserve">estimated and described. This provides transparency and credibility for the assessment and confidence that more informed and appropriate management decisions can be made. The uncertainty analysis should include: </w:t>
      </w:r>
    </w:p>
    <w:p w14:paraId="1433A219" w14:textId="77777777" w:rsidR="00F256C1" w:rsidRPr="0026373A" w:rsidRDefault="00F256C1" w:rsidP="00695C1B">
      <w:pPr>
        <w:pStyle w:val="ListBullet"/>
      </w:pPr>
      <w:r w:rsidRPr="0026373A">
        <w:t>identification and description of any key knowledge gaps</w:t>
      </w:r>
    </w:p>
    <w:p w14:paraId="1BDE4F1C" w14:textId="77777777" w:rsidR="00F256C1" w:rsidRPr="0026373A" w:rsidRDefault="00F256C1" w:rsidP="00695C1B">
      <w:pPr>
        <w:pStyle w:val="ListBullet"/>
      </w:pPr>
      <w:r w:rsidRPr="0026373A">
        <w:t>identification of assumptions made in the risk analysis and the rationale for these assumptions</w:t>
      </w:r>
    </w:p>
    <w:p w14:paraId="3A8D973A" w14:textId="77777777" w:rsidR="00F256C1" w:rsidRPr="0026373A" w:rsidRDefault="00F256C1" w:rsidP="00695C1B">
      <w:pPr>
        <w:pStyle w:val="ListBullet"/>
      </w:pPr>
      <w:r w:rsidRPr="0026373A">
        <w:t>identification and description of data limitations. This includes limitations in both the type and amount of data available and uncertainties in the accuracy and/or quality of the data</w:t>
      </w:r>
    </w:p>
    <w:p w14:paraId="64EF4C6F" w14:textId="77777777" w:rsidR="00F256C1" w:rsidRPr="0026373A" w:rsidRDefault="00F256C1" w:rsidP="00695C1B">
      <w:pPr>
        <w:pStyle w:val="ListBullet"/>
      </w:pPr>
      <w:r w:rsidRPr="0026373A">
        <w:t>identification and description of the strengths and limitations of the analysis methods and models used</w:t>
      </w:r>
    </w:p>
    <w:p w14:paraId="745AF2FD" w14:textId="3DF2B9C3" w:rsidR="00F256C1" w:rsidRPr="00F21050" w:rsidRDefault="00F256C1" w:rsidP="00695C1B">
      <w:pPr>
        <w:pStyle w:val="ListBullet"/>
      </w:pPr>
      <w:r w:rsidRPr="0026373A">
        <w:t>where possible, quantitative estimates of the uncertainties in the analyses conducted.</w:t>
      </w:r>
    </w:p>
    <w:p w14:paraId="6028BC35" w14:textId="77777777" w:rsidR="00F256C1" w:rsidRDefault="00F256C1" w:rsidP="00F256C1">
      <w:pPr>
        <w:spacing w:line="259" w:lineRule="auto"/>
        <w:rPr>
          <w:rFonts w:cs="Arial"/>
        </w:rPr>
      </w:pPr>
      <w:r w:rsidRPr="0026373A">
        <w:rPr>
          <w:rFonts w:cs="Arial"/>
        </w:rPr>
        <w:t>More information on assessing uncertainties in risk assessment can be found in Warren-Hicks and Moore (1998), US EPA (1998), Burgman (2005), Hart et al. (2005) and Suter (2006).</w:t>
      </w:r>
    </w:p>
    <w:p w14:paraId="15C93777" w14:textId="77777777" w:rsidR="00F256C1" w:rsidRPr="00212547" w:rsidRDefault="00F256C1" w:rsidP="00917DCC">
      <w:pPr>
        <w:pStyle w:val="Heading2"/>
        <w:rPr>
          <w:rFonts w:eastAsiaTheme="minorHAnsi" w:cstheme="minorBidi"/>
          <w:lang w:val="en-US"/>
        </w:rPr>
      </w:pPr>
      <w:bookmarkStart w:id="66" w:name="_Toc133938147"/>
      <w:r>
        <w:t>Risk characterisation</w:t>
      </w:r>
      <w:bookmarkEnd w:id="66"/>
    </w:p>
    <w:p w14:paraId="63618D85" w14:textId="70FD14AA" w:rsidR="00F256C1" w:rsidRPr="0026373A" w:rsidRDefault="00F256C1" w:rsidP="00F256C1">
      <w:pPr>
        <w:spacing w:line="259" w:lineRule="auto"/>
        <w:rPr>
          <w:rFonts w:cs="Arial"/>
        </w:rPr>
      </w:pPr>
      <w:r w:rsidRPr="0026373A">
        <w:t>Risk characteri</w:t>
      </w:r>
      <w:r w:rsidR="001E04DC">
        <w:t>s</w:t>
      </w:r>
      <w:r w:rsidRPr="0026373A">
        <w:t>ation presents the results of the risk analysis and is intended to respond to the risk managers’ needs.</w:t>
      </w:r>
    </w:p>
    <w:p w14:paraId="307F177C" w14:textId="77777777" w:rsidR="00F256C1" w:rsidRPr="0026373A" w:rsidRDefault="00F256C1" w:rsidP="00F256C1">
      <w:pPr>
        <w:spacing w:line="259" w:lineRule="auto"/>
        <w:rPr>
          <w:rFonts w:cs="Arial"/>
        </w:rPr>
      </w:pPr>
      <w:r w:rsidRPr="0026373A">
        <w:rPr>
          <w:rFonts w:cs="Arial"/>
        </w:rPr>
        <w:t>The main outputs from the risk characterisation phase need to be clearly reported to risk managers and decision makers. Therefore, all risk characterisation reports need to contain:</w:t>
      </w:r>
    </w:p>
    <w:p w14:paraId="16B4C6AB" w14:textId="100358AE" w:rsidR="00F256C1" w:rsidRPr="0026373A" w:rsidRDefault="00F256C1" w:rsidP="00917DCC">
      <w:pPr>
        <w:pStyle w:val="ListBullet"/>
      </w:pPr>
      <w:r w:rsidRPr="0026373A">
        <w:t>identification of what the risks are to each of the environmental values of the receiving waters</w:t>
      </w:r>
      <w:r w:rsidR="00590A58">
        <w:t xml:space="preserve">, </w:t>
      </w:r>
      <w:r w:rsidR="00D91E69">
        <w:t>including</w:t>
      </w:r>
      <w:r w:rsidR="00590A58">
        <w:t xml:space="preserve"> cumulative </w:t>
      </w:r>
      <w:r w:rsidR="00D91E69">
        <w:t>risks from multiple pollution sources</w:t>
      </w:r>
    </w:p>
    <w:p w14:paraId="303640B3" w14:textId="5AB436C1" w:rsidR="00F256C1" w:rsidRPr="0026373A" w:rsidRDefault="00F256C1" w:rsidP="00917DCC">
      <w:pPr>
        <w:pStyle w:val="ListBullet"/>
      </w:pPr>
      <w:r w:rsidRPr="0026373A">
        <w:t xml:space="preserve">each risk </w:t>
      </w:r>
      <w:r w:rsidR="00263D4F">
        <w:t xml:space="preserve">with </w:t>
      </w:r>
      <w:r w:rsidRPr="0026373A">
        <w:t>an evaluation of the level of change or impact to the environmental value and likelihood of the risk occurring, including the conditions under which the risk is likely to occur</w:t>
      </w:r>
    </w:p>
    <w:p w14:paraId="2C5CDDCF" w14:textId="77777777" w:rsidR="00F256C1" w:rsidRPr="0026373A" w:rsidRDefault="00F256C1" w:rsidP="00917DCC">
      <w:pPr>
        <w:pStyle w:val="ListBullet"/>
      </w:pPr>
      <w:r w:rsidRPr="0026373A">
        <w:t>identification and evaluation of the interactions between the risks identified</w:t>
      </w:r>
    </w:p>
    <w:p w14:paraId="01B60C52" w14:textId="77777777" w:rsidR="00F256C1" w:rsidRPr="0026373A" w:rsidRDefault="00F256C1" w:rsidP="00917DCC">
      <w:pPr>
        <w:pStyle w:val="ListBullet"/>
      </w:pPr>
      <w:r w:rsidRPr="0026373A">
        <w:t>comparison and prioritisation of the risks identified</w:t>
      </w:r>
    </w:p>
    <w:p w14:paraId="40034928" w14:textId="117D90FC" w:rsidR="00F256C1" w:rsidRPr="0026373A" w:rsidRDefault="00F256C1" w:rsidP="00917DCC">
      <w:pPr>
        <w:pStyle w:val="ListBullet"/>
      </w:pPr>
      <w:r w:rsidRPr="0026373A">
        <w:t>reporting of the assumptions, uncertainties (see section</w:t>
      </w:r>
      <w:r w:rsidR="008F5A2E">
        <w:t xml:space="preserve"> </w:t>
      </w:r>
      <w:r w:rsidR="008F5A2E" w:rsidRPr="008F5A2E">
        <w:rPr>
          <w:i/>
          <w:iCs/>
        </w:rPr>
        <w:fldChar w:fldCharType="begin"/>
      </w:r>
      <w:r w:rsidR="008F5A2E" w:rsidRPr="008F5A2E">
        <w:rPr>
          <w:i/>
          <w:iCs/>
        </w:rPr>
        <w:instrText xml:space="preserve"> REF _Ref88213874 \r \h </w:instrText>
      </w:r>
      <w:r w:rsidR="008F5A2E">
        <w:rPr>
          <w:i/>
          <w:iCs/>
        </w:rPr>
        <w:instrText xml:space="preserve"> \* MERGEFORMAT </w:instrText>
      </w:r>
      <w:r w:rsidR="008F5A2E" w:rsidRPr="008F5A2E">
        <w:rPr>
          <w:i/>
          <w:iCs/>
        </w:rPr>
      </w:r>
      <w:r w:rsidR="008F5A2E" w:rsidRPr="008F5A2E">
        <w:rPr>
          <w:i/>
          <w:iCs/>
        </w:rPr>
        <w:fldChar w:fldCharType="separate"/>
      </w:r>
      <w:r w:rsidR="00FD64B0">
        <w:rPr>
          <w:i/>
          <w:iCs/>
        </w:rPr>
        <w:t>3.2.6</w:t>
      </w:r>
      <w:r w:rsidR="008F5A2E" w:rsidRPr="008F5A2E">
        <w:rPr>
          <w:i/>
          <w:iCs/>
        </w:rPr>
        <w:fldChar w:fldCharType="end"/>
      </w:r>
      <w:r w:rsidR="00DD123D">
        <w:t xml:space="preserve"> </w:t>
      </w:r>
      <w:r w:rsidR="00C01C95" w:rsidRPr="00375933">
        <w:rPr>
          <w:i/>
          <w:iCs/>
        </w:rPr>
        <w:fldChar w:fldCharType="begin"/>
      </w:r>
      <w:r w:rsidR="00C01C95" w:rsidRPr="00375933">
        <w:rPr>
          <w:i/>
          <w:iCs/>
        </w:rPr>
        <w:instrText xml:space="preserve"> REF _Ref88218393 \h  \* MERGEFORMAT </w:instrText>
      </w:r>
      <w:r w:rsidR="00C01C95" w:rsidRPr="00375933">
        <w:rPr>
          <w:i/>
          <w:iCs/>
        </w:rPr>
      </w:r>
      <w:r w:rsidR="00C01C95" w:rsidRPr="00375933">
        <w:rPr>
          <w:i/>
          <w:iCs/>
        </w:rPr>
        <w:fldChar w:fldCharType="separate"/>
      </w:r>
      <w:r w:rsidR="00FD64B0" w:rsidRPr="00FD64B0">
        <w:rPr>
          <w:i/>
          <w:iCs/>
        </w:rPr>
        <w:t>Uncertainty analysis</w:t>
      </w:r>
      <w:r w:rsidR="00C01C95" w:rsidRPr="00375933">
        <w:rPr>
          <w:i/>
          <w:iCs/>
        </w:rPr>
        <w:fldChar w:fldCharType="end"/>
      </w:r>
      <w:r w:rsidRPr="0026373A">
        <w:t xml:space="preserve"> in this document) and strengths and limitations of the risk analyses</w:t>
      </w:r>
    </w:p>
    <w:p w14:paraId="591A532E" w14:textId="2B12E2DD" w:rsidR="00F256C1" w:rsidRPr="0026373A" w:rsidRDefault="00F256C1" w:rsidP="00917DCC">
      <w:pPr>
        <w:pStyle w:val="ListBullet"/>
      </w:pPr>
      <w:r w:rsidRPr="0026373A">
        <w:t>a discussion of all information obtained and when the predicted risk is low, advice about the potential for risk to occur under changed conditions</w:t>
      </w:r>
    </w:p>
    <w:p w14:paraId="61F5FFC6" w14:textId="77777777" w:rsidR="00F256C1" w:rsidRPr="0026373A" w:rsidRDefault="00F256C1" w:rsidP="00917DCC">
      <w:pPr>
        <w:pStyle w:val="ListBullet"/>
      </w:pPr>
      <w:r w:rsidRPr="0026373A">
        <w:t>a summary of the stakeholder and expert participation throughout the risk assessment</w:t>
      </w:r>
    </w:p>
    <w:p w14:paraId="13D6A751" w14:textId="34DF819A" w:rsidR="00F256C1" w:rsidRPr="00917DCC" w:rsidRDefault="00F256C1" w:rsidP="00F256C1">
      <w:pPr>
        <w:pStyle w:val="ListBullet"/>
      </w:pPr>
      <w:r w:rsidRPr="0026373A">
        <w:t>suggested monitoring and assessment program to assess risk assessment predictions and potential effectiveness of management actions.</w:t>
      </w:r>
    </w:p>
    <w:p w14:paraId="2CDD8653" w14:textId="77777777" w:rsidR="00F256C1" w:rsidRDefault="00F256C1" w:rsidP="00F256C1">
      <w:pPr>
        <w:spacing w:line="259" w:lineRule="auto"/>
        <w:rPr>
          <w:rFonts w:cs="Arial"/>
          <w:lang w:val="en-GB"/>
        </w:rPr>
      </w:pPr>
      <w:r w:rsidRPr="0026373A">
        <w:rPr>
          <w:rFonts w:cs="Arial"/>
          <w:lang w:val="en-GB"/>
        </w:rPr>
        <w:t>It is important that risk assessors pass on all advice or opinions that may assist in managing the risk to the receiving waters environmental values, not just the information listed above.</w:t>
      </w:r>
    </w:p>
    <w:p w14:paraId="4976E4F6" w14:textId="77777777" w:rsidR="00F256C1" w:rsidRPr="00295679" w:rsidRDefault="00F256C1" w:rsidP="00917DCC">
      <w:pPr>
        <w:pStyle w:val="Heading1"/>
        <w:rPr>
          <w:rFonts w:ascii="VIC" w:hAnsi="VIC" w:cs="Arial"/>
          <w:sz w:val="22"/>
          <w:szCs w:val="22"/>
          <w:lang w:val="en-GB"/>
        </w:rPr>
      </w:pPr>
      <w:bookmarkStart w:id="67" w:name="_Toc133938148"/>
      <w:r>
        <w:lastRenderedPageBreak/>
        <w:t>Risk management</w:t>
      </w:r>
      <w:bookmarkEnd w:id="67"/>
    </w:p>
    <w:p w14:paraId="713A7DCB" w14:textId="71CF24FE" w:rsidR="00F256C1" w:rsidRPr="00B957D0" w:rsidRDefault="00F256C1" w:rsidP="00917DCC">
      <w:pPr>
        <w:pStyle w:val="Heading2"/>
        <w:rPr>
          <w:rFonts w:eastAsiaTheme="minorHAnsi" w:cstheme="minorBidi"/>
          <w:lang w:val="en-US"/>
        </w:rPr>
      </w:pPr>
      <w:bookmarkStart w:id="68" w:name="_Toc133938149"/>
      <w:r>
        <w:t>Implement controls</w:t>
      </w:r>
      <w:bookmarkEnd w:id="68"/>
    </w:p>
    <w:p w14:paraId="6BF8B913" w14:textId="6A36D68E" w:rsidR="00F256C1" w:rsidRDefault="00F256C1" w:rsidP="00F256C1">
      <w:r w:rsidRPr="00A64C62">
        <w:t xml:space="preserve">EPA has developed </w:t>
      </w:r>
      <w:r w:rsidRPr="003A535B">
        <w:rPr>
          <w:i/>
          <w:iCs/>
          <w:lang w:val="en-US"/>
        </w:rPr>
        <w:t>Assessing and controlling risk: a guide for business</w:t>
      </w:r>
      <w:r w:rsidRPr="003A535B">
        <w:rPr>
          <w:lang w:val="en-US"/>
        </w:rPr>
        <w:t xml:space="preserve"> (</w:t>
      </w:r>
      <w:r w:rsidR="00260DC7">
        <w:rPr>
          <w:lang w:val="en-US"/>
        </w:rPr>
        <w:t>EPA publication</w:t>
      </w:r>
      <w:r w:rsidRPr="003A535B">
        <w:rPr>
          <w:lang w:val="en-US"/>
        </w:rPr>
        <w:t xml:space="preserve"> 1695.1) </w:t>
      </w:r>
      <w:r w:rsidR="00263D4F">
        <w:t xml:space="preserve">to </w:t>
      </w:r>
      <w:r w:rsidRPr="00A64C62">
        <w:t>provide businesses with a risk management framework. The framework is based on principles that can be applied to any business, irrespective of</w:t>
      </w:r>
      <w:r w:rsidR="00D5215D">
        <w:t xml:space="preserve"> </w:t>
      </w:r>
      <w:r w:rsidR="00AF7C6A">
        <w:t>s</w:t>
      </w:r>
      <w:r w:rsidRPr="00A64C62">
        <w:t xml:space="preserve">ize or level of risk. </w:t>
      </w:r>
      <w:r w:rsidR="00260DC7">
        <w:t>EPA publication</w:t>
      </w:r>
      <w:r w:rsidRPr="00A64C62">
        <w:t xml:space="preserve"> 1695.1 includes a hierarchy of risk controls that is consistent with the principles of the </w:t>
      </w:r>
      <w:r w:rsidR="001465A6" w:rsidRPr="00422A64">
        <w:rPr>
          <w:rFonts w:cs="Arial"/>
          <w:i/>
          <w:iCs/>
        </w:rPr>
        <w:t>Environment Protection Act 2017</w:t>
      </w:r>
      <w:r w:rsidR="001465A6" w:rsidRPr="00422A64">
        <w:rPr>
          <w:rFonts w:cs="Arial"/>
        </w:rPr>
        <w:t xml:space="preserve"> </w:t>
      </w:r>
      <w:r w:rsidRPr="00A64C62">
        <w:t>(</w:t>
      </w:r>
      <w:r w:rsidR="00982BA7">
        <w:fldChar w:fldCharType="begin"/>
      </w:r>
      <w:r w:rsidR="00982BA7">
        <w:instrText xml:space="preserve"> REF _Ref132748798 \h </w:instrText>
      </w:r>
      <w:r w:rsidR="00982BA7">
        <w:fldChar w:fldCharType="separate"/>
      </w:r>
      <w:r w:rsidR="00FD64B0">
        <w:t xml:space="preserve">Figure </w:t>
      </w:r>
      <w:r w:rsidR="00FD64B0">
        <w:rPr>
          <w:noProof/>
        </w:rPr>
        <w:t>3</w:t>
      </w:r>
      <w:r w:rsidR="00982BA7">
        <w:fldChar w:fldCharType="end"/>
      </w:r>
      <w:r w:rsidRPr="00A64C62">
        <w:t xml:space="preserve">). </w:t>
      </w:r>
    </w:p>
    <w:p w14:paraId="78ED7386" w14:textId="77777777" w:rsidR="004974A7" w:rsidRDefault="004974A7" w:rsidP="004974A7">
      <w:pPr>
        <w:keepNext/>
      </w:pPr>
      <w:r>
        <w:rPr>
          <w:noProof/>
        </w:rPr>
        <w:drawing>
          <wp:inline distT="0" distB="0" distL="0" distR="0" wp14:anchorId="43BFFB91" wp14:editId="7135538D">
            <wp:extent cx="6367902" cy="3106882"/>
            <wp:effectExtent l="0" t="0" r="0" b="5080"/>
            <wp:docPr id="21" name="Picture 2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funnel chart&#10;&#10;Description automatically generated"/>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5993" cy="3110830"/>
                    </a:xfrm>
                    <a:prstGeom prst="rect">
                      <a:avLst/>
                    </a:prstGeom>
                    <a:noFill/>
                  </pic:spPr>
                </pic:pic>
              </a:graphicData>
            </a:graphic>
          </wp:inline>
        </w:drawing>
      </w:r>
    </w:p>
    <w:p w14:paraId="1063CC0B" w14:textId="5BB0C43A" w:rsidR="00013E28" w:rsidRPr="00335930" w:rsidRDefault="004974A7" w:rsidP="004974A7">
      <w:pPr>
        <w:pStyle w:val="Caption"/>
      </w:pPr>
      <w:bookmarkStart w:id="69" w:name="_Ref132748798"/>
      <w:bookmarkStart w:id="70" w:name="_Toc132750480"/>
      <w:r>
        <w:t xml:space="preserve">Figure </w:t>
      </w:r>
      <w:fldSimple w:instr=" SEQ Figure \* ARABIC ">
        <w:r w:rsidR="00FD64B0">
          <w:rPr>
            <w:noProof/>
          </w:rPr>
          <w:t>3</w:t>
        </w:r>
      </w:fldSimple>
      <w:bookmarkEnd w:id="69"/>
      <w:r>
        <w:t xml:space="preserve"> –</w:t>
      </w:r>
      <w:r w:rsidR="00D07706">
        <w:t xml:space="preserve"> </w:t>
      </w:r>
      <w:r w:rsidRPr="00AD4304">
        <w:t>Hierarchy of risk controls (EPA publication 1695.1)</w:t>
      </w:r>
      <w:bookmarkEnd w:id="70"/>
    </w:p>
    <w:p w14:paraId="319299BF" w14:textId="4FE09C4C" w:rsidR="00263D4F" w:rsidRDefault="00F256C1" w:rsidP="00F256C1">
      <w:pPr>
        <w:spacing w:line="259" w:lineRule="auto"/>
      </w:pPr>
      <w:r w:rsidRPr="00A71491">
        <w:t>The assessment of risk controls is a dynamic process. It should be undertaken regularly to identify whether risk elimination or reduction measures are effective and can be improved, so far as reasonably practicable. To evaluate the effectiveness of risk controls both a formal review of risks</w:t>
      </w:r>
      <w:r w:rsidR="0095554B">
        <w:t xml:space="preserve"> </w:t>
      </w:r>
      <w:r w:rsidRPr="00A71491">
        <w:t xml:space="preserve">and a review of the effectiveness of risk controls and the availability of alternative controls should be conducted and documented. </w:t>
      </w:r>
    </w:p>
    <w:p w14:paraId="3FE0F022" w14:textId="39349706" w:rsidR="00F256C1" w:rsidRPr="00A71491" w:rsidRDefault="00F256C1" w:rsidP="00F256C1">
      <w:pPr>
        <w:spacing w:line="259" w:lineRule="auto"/>
      </w:pPr>
      <w:r w:rsidRPr="00A71491">
        <w:t xml:space="preserve">There should also be mechanisms for managing change to ensure that risks are not increased by changes to process or chemicals used in activities on the site. </w:t>
      </w:r>
    </w:p>
    <w:p w14:paraId="33692749" w14:textId="77777777" w:rsidR="00F256C1" w:rsidRPr="00DA1F32" w:rsidRDefault="00F256C1" w:rsidP="00917DCC">
      <w:pPr>
        <w:pStyle w:val="Heading2"/>
        <w:rPr>
          <w:rFonts w:eastAsiaTheme="minorHAnsi" w:cstheme="minorBidi"/>
          <w:lang w:val="en-US"/>
        </w:rPr>
      </w:pPr>
      <w:bookmarkStart w:id="71" w:name="_Toc133938150"/>
      <w:r>
        <w:t>Check controls</w:t>
      </w:r>
      <w:bookmarkEnd w:id="71"/>
    </w:p>
    <w:p w14:paraId="6414FAAD" w14:textId="77777777" w:rsidR="00F256C1" w:rsidRPr="00A71491" w:rsidRDefault="00F256C1" w:rsidP="00F256C1">
      <w:pPr>
        <w:spacing w:line="259" w:lineRule="auto"/>
      </w:pPr>
      <w:r w:rsidRPr="00A71491">
        <w:t xml:space="preserve">The development of risk controls is not intended to be the end of the risk management process. Ongoing evaluation through monitoring and continuous improvement is required under the GED to ensure ongoing compliance. </w:t>
      </w:r>
    </w:p>
    <w:p w14:paraId="4C7004DC" w14:textId="77777777" w:rsidR="00C07C90" w:rsidRDefault="00F256C1" w:rsidP="00C07C90">
      <w:pPr>
        <w:spacing w:line="259" w:lineRule="auto"/>
        <w:rPr>
          <w:rFonts w:cs="Arial"/>
          <w:lang w:val="en-US"/>
        </w:rPr>
      </w:pPr>
      <w:r w:rsidRPr="00A71491">
        <w:rPr>
          <w:rFonts w:cs="Arial"/>
          <w:noProof/>
          <w:lang w:val="en-US"/>
        </w:rPr>
        <w:t>The effectiveness of controls must be monitored, evaluated and</w:t>
      </w:r>
      <w:r w:rsidR="00500418">
        <w:rPr>
          <w:rFonts w:cs="Arial"/>
          <w:noProof/>
          <w:lang w:val="en-US"/>
        </w:rPr>
        <w:t>,</w:t>
      </w:r>
      <w:r w:rsidRPr="00A71491">
        <w:rPr>
          <w:rFonts w:cs="Arial"/>
          <w:noProof/>
          <w:lang w:val="en-US"/>
        </w:rPr>
        <w:t xml:space="preserve"> where necessary, updated. It is important that a monitoring program is developed with appropriate indicators to evaluate controls. These will often include the endpoints selected in the risk assessment. Where appropriate, the collection of new monitoring data can also be used to update the risk </w:t>
      </w:r>
      <w:r w:rsidRPr="00A71491">
        <w:rPr>
          <w:rFonts w:cs="Arial"/>
          <w:noProof/>
          <w:lang w:val="en-US"/>
        </w:rPr>
        <w:lastRenderedPageBreak/>
        <w:t>assessment, providing increasingly more robust predictions and information for management of risks.</w:t>
      </w:r>
    </w:p>
    <w:p w14:paraId="54997C58" w14:textId="65F03D64" w:rsidR="00F256C1" w:rsidRPr="00C07C90" w:rsidRDefault="00F256C1" w:rsidP="00C07C90">
      <w:pPr>
        <w:spacing w:line="259" w:lineRule="auto"/>
        <w:rPr>
          <w:rFonts w:cs="Arial"/>
          <w:lang w:val="en-US"/>
        </w:rPr>
      </w:pPr>
      <w:r w:rsidRPr="00A71491">
        <w:rPr>
          <w:rFonts w:cs="Arial"/>
          <w:lang w:val="en-US"/>
        </w:rPr>
        <w:t xml:space="preserve">More information about controls, documentation, monitoring and continual improvement and review can be found in </w:t>
      </w:r>
      <w:r w:rsidRPr="00A71491">
        <w:rPr>
          <w:i/>
          <w:iCs/>
        </w:rPr>
        <w:t>Implementing the general environmental duty: A guide for licence holders</w:t>
      </w:r>
      <w:r w:rsidRPr="00A71491">
        <w:t xml:space="preserve"> (</w:t>
      </w:r>
      <w:r w:rsidR="00260DC7">
        <w:t>EPA publication</w:t>
      </w:r>
      <w:r w:rsidRPr="00A71491">
        <w:t xml:space="preserve"> 1851.1)</w:t>
      </w:r>
      <w:r w:rsidR="00E96FCA">
        <w:t>.</w:t>
      </w:r>
    </w:p>
    <w:p w14:paraId="1F4424CC" w14:textId="77777777" w:rsidR="00F256C1" w:rsidRPr="00B34671" w:rsidRDefault="00F256C1" w:rsidP="00917DCC">
      <w:pPr>
        <w:pStyle w:val="Heading1"/>
        <w:rPr>
          <w:rFonts w:ascii="VIC" w:hAnsi="VIC" w:cs="Arial"/>
          <w:sz w:val="22"/>
          <w:szCs w:val="22"/>
          <w:lang w:val="en-GB"/>
        </w:rPr>
      </w:pPr>
      <w:bookmarkStart w:id="72" w:name="_Ref88212119"/>
      <w:bookmarkStart w:id="73" w:name="_Toc133938151"/>
      <w:r>
        <w:t>Stakeholder participation</w:t>
      </w:r>
      <w:bookmarkEnd w:id="72"/>
      <w:bookmarkEnd w:id="73"/>
    </w:p>
    <w:p w14:paraId="14445E02" w14:textId="1CB458AC" w:rsidR="00F256C1" w:rsidRPr="00B34671" w:rsidRDefault="00F256C1" w:rsidP="00F256C1">
      <w:r w:rsidRPr="00B34671">
        <w:t xml:space="preserve">A planned approach to stakeholder participation and ongoing dialogue with stakeholders is an important part of any risk assessment. It is beneficial to involve specialist and non-specialist people and organisations in the risk assessment process. Stakeholders may include </w:t>
      </w:r>
      <w:r w:rsidR="001159DF">
        <w:t xml:space="preserve">Traditional Owners, </w:t>
      </w:r>
      <w:r w:rsidRPr="00B34671">
        <w:t xml:space="preserve">industry representatives, regulators/decision makers, relevant state agencies and natural resource managers, scientific and technical experts, local government, adjacent landholders, downstream users, local communities and </w:t>
      </w:r>
      <w:r w:rsidR="004371CF">
        <w:t>non-government</w:t>
      </w:r>
      <w:r w:rsidR="008D6B4B">
        <w:t xml:space="preserve"> organisations</w:t>
      </w:r>
      <w:r w:rsidRPr="00B34671">
        <w:t>.</w:t>
      </w:r>
    </w:p>
    <w:p w14:paraId="1DD73989" w14:textId="7E9FE440" w:rsidR="00F256C1" w:rsidRDefault="00754DDF" w:rsidP="00F256C1">
      <w:r>
        <w:t>While k</w:t>
      </w:r>
      <w:r w:rsidR="00F256C1" w:rsidRPr="00B34671">
        <w:t>ey stakeholders should be kept involved throughout the entire risk assessment process</w:t>
      </w:r>
      <w:r>
        <w:t>,</w:t>
      </w:r>
      <w:r w:rsidR="006B5067">
        <w:t xml:space="preserve"> </w:t>
      </w:r>
      <w:r>
        <w:t>i</w:t>
      </w:r>
      <w:r w:rsidR="00F256C1" w:rsidRPr="00B34671">
        <w:t>t is particularly important that they are actively involved in the problem formulation step (Hart et al., 2005). If this level of involvement is not achieved, important environmental values, threats and key local knowledge may not be considered in the risk assessment.</w:t>
      </w:r>
    </w:p>
    <w:p w14:paraId="64C70932" w14:textId="77777777" w:rsidR="00F256C1" w:rsidRPr="00917DCC" w:rsidRDefault="00F256C1" w:rsidP="00917DCC">
      <w:pPr>
        <w:pStyle w:val="Heading2"/>
      </w:pPr>
      <w:bookmarkStart w:id="74" w:name="_Toc133938152"/>
      <w:r w:rsidRPr="00917DCC">
        <w:t>Benefits of stakeholder participation</w:t>
      </w:r>
      <w:bookmarkEnd w:id="74"/>
    </w:p>
    <w:p w14:paraId="42B8A77E" w14:textId="77777777" w:rsidR="00F256C1" w:rsidRPr="00D75A7D" w:rsidRDefault="00F256C1" w:rsidP="00F256C1">
      <w:pPr>
        <w:spacing w:line="259" w:lineRule="auto"/>
        <w:rPr>
          <w:rFonts w:cs="Arial"/>
        </w:rPr>
      </w:pPr>
      <w:r w:rsidRPr="00D75A7D">
        <w:rPr>
          <w:rFonts w:cs="Arial"/>
        </w:rPr>
        <w:t>Stakeholder participation benefits businesses, industry and stakeholders. The benefits of successful participation for businesses include:</w:t>
      </w:r>
    </w:p>
    <w:p w14:paraId="40FE6EEE" w14:textId="77777777" w:rsidR="00F256C1" w:rsidRPr="00D75A7D" w:rsidRDefault="00F256C1" w:rsidP="00917DCC">
      <w:pPr>
        <w:pStyle w:val="ListBullet"/>
      </w:pPr>
      <w:r w:rsidRPr="00D75A7D">
        <w:t>outcomes of the risk assessment being relevant to local management needs</w:t>
      </w:r>
    </w:p>
    <w:p w14:paraId="7BF27859" w14:textId="77777777" w:rsidR="00F256C1" w:rsidRPr="00D75A7D" w:rsidRDefault="00F256C1" w:rsidP="00917DCC">
      <w:pPr>
        <w:pStyle w:val="ListBullet"/>
      </w:pPr>
      <w:r w:rsidRPr="00D75A7D">
        <w:t>access to a wider range of information and local knowledge from stakeholders</w:t>
      </w:r>
    </w:p>
    <w:p w14:paraId="1FFFF102" w14:textId="77777777" w:rsidR="00F256C1" w:rsidRPr="00D75A7D" w:rsidRDefault="00F256C1" w:rsidP="00917DCC">
      <w:pPr>
        <w:pStyle w:val="ListBullet"/>
      </w:pPr>
      <w:r w:rsidRPr="00D75A7D">
        <w:t>obtaining all ideas and new information at the outset of the risk assessment, rather than part way through</w:t>
      </w:r>
    </w:p>
    <w:p w14:paraId="38CDAB2D" w14:textId="77777777" w:rsidR="00F256C1" w:rsidRPr="00D75A7D" w:rsidRDefault="00F256C1" w:rsidP="00917DCC">
      <w:pPr>
        <w:pStyle w:val="ListBullet"/>
      </w:pPr>
      <w:r w:rsidRPr="00D75A7D">
        <w:t>a better understanding of the issues that communities face</w:t>
      </w:r>
    </w:p>
    <w:p w14:paraId="452CA1D5" w14:textId="77777777" w:rsidR="00F256C1" w:rsidRDefault="00F256C1" w:rsidP="00917DCC">
      <w:pPr>
        <w:pStyle w:val="ListBullet"/>
      </w:pPr>
      <w:r w:rsidRPr="00D75A7D">
        <w:t>developing good relationships with stakeholders and identifying collaboration possibilities on issues of concern</w:t>
      </w:r>
    </w:p>
    <w:p w14:paraId="5C4942F7" w14:textId="77777777" w:rsidR="00F256C1" w:rsidRPr="004B7AFD" w:rsidRDefault="00F256C1" w:rsidP="00917DCC">
      <w:pPr>
        <w:pStyle w:val="ListBullet"/>
      </w:pPr>
      <w:r w:rsidRPr="004B7AFD">
        <w:t>increasing the transparency and accountability of businesses and industries</w:t>
      </w:r>
    </w:p>
    <w:p w14:paraId="2FC505C0" w14:textId="25A87EDB" w:rsidR="00F256C1" w:rsidRPr="00917DCC" w:rsidRDefault="00F256C1" w:rsidP="00F256C1">
      <w:pPr>
        <w:pStyle w:val="ListBullet"/>
      </w:pPr>
      <w:r w:rsidRPr="004B7AFD">
        <w:t>increasing business and industry’s reputation.</w:t>
      </w:r>
    </w:p>
    <w:p w14:paraId="347A68B9" w14:textId="77777777" w:rsidR="00F256C1" w:rsidRPr="004B7AFD" w:rsidRDefault="00F256C1" w:rsidP="00F256C1">
      <w:pPr>
        <w:spacing w:line="259" w:lineRule="auto"/>
        <w:rPr>
          <w:rFonts w:cs="Arial"/>
        </w:rPr>
      </w:pPr>
      <w:r w:rsidRPr="004B7AFD">
        <w:rPr>
          <w:rFonts w:cs="Arial"/>
        </w:rPr>
        <w:t>The benefits of successful participation for stakeholders include:</w:t>
      </w:r>
    </w:p>
    <w:p w14:paraId="57105B9B" w14:textId="77777777" w:rsidR="00F256C1" w:rsidRPr="004B7AFD" w:rsidRDefault="00F256C1" w:rsidP="00917DCC">
      <w:pPr>
        <w:pStyle w:val="ListBullet"/>
      </w:pPr>
      <w:r w:rsidRPr="004B7AFD">
        <w:t>having the opportunity to provide their expertise and local knowledge</w:t>
      </w:r>
    </w:p>
    <w:p w14:paraId="29973C10" w14:textId="77777777" w:rsidR="00F256C1" w:rsidRPr="004B7AFD" w:rsidRDefault="00F256C1" w:rsidP="00917DCC">
      <w:pPr>
        <w:pStyle w:val="ListBullet"/>
      </w:pPr>
      <w:r w:rsidRPr="004B7AFD">
        <w:t>being aware of and involved in projects being undertaken in their region</w:t>
      </w:r>
    </w:p>
    <w:p w14:paraId="29E7FF71" w14:textId="77777777" w:rsidR="00F256C1" w:rsidRPr="004B7AFD" w:rsidRDefault="00F256C1" w:rsidP="00917DCC">
      <w:pPr>
        <w:pStyle w:val="ListBullet"/>
      </w:pPr>
      <w:r w:rsidRPr="10077A7C">
        <w:t xml:space="preserve">a sense of ownership of solutions to problems and </w:t>
      </w:r>
      <w:bookmarkStart w:id="75" w:name="_Int_qBy4hDGv"/>
      <w:r w:rsidRPr="10077A7C">
        <w:t>an involvement</w:t>
      </w:r>
      <w:bookmarkEnd w:id="75"/>
      <w:r w:rsidRPr="10077A7C">
        <w:t xml:space="preserve"> in decision making processes</w:t>
      </w:r>
    </w:p>
    <w:p w14:paraId="443F4C6C" w14:textId="77777777" w:rsidR="00F256C1" w:rsidRPr="004B7AFD" w:rsidRDefault="00F256C1" w:rsidP="00917DCC">
      <w:pPr>
        <w:pStyle w:val="ListBullet"/>
      </w:pPr>
      <w:r w:rsidRPr="004B7AFD">
        <w:t>a greater acceptance, respect and recognition of their needs</w:t>
      </w:r>
    </w:p>
    <w:p w14:paraId="4B6391D1" w14:textId="77777777" w:rsidR="00F256C1" w:rsidRPr="004B7AFD" w:rsidRDefault="00F256C1" w:rsidP="00917DCC">
      <w:pPr>
        <w:pStyle w:val="ListBullet"/>
      </w:pPr>
      <w:r w:rsidRPr="004B7AFD">
        <w:t>an opportunity for a wide range of opinions to be voiced and listened to</w:t>
      </w:r>
    </w:p>
    <w:p w14:paraId="45DDDCD0" w14:textId="2FCFD9E5" w:rsidR="00F256C1" w:rsidRPr="004B7AFD" w:rsidRDefault="00F256C1" w:rsidP="00917DCC">
      <w:pPr>
        <w:pStyle w:val="ListBullet"/>
      </w:pPr>
      <w:r w:rsidRPr="004B7AFD">
        <w:t xml:space="preserve">an increase in understanding of </w:t>
      </w:r>
      <w:r w:rsidR="00E96FCA">
        <w:t xml:space="preserve">the </w:t>
      </w:r>
      <w:r w:rsidRPr="004B7AFD">
        <w:t xml:space="preserve">risks </w:t>
      </w:r>
      <w:r w:rsidR="00E96FCA">
        <w:t xml:space="preserve">being </w:t>
      </w:r>
      <w:r w:rsidRPr="004B7AFD">
        <w:t>considered</w:t>
      </w:r>
      <w:r w:rsidR="00E96FCA">
        <w:t xml:space="preserve">, </w:t>
      </w:r>
      <w:r w:rsidRPr="004B7AFD">
        <w:t xml:space="preserve">and </w:t>
      </w:r>
      <w:r w:rsidR="00E96FCA">
        <w:t xml:space="preserve">raising </w:t>
      </w:r>
      <w:r w:rsidRPr="004B7AFD">
        <w:t>the knowledge base of stakeholders</w:t>
      </w:r>
    </w:p>
    <w:p w14:paraId="6B6CE1E4" w14:textId="77777777" w:rsidR="00F256C1" w:rsidRPr="004B7AFD" w:rsidRDefault="00F256C1" w:rsidP="00917DCC">
      <w:pPr>
        <w:pStyle w:val="ListBullet"/>
      </w:pPr>
      <w:r w:rsidRPr="004B7AFD">
        <w:lastRenderedPageBreak/>
        <w:t>being aware of information sources that could be useful to their own organisation</w:t>
      </w:r>
    </w:p>
    <w:p w14:paraId="22C73732" w14:textId="70F37B6C" w:rsidR="002A6539" w:rsidRPr="00917DCC" w:rsidRDefault="00F256C1" w:rsidP="002A6539">
      <w:pPr>
        <w:pStyle w:val="ListBullet"/>
      </w:pPr>
      <w:r w:rsidRPr="004B7AFD">
        <w:t>a sense of empowerment on issues of concern to them.</w:t>
      </w:r>
    </w:p>
    <w:p w14:paraId="2D197083" w14:textId="6F54C99B" w:rsidR="00F256C1" w:rsidRPr="00BC362E" w:rsidRDefault="00F256C1" w:rsidP="00917DCC">
      <w:pPr>
        <w:pStyle w:val="Heading2"/>
        <w:rPr>
          <w:rFonts w:eastAsiaTheme="minorHAnsi" w:cstheme="minorBidi"/>
          <w:lang w:val="en-US"/>
        </w:rPr>
      </w:pPr>
      <w:bookmarkStart w:id="76" w:name="_Toc133938153"/>
      <w:r>
        <w:t>Planning process for stakeholder participation</w:t>
      </w:r>
      <w:bookmarkEnd w:id="76"/>
    </w:p>
    <w:p w14:paraId="43FE194C" w14:textId="35908EF2" w:rsidR="00F256C1" w:rsidRPr="003846FD" w:rsidRDefault="00F256C1" w:rsidP="00F256C1">
      <w:pPr>
        <w:spacing w:line="259" w:lineRule="auto"/>
        <w:rPr>
          <w:rFonts w:cs="Arial"/>
        </w:rPr>
      </w:pPr>
      <w:r w:rsidRPr="003846FD">
        <w:rPr>
          <w:rFonts w:cs="Arial"/>
        </w:rPr>
        <w:t>The process outlined below helps risk assessors think through the steps for developing a stakeholder participation plan.</w:t>
      </w:r>
    </w:p>
    <w:p w14:paraId="061D4BEF" w14:textId="77777777" w:rsidR="00F256C1" w:rsidRPr="003846FD" w:rsidRDefault="00F256C1" w:rsidP="00C07C90">
      <w:pPr>
        <w:pStyle w:val="Heading4"/>
        <w:spacing w:before="0"/>
      </w:pPr>
      <w:r w:rsidRPr="003846FD">
        <w:t>Identify the issues/opportunities</w:t>
      </w:r>
    </w:p>
    <w:p w14:paraId="2CF6C2B4" w14:textId="77777777" w:rsidR="00F256C1" w:rsidRPr="003846FD" w:rsidRDefault="00F256C1" w:rsidP="00F256C1">
      <w:pPr>
        <w:spacing w:line="259" w:lineRule="auto"/>
        <w:rPr>
          <w:rFonts w:cs="Arial"/>
        </w:rPr>
      </w:pPr>
      <w:r w:rsidRPr="003846FD">
        <w:rPr>
          <w:rFonts w:cs="Arial"/>
        </w:rPr>
        <w:t xml:space="preserve">Why do you want to involve the public, community, stakeholders and/or technical specialists? </w:t>
      </w:r>
    </w:p>
    <w:p w14:paraId="119833AF" w14:textId="77777777" w:rsidR="00F256C1" w:rsidRPr="003846FD" w:rsidRDefault="00F256C1" w:rsidP="00AA7232">
      <w:pPr>
        <w:pStyle w:val="Heading4"/>
      </w:pPr>
      <w:r w:rsidRPr="003846FD">
        <w:t>Identify the stakeholders</w:t>
      </w:r>
    </w:p>
    <w:p w14:paraId="17036E35" w14:textId="7A14CE91" w:rsidR="00F256C1" w:rsidRPr="003846FD" w:rsidRDefault="00F256C1" w:rsidP="00F256C1">
      <w:pPr>
        <w:spacing w:line="259" w:lineRule="auto"/>
        <w:rPr>
          <w:rFonts w:cs="Arial"/>
        </w:rPr>
      </w:pPr>
      <w:r w:rsidRPr="10077A7C">
        <w:rPr>
          <w:rFonts w:cs="Arial"/>
        </w:rPr>
        <w:t xml:space="preserve">Whose input do you need? Whose interests are affected (positively or negatively) by the wastewater discharge? Who will be outraged later if excluded now? Whose buy-in do you </w:t>
      </w:r>
      <w:bookmarkStart w:id="77" w:name="_Int_6rhcxKPK"/>
      <w:r w:rsidRPr="10077A7C">
        <w:rPr>
          <w:rFonts w:cs="Arial"/>
        </w:rPr>
        <w:t>need?</w:t>
      </w:r>
      <w:bookmarkEnd w:id="77"/>
    </w:p>
    <w:p w14:paraId="79A7B27B" w14:textId="77777777" w:rsidR="00F256C1" w:rsidRPr="003846FD" w:rsidRDefault="00F256C1" w:rsidP="00AA7232">
      <w:pPr>
        <w:pStyle w:val="Heading4"/>
      </w:pPr>
      <w:r w:rsidRPr="003846FD">
        <w:t>Analyse stakeholders’ goals and constraints</w:t>
      </w:r>
    </w:p>
    <w:p w14:paraId="3177009C" w14:textId="742E51DF" w:rsidR="00F256C1" w:rsidRPr="003846FD" w:rsidRDefault="00F256C1" w:rsidP="00F256C1">
      <w:pPr>
        <w:spacing w:line="259" w:lineRule="auto"/>
      </w:pPr>
      <w:r w:rsidRPr="10077A7C">
        <w:rPr>
          <w:rFonts w:cs="Arial"/>
        </w:rPr>
        <w:t xml:space="preserve">What do the stakeholders want from the process? What </w:t>
      </w:r>
      <w:r w:rsidR="3CF1B4BD" w:rsidRPr="10077A7C">
        <w:rPr>
          <w:rFonts w:cs="Arial"/>
        </w:rPr>
        <w:t>benefits</w:t>
      </w:r>
      <w:r w:rsidRPr="10077A7C">
        <w:rPr>
          <w:rFonts w:cs="Arial"/>
        </w:rPr>
        <w:t xml:space="preserve"> and costs are posed to them by your</w:t>
      </w:r>
      <w:r>
        <w:t xml:space="preserve"> activities? What </w:t>
      </w:r>
      <w:r w:rsidR="6931D3A7">
        <w:t>benefits</w:t>
      </w:r>
      <w:r>
        <w:t xml:space="preserve"> and costs are posed to them by participating in the risk assessment? How much power do they currently have to influence the outcome/decision? How would they like to be involved? What type of involvement might stakeholders be expecting?</w:t>
      </w:r>
    </w:p>
    <w:p w14:paraId="3D5F381D" w14:textId="77777777" w:rsidR="00F256C1" w:rsidRPr="003846FD" w:rsidRDefault="00F256C1" w:rsidP="00AA7232">
      <w:pPr>
        <w:pStyle w:val="Heading4"/>
      </w:pPr>
      <w:r w:rsidRPr="003846FD">
        <w:t>Analyse your goals and constraints</w:t>
      </w:r>
    </w:p>
    <w:p w14:paraId="08F88967" w14:textId="1E239B82" w:rsidR="00F256C1" w:rsidRPr="004B7C36" w:rsidRDefault="00F256C1" w:rsidP="00F256C1">
      <w:pPr>
        <w:spacing w:line="259" w:lineRule="auto"/>
      </w:pPr>
      <w:r w:rsidRPr="003846FD">
        <w:t>What are you hoping to get from stakeholders to achieve your goals? What does success look like? What does failure look like? What are you allowed to do or not to do? What is</w:t>
      </w:r>
      <w:r w:rsidRPr="007654E4">
        <w:t xml:space="preserve"> </w:t>
      </w:r>
      <w:r w:rsidRPr="004B7C36">
        <w:t xml:space="preserve">compulsory/non-negotiable? What decisions are predetermined? What is negotiable/open for debate? What are your timelines, budget and mandate/role? </w:t>
      </w:r>
    </w:p>
    <w:p w14:paraId="41BBF83A" w14:textId="77777777" w:rsidR="00F256C1" w:rsidRPr="003126A6" w:rsidRDefault="00F256C1" w:rsidP="00AA7232">
      <w:pPr>
        <w:pStyle w:val="Heading4"/>
      </w:pPr>
      <w:r w:rsidRPr="003126A6">
        <w:t>Determine your purpose, process and tools</w:t>
      </w:r>
    </w:p>
    <w:p w14:paraId="18BEF747" w14:textId="74168FA0" w:rsidR="00F256C1" w:rsidRPr="003126A6" w:rsidRDefault="00F256C1" w:rsidP="00F256C1">
      <w:pPr>
        <w:spacing w:line="259" w:lineRule="auto"/>
      </w:pPr>
      <w:r w:rsidRPr="003126A6">
        <w:t>Based on all of the above, what is your overall stakeholder participation purpose with this risk assessment? How might different people/stakeholders be</w:t>
      </w:r>
      <w:r w:rsidR="00E96FCA">
        <w:t xml:space="preserve"> best</w:t>
      </w:r>
      <w:r w:rsidRPr="003126A6">
        <w:t xml:space="preserve"> engaged? What tools are appropriate? The IAP2 model developed by the International Association for Public Participation provides a good approach to working with stakeholders and answering these questions. In using the IAP2 spectrum, a plan for the level of participation required for each stakeholder group can be determined. A summary of the IAP2 approach is provided in</w:t>
      </w:r>
      <w:r w:rsidR="00982BA7">
        <w:t xml:space="preserve"> </w:t>
      </w:r>
      <w:r w:rsidR="00803458" w:rsidRPr="00484EEC">
        <w:fldChar w:fldCharType="begin"/>
      </w:r>
      <w:r w:rsidR="00803458" w:rsidRPr="00484EEC">
        <w:instrText xml:space="preserve"> REF _Ref88377222 \h  \* MERGEFORMAT </w:instrText>
      </w:r>
      <w:r w:rsidR="00803458" w:rsidRPr="00484EEC">
        <w:fldChar w:fldCharType="separate"/>
      </w:r>
      <w:r w:rsidR="00FD64B0" w:rsidRPr="008B005E">
        <w:t xml:space="preserve">Table </w:t>
      </w:r>
      <w:r w:rsidR="00FD64B0">
        <w:rPr>
          <w:noProof/>
        </w:rPr>
        <w:t>3</w:t>
      </w:r>
      <w:r w:rsidR="00803458" w:rsidRPr="00484EEC">
        <w:fldChar w:fldCharType="end"/>
      </w:r>
      <w:r w:rsidR="00803458" w:rsidRPr="003126A6">
        <w:t>.</w:t>
      </w:r>
      <w:r w:rsidR="00803458">
        <w:t xml:space="preserve"> </w:t>
      </w:r>
    </w:p>
    <w:p w14:paraId="71212A18" w14:textId="77777777" w:rsidR="00F256C1" w:rsidRPr="003126A6" w:rsidRDefault="00F256C1" w:rsidP="00AA7232">
      <w:pPr>
        <w:pStyle w:val="Heading4"/>
      </w:pPr>
      <w:r w:rsidRPr="003126A6">
        <w:t>Outline how participation risks will be managed</w:t>
      </w:r>
    </w:p>
    <w:p w14:paraId="2058C99D" w14:textId="6573243C" w:rsidR="00F256C1" w:rsidRPr="003126A6" w:rsidRDefault="00F256C1" w:rsidP="00F256C1">
      <w:pPr>
        <w:spacing w:line="259" w:lineRule="auto"/>
      </w:pPr>
      <w:r>
        <w:t xml:space="preserve">Based on the above analysis, what are the risks if you </w:t>
      </w:r>
      <w:r w:rsidR="7530038A" w:rsidRPr="10077A7C">
        <w:rPr>
          <w:b/>
          <w:bCs/>
        </w:rPr>
        <w:t>do not</w:t>
      </w:r>
      <w:r>
        <w:t xml:space="preserve"> engage with stakeholders? What are the risks if you do engage with stakeholders? What is the likelihood of these risks occurring? What would be the impact if they did occur? How will risks be managed?</w:t>
      </w:r>
    </w:p>
    <w:p w14:paraId="093B5F49" w14:textId="77777777" w:rsidR="00F256C1" w:rsidRPr="003126A6" w:rsidRDefault="00F256C1" w:rsidP="00AA7232">
      <w:pPr>
        <w:pStyle w:val="Heading4"/>
      </w:pPr>
      <w:r w:rsidRPr="003126A6">
        <w:lastRenderedPageBreak/>
        <w:t>Outline how success will be measured/evaluated</w:t>
      </w:r>
    </w:p>
    <w:p w14:paraId="45C31F6D" w14:textId="77777777" w:rsidR="00F256C1" w:rsidRPr="003126A6" w:rsidRDefault="00F256C1" w:rsidP="00F256C1">
      <w:pPr>
        <w:spacing w:line="259" w:lineRule="auto"/>
      </w:pPr>
      <w:r w:rsidRPr="003126A6">
        <w:t>What is the purpose of the evaluation? Who wants to know what from the evaluation? What evidence will be collected and how? When will the evaluation occur and what resources are required for it?</w:t>
      </w:r>
    </w:p>
    <w:p w14:paraId="6999835E" w14:textId="77777777" w:rsidR="00F256C1" w:rsidRPr="003126A6" w:rsidRDefault="00F256C1" w:rsidP="00AA7232">
      <w:pPr>
        <w:pStyle w:val="Heading4"/>
      </w:pPr>
      <w:r w:rsidRPr="003126A6">
        <w:t>Write up your plan and implement it</w:t>
      </w:r>
    </w:p>
    <w:p w14:paraId="6798068E" w14:textId="03410CFA" w:rsidR="00695C1B" w:rsidRPr="00C07C90" w:rsidRDefault="00F256C1" w:rsidP="00B36119">
      <w:pPr>
        <w:spacing w:line="259" w:lineRule="auto"/>
      </w:pPr>
      <w:r w:rsidRPr="003126A6">
        <w:t>Get buy-in internally and externally when you write up the plan. Evaluate and revise as you go along.</w:t>
      </w:r>
    </w:p>
    <w:p w14:paraId="70CED3FE" w14:textId="38521E49" w:rsidR="00C07C90" w:rsidRPr="00E61BA4" w:rsidRDefault="00C07C90" w:rsidP="00B36119">
      <w:pPr>
        <w:spacing w:line="259" w:lineRule="auto"/>
        <w:rPr>
          <w:b/>
          <w:bCs/>
          <w:i/>
          <w:iCs/>
        </w:rPr>
        <w:sectPr w:rsidR="00C07C90" w:rsidRPr="00E61BA4" w:rsidSect="00982BA7">
          <w:headerReference w:type="even" r:id="rId44"/>
          <w:footerReference w:type="first" r:id="rId45"/>
          <w:type w:val="continuous"/>
          <w:pgSz w:w="11906" w:h="16838" w:code="9"/>
          <w:pgMar w:top="926" w:right="743" w:bottom="2118" w:left="987" w:header="709" w:footer="709" w:gutter="0"/>
          <w:cols w:space="720"/>
          <w:titlePg/>
          <w:docGrid w:linePitch="360"/>
        </w:sectPr>
      </w:pPr>
    </w:p>
    <w:p w14:paraId="44C282BE" w14:textId="22BFED0D" w:rsidR="00D12099" w:rsidRDefault="008B005E" w:rsidP="00D12099">
      <w:pPr>
        <w:pStyle w:val="Caption"/>
      </w:pPr>
      <w:bookmarkStart w:id="78" w:name="_Ref88377222"/>
      <w:r w:rsidRPr="008B005E">
        <w:lastRenderedPageBreak/>
        <w:t xml:space="preserve">Table </w:t>
      </w:r>
      <w:fldSimple w:instr=" SEQ Table \* ARABIC ">
        <w:r w:rsidR="00FD64B0">
          <w:rPr>
            <w:noProof/>
          </w:rPr>
          <w:t>3</w:t>
        </w:r>
      </w:fldSimple>
      <w:bookmarkEnd w:id="78"/>
      <w:r w:rsidRPr="008B005E">
        <w:t xml:space="preserve"> – Summary of the IAP2 Public Participation Spectrum developed by the International Association for Public Participation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2728"/>
        <w:gridCol w:w="2498"/>
        <w:gridCol w:w="2976"/>
        <w:gridCol w:w="3173"/>
        <w:gridCol w:w="1908"/>
      </w:tblGrid>
      <w:tr w:rsidR="00D12099" w:rsidRPr="00D12099" w14:paraId="7B7A52FC" w14:textId="77777777" w:rsidTr="00D12099">
        <w:trPr>
          <w:trHeight w:val="335"/>
          <w:tblHeader/>
        </w:trPr>
        <w:tc>
          <w:tcPr>
            <w:tcW w:w="411" w:type="pct"/>
            <w:tcBorders>
              <w:top w:val="nil"/>
              <w:left w:val="nil"/>
              <w:bottom w:val="nil"/>
              <w:right w:val="nil"/>
            </w:tcBorders>
            <w:shd w:val="clear" w:color="auto" w:fill="auto"/>
          </w:tcPr>
          <w:p w14:paraId="6D131A75" w14:textId="77777777" w:rsidR="00D12099" w:rsidRPr="00D12099" w:rsidRDefault="00D12099" w:rsidP="00D12099">
            <w:pPr>
              <w:pStyle w:val="Tabletext0"/>
            </w:pPr>
          </w:p>
        </w:tc>
        <w:tc>
          <w:tcPr>
            <w:tcW w:w="942" w:type="pct"/>
            <w:tcBorders>
              <w:left w:val="nil"/>
            </w:tcBorders>
            <w:shd w:val="clear" w:color="auto" w:fill="003F72"/>
          </w:tcPr>
          <w:p w14:paraId="10EADD0A" w14:textId="77777777" w:rsidR="00D12099" w:rsidRPr="00D12099" w:rsidRDefault="00D12099" w:rsidP="00D12099">
            <w:pPr>
              <w:pStyle w:val="Tabletext0"/>
            </w:pPr>
            <w:r w:rsidRPr="00D12099">
              <w:t>Inform</w:t>
            </w:r>
          </w:p>
        </w:tc>
        <w:tc>
          <w:tcPr>
            <w:tcW w:w="863" w:type="pct"/>
            <w:shd w:val="clear" w:color="auto" w:fill="003F72"/>
          </w:tcPr>
          <w:p w14:paraId="1D2E76B7" w14:textId="77777777" w:rsidR="00D12099" w:rsidRPr="00D12099" w:rsidRDefault="00D12099" w:rsidP="00D12099">
            <w:pPr>
              <w:pStyle w:val="Tabletext0"/>
            </w:pPr>
            <w:r w:rsidRPr="00D12099">
              <w:t>Consult</w:t>
            </w:r>
          </w:p>
        </w:tc>
        <w:tc>
          <w:tcPr>
            <w:tcW w:w="1028" w:type="pct"/>
            <w:shd w:val="clear" w:color="auto" w:fill="003F72"/>
          </w:tcPr>
          <w:p w14:paraId="1A8D1928" w14:textId="77777777" w:rsidR="00D12099" w:rsidRPr="00D12099" w:rsidRDefault="00D12099" w:rsidP="00D12099">
            <w:pPr>
              <w:pStyle w:val="Tabletext0"/>
            </w:pPr>
            <w:r w:rsidRPr="00D12099">
              <w:t>Involve</w:t>
            </w:r>
          </w:p>
        </w:tc>
        <w:tc>
          <w:tcPr>
            <w:tcW w:w="1096" w:type="pct"/>
            <w:shd w:val="clear" w:color="auto" w:fill="003F72"/>
          </w:tcPr>
          <w:p w14:paraId="320AE2BB" w14:textId="77777777" w:rsidR="00D12099" w:rsidRPr="00D12099" w:rsidRDefault="00D12099" w:rsidP="00D12099">
            <w:pPr>
              <w:pStyle w:val="Tabletext0"/>
            </w:pPr>
            <w:r w:rsidRPr="00D12099">
              <w:t>Collaborate</w:t>
            </w:r>
          </w:p>
        </w:tc>
        <w:tc>
          <w:tcPr>
            <w:tcW w:w="659" w:type="pct"/>
            <w:shd w:val="clear" w:color="auto" w:fill="003F72"/>
          </w:tcPr>
          <w:p w14:paraId="66A8F98C" w14:textId="77777777" w:rsidR="00D12099" w:rsidRPr="00D12099" w:rsidRDefault="00D12099" w:rsidP="00D12099">
            <w:pPr>
              <w:pStyle w:val="Tabletext0"/>
            </w:pPr>
            <w:r w:rsidRPr="00D12099">
              <w:t>Empower</w:t>
            </w:r>
          </w:p>
        </w:tc>
      </w:tr>
      <w:tr w:rsidR="00D12099" w:rsidRPr="00D12099" w14:paraId="2F335EC6" w14:textId="77777777" w:rsidTr="00D12099">
        <w:trPr>
          <w:trHeight w:val="1701"/>
          <w:tblHeader/>
        </w:trPr>
        <w:tc>
          <w:tcPr>
            <w:tcW w:w="411" w:type="pct"/>
            <w:tcBorders>
              <w:top w:val="nil"/>
            </w:tcBorders>
            <w:shd w:val="clear" w:color="auto" w:fill="003F72"/>
          </w:tcPr>
          <w:p w14:paraId="1ECE99AA" w14:textId="77777777" w:rsidR="00D12099" w:rsidRPr="00D12099" w:rsidRDefault="00D12099" w:rsidP="00D12099">
            <w:pPr>
              <w:pStyle w:val="Tabletext0"/>
            </w:pPr>
            <w:r w:rsidRPr="00D12099">
              <w:t>Goal</w:t>
            </w:r>
          </w:p>
        </w:tc>
        <w:tc>
          <w:tcPr>
            <w:tcW w:w="942" w:type="pct"/>
          </w:tcPr>
          <w:p w14:paraId="76E9DC01" w14:textId="77777777" w:rsidR="00D12099" w:rsidRPr="00D12099" w:rsidRDefault="00D12099" w:rsidP="00D12099">
            <w:pPr>
              <w:pStyle w:val="Tabletext0"/>
            </w:pPr>
            <w:r w:rsidRPr="00D12099">
              <w:t>To provide stakeholders with balanced and objective information to assist them in understanding the problems, alternatives, opportunities and/or solutions.</w:t>
            </w:r>
          </w:p>
        </w:tc>
        <w:tc>
          <w:tcPr>
            <w:tcW w:w="863" w:type="pct"/>
          </w:tcPr>
          <w:p w14:paraId="04AA1CFC" w14:textId="77777777" w:rsidR="00D12099" w:rsidRPr="00D12099" w:rsidRDefault="00D12099" w:rsidP="00D12099">
            <w:pPr>
              <w:pStyle w:val="Tabletext0"/>
            </w:pPr>
            <w:r w:rsidRPr="00D12099">
              <w:t>To obtain feedback from stakeholders on analysis, alternatives and/or decisions.</w:t>
            </w:r>
          </w:p>
        </w:tc>
        <w:tc>
          <w:tcPr>
            <w:tcW w:w="1028" w:type="pct"/>
          </w:tcPr>
          <w:p w14:paraId="0D26A486" w14:textId="77777777" w:rsidR="00D12099" w:rsidRPr="00D12099" w:rsidRDefault="00D12099" w:rsidP="00D12099">
            <w:pPr>
              <w:pStyle w:val="Tabletext0"/>
            </w:pPr>
            <w:r w:rsidRPr="00D12099">
              <w:t>To work directly with stakeholders throughout the process to ensure that their concerns and aspirations are consistently understood and considered.</w:t>
            </w:r>
          </w:p>
        </w:tc>
        <w:tc>
          <w:tcPr>
            <w:tcW w:w="1096" w:type="pct"/>
          </w:tcPr>
          <w:p w14:paraId="1E826C44" w14:textId="77777777" w:rsidR="00D12099" w:rsidRPr="00D12099" w:rsidRDefault="00D12099" w:rsidP="00D12099">
            <w:pPr>
              <w:pStyle w:val="Tabletext0"/>
            </w:pPr>
            <w:r w:rsidRPr="00D12099">
              <w:t xml:space="preserve">To partner with stakeholders in each aspect of the decision including the development of alternatives and the identification of the preferred solution. </w:t>
            </w:r>
          </w:p>
        </w:tc>
        <w:tc>
          <w:tcPr>
            <w:tcW w:w="659" w:type="pct"/>
          </w:tcPr>
          <w:p w14:paraId="0C804067" w14:textId="77777777" w:rsidR="00D12099" w:rsidRPr="00D12099" w:rsidRDefault="00D12099" w:rsidP="00D12099">
            <w:pPr>
              <w:pStyle w:val="Tabletext0"/>
            </w:pPr>
            <w:r w:rsidRPr="00D12099">
              <w:t>To place final decision making in the hands of stakeholders.</w:t>
            </w:r>
          </w:p>
        </w:tc>
      </w:tr>
      <w:tr w:rsidR="00D12099" w:rsidRPr="00D12099" w14:paraId="13CDCE6C" w14:textId="77777777" w:rsidTr="00D12099">
        <w:trPr>
          <w:trHeight w:val="2574"/>
          <w:tblHeader/>
        </w:trPr>
        <w:tc>
          <w:tcPr>
            <w:tcW w:w="411" w:type="pct"/>
            <w:tcBorders>
              <w:bottom w:val="single" w:sz="4" w:space="0" w:color="auto"/>
            </w:tcBorders>
            <w:shd w:val="clear" w:color="auto" w:fill="003F72"/>
          </w:tcPr>
          <w:p w14:paraId="60C7A3F9" w14:textId="77777777" w:rsidR="00D12099" w:rsidRPr="00D12099" w:rsidRDefault="00D12099" w:rsidP="00D12099">
            <w:pPr>
              <w:pStyle w:val="Tabletext0"/>
            </w:pPr>
            <w:r w:rsidRPr="00D12099">
              <w:t>Promise to the public</w:t>
            </w:r>
          </w:p>
        </w:tc>
        <w:tc>
          <w:tcPr>
            <w:tcW w:w="942" w:type="pct"/>
            <w:tcBorders>
              <w:bottom w:val="single" w:sz="4" w:space="0" w:color="auto"/>
            </w:tcBorders>
          </w:tcPr>
          <w:p w14:paraId="65EA83B0" w14:textId="77777777" w:rsidR="00D12099" w:rsidRPr="00D12099" w:rsidRDefault="00D12099" w:rsidP="00D12099">
            <w:pPr>
              <w:pStyle w:val="Tabletext0"/>
            </w:pPr>
            <w:r w:rsidRPr="00D12099">
              <w:t>We will keep you informed.</w:t>
            </w:r>
          </w:p>
        </w:tc>
        <w:tc>
          <w:tcPr>
            <w:tcW w:w="863" w:type="pct"/>
            <w:tcBorders>
              <w:bottom w:val="single" w:sz="4" w:space="0" w:color="auto"/>
            </w:tcBorders>
          </w:tcPr>
          <w:p w14:paraId="70CAD6EB" w14:textId="77777777" w:rsidR="00D12099" w:rsidRPr="00D12099" w:rsidRDefault="00D12099" w:rsidP="00D12099">
            <w:pPr>
              <w:pStyle w:val="Tabletext0"/>
            </w:pPr>
            <w:r w:rsidRPr="00D12099">
              <w:t>We will keep you informed, listen to and acknowledge concerns and aspirations, and provide feedback on how your input influenced the decision.</w:t>
            </w:r>
          </w:p>
        </w:tc>
        <w:tc>
          <w:tcPr>
            <w:tcW w:w="1028" w:type="pct"/>
            <w:tcBorders>
              <w:bottom w:val="single" w:sz="4" w:space="0" w:color="auto"/>
            </w:tcBorders>
          </w:tcPr>
          <w:p w14:paraId="30A3E95D" w14:textId="77777777" w:rsidR="00D12099" w:rsidRPr="00D12099" w:rsidRDefault="00D12099" w:rsidP="00D12099">
            <w:pPr>
              <w:pStyle w:val="Tabletext0"/>
            </w:pPr>
            <w:r w:rsidRPr="00D12099">
              <w:t>We will work with you to ensure that your concerns and aspirations are directly reflected in the alternatives developed and provide feedback on how your input influenced the decision.</w:t>
            </w:r>
          </w:p>
        </w:tc>
        <w:tc>
          <w:tcPr>
            <w:tcW w:w="1096" w:type="pct"/>
            <w:tcBorders>
              <w:bottom w:val="single" w:sz="4" w:space="0" w:color="auto"/>
            </w:tcBorders>
          </w:tcPr>
          <w:p w14:paraId="1B3C4F28" w14:textId="77777777" w:rsidR="00D12099" w:rsidRPr="00D12099" w:rsidRDefault="00D12099" w:rsidP="00D12099">
            <w:pPr>
              <w:pStyle w:val="Tabletext0"/>
            </w:pPr>
            <w:r w:rsidRPr="00D12099">
              <w:t>We will look to you for advice and innovation in formulating solutions and incorporate your advice and recommendations into the decisions to the maximum extent possible.</w:t>
            </w:r>
          </w:p>
        </w:tc>
        <w:tc>
          <w:tcPr>
            <w:tcW w:w="659" w:type="pct"/>
            <w:tcBorders>
              <w:bottom w:val="single" w:sz="4" w:space="0" w:color="auto"/>
            </w:tcBorders>
          </w:tcPr>
          <w:p w14:paraId="73B5781C" w14:textId="77777777" w:rsidR="00D12099" w:rsidRPr="00D12099" w:rsidRDefault="00D12099" w:rsidP="00D12099">
            <w:pPr>
              <w:pStyle w:val="Tabletext0"/>
            </w:pPr>
            <w:r w:rsidRPr="00D12099">
              <w:t>We will implement what you decide.</w:t>
            </w:r>
          </w:p>
        </w:tc>
      </w:tr>
      <w:tr w:rsidR="00D12099" w:rsidRPr="00D12099" w14:paraId="25D6F050" w14:textId="77777777" w:rsidTr="00D12099">
        <w:trPr>
          <w:trHeight w:val="983"/>
          <w:tblHeader/>
        </w:trPr>
        <w:tc>
          <w:tcPr>
            <w:tcW w:w="411" w:type="pct"/>
            <w:shd w:val="clear" w:color="auto" w:fill="003F72"/>
          </w:tcPr>
          <w:p w14:paraId="5974CFA3" w14:textId="77777777" w:rsidR="00D12099" w:rsidRPr="00D12099" w:rsidRDefault="00D12099" w:rsidP="00D12099">
            <w:pPr>
              <w:pStyle w:val="Tabletext0"/>
            </w:pPr>
            <w:r w:rsidRPr="00D12099">
              <w:t xml:space="preserve">Example tools </w:t>
            </w:r>
          </w:p>
        </w:tc>
        <w:tc>
          <w:tcPr>
            <w:tcW w:w="942" w:type="pct"/>
          </w:tcPr>
          <w:p w14:paraId="714E8836" w14:textId="77777777" w:rsidR="00D12099" w:rsidRPr="00D12099" w:rsidRDefault="00D12099" w:rsidP="00D12099">
            <w:pPr>
              <w:pStyle w:val="Tabletext0"/>
            </w:pPr>
            <w:r w:rsidRPr="00D12099">
              <w:t>Fact sheets</w:t>
            </w:r>
          </w:p>
          <w:p w14:paraId="6CCC8450" w14:textId="77777777" w:rsidR="00D12099" w:rsidRPr="00D12099" w:rsidRDefault="00D12099" w:rsidP="00D12099">
            <w:pPr>
              <w:pStyle w:val="Tabletext0"/>
            </w:pPr>
            <w:r w:rsidRPr="00D12099">
              <w:t>Newsletters</w:t>
            </w:r>
          </w:p>
          <w:p w14:paraId="7CFCE546" w14:textId="77777777" w:rsidR="00D12099" w:rsidRPr="00D12099" w:rsidRDefault="00D12099" w:rsidP="00D12099">
            <w:pPr>
              <w:pStyle w:val="Tabletext0"/>
            </w:pPr>
            <w:r w:rsidRPr="00D12099">
              <w:t>Field trips/open days</w:t>
            </w:r>
          </w:p>
          <w:p w14:paraId="0CF4A425" w14:textId="77777777" w:rsidR="00D12099" w:rsidRPr="00D12099" w:rsidRDefault="00D12099" w:rsidP="00D12099">
            <w:pPr>
              <w:pStyle w:val="Tabletext0"/>
            </w:pPr>
            <w:r w:rsidRPr="00D12099">
              <w:t>Web sites</w:t>
            </w:r>
          </w:p>
          <w:p w14:paraId="2049E0B5" w14:textId="77777777" w:rsidR="00D12099" w:rsidRDefault="00D12099" w:rsidP="00D12099">
            <w:pPr>
              <w:pStyle w:val="Tabletext0"/>
            </w:pPr>
            <w:r w:rsidRPr="00D12099">
              <w:t>Stakeholder information sessions</w:t>
            </w:r>
          </w:p>
          <w:p w14:paraId="4D3E3B3F" w14:textId="77777777" w:rsidR="00D12099" w:rsidRPr="00D12099" w:rsidRDefault="00D12099" w:rsidP="00D12099"/>
          <w:p w14:paraId="6773C244" w14:textId="77777777" w:rsidR="00D12099" w:rsidRPr="00D12099" w:rsidRDefault="00D12099" w:rsidP="00D12099"/>
          <w:p w14:paraId="5EF0977F" w14:textId="77777777" w:rsidR="00D12099" w:rsidRPr="00D12099" w:rsidRDefault="00D12099" w:rsidP="00D12099"/>
        </w:tc>
        <w:tc>
          <w:tcPr>
            <w:tcW w:w="863" w:type="pct"/>
          </w:tcPr>
          <w:p w14:paraId="4EF0D973" w14:textId="77777777" w:rsidR="00D12099" w:rsidRPr="00D12099" w:rsidRDefault="00D12099" w:rsidP="00D12099">
            <w:pPr>
              <w:pStyle w:val="Tabletext0"/>
            </w:pPr>
            <w:r w:rsidRPr="00D12099">
              <w:t>Surveys</w:t>
            </w:r>
          </w:p>
          <w:p w14:paraId="08D2E35A" w14:textId="77777777" w:rsidR="00D12099" w:rsidRPr="00D12099" w:rsidRDefault="00D12099" w:rsidP="00D12099">
            <w:pPr>
              <w:pStyle w:val="Tabletext0"/>
            </w:pPr>
            <w:r w:rsidRPr="00D12099">
              <w:t>Focus groups</w:t>
            </w:r>
          </w:p>
          <w:p w14:paraId="1D68AD9E" w14:textId="77777777" w:rsidR="00D12099" w:rsidRPr="00D12099" w:rsidRDefault="00D12099" w:rsidP="00D12099">
            <w:pPr>
              <w:pStyle w:val="Tabletext0"/>
            </w:pPr>
            <w:r w:rsidRPr="00D12099">
              <w:t>Workshops</w:t>
            </w:r>
          </w:p>
          <w:p w14:paraId="53D94989" w14:textId="77777777" w:rsidR="00D12099" w:rsidRPr="00D12099" w:rsidRDefault="00D12099" w:rsidP="00D12099">
            <w:pPr>
              <w:pStyle w:val="Tabletext0"/>
            </w:pPr>
            <w:r w:rsidRPr="00D12099">
              <w:t>Polling</w:t>
            </w:r>
          </w:p>
        </w:tc>
        <w:tc>
          <w:tcPr>
            <w:tcW w:w="1028" w:type="pct"/>
          </w:tcPr>
          <w:p w14:paraId="51E6DD04" w14:textId="77777777" w:rsidR="00D12099" w:rsidRPr="00D12099" w:rsidRDefault="00D12099" w:rsidP="00D12099">
            <w:pPr>
              <w:pStyle w:val="Tabletext0"/>
            </w:pPr>
            <w:r w:rsidRPr="00D12099">
              <w:t>One-on-one discussions</w:t>
            </w:r>
          </w:p>
          <w:p w14:paraId="20B9D0E6" w14:textId="77777777" w:rsidR="00D12099" w:rsidRPr="00D12099" w:rsidRDefault="00D12099" w:rsidP="00D12099">
            <w:pPr>
              <w:pStyle w:val="Tabletext0"/>
            </w:pPr>
            <w:r w:rsidRPr="00D12099">
              <w:t>Workshops</w:t>
            </w:r>
          </w:p>
          <w:p w14:paraId="138FD75B" w14:textId="77777777" w:rsidR="00D12099" w:rsidRPr="00D12099" w:rsidRDefault="00D12099" w:rsidP="00D12099">
            <w:pPr>
              <w:pStyle w:val="Tabletext0"/>
            </w:pPr>
            <w:r w:rsidRPr="00D12099">
              <w:t>Meetings</w:t>
            </w:r>
          </w:p>
          <w:p w14:paraId="104582B2" w14:textId="77777777" w:rsidR="00D12099" w:rsidRPr="00D12099" w:rsidRDefault="00D12099" w:rsidP="00D12099">
            <w:pPr>
              <w:pStyle w:val="Tabletext0"/>
            </w:pPr>
            <w:r w:rsidRPr="00D12099">
              <w:t>Development of conceptual models</w:t>
            </w:r>
          </w:p>
          <w:p w14:paraId="55B3A8D3" w14:textId="77777777" w:rsidR="00D12099" w:rsidRPr="00D12099" w:rsidRDefault="00D12099" w:rsidP="00D12099">
            <w:pPr>
              <w:pStyle w:val="Tabletext0"/>
            </w:pPr>
            <w:r w:rsidRPr="00D12099">
              <w:t>Feedback tools on how input has been incorporated (for example, documentation sent to stakeholders or verbal feedback sessions)</w:t>
            </w:r>
          </w:p>
        </w:tc>
        <w:tc>
          <w:tcPr>
            <w:tcW w:w="1096" w:type="pct"/>
          </w:tcPr>
          <w:p w14:paraId="68608F66" w14:textId="77777777" w:rsidR="00D12099" w:rsidRPr="00D12099" w:rsidRDefault="00D12099" w:rsidP="00D12099">
            <w:pPr>
              <w:pStyle w:val="Tabletext0"/>
            </w:pPr>
            <w:r w:rsidRPr="00D12099">
              <w:t>One-on-one discussions</w:t>
            </w:r>
          </w:p>
          <w:p w14:paraId="5B6A39B5" w14:textId="77777777" w:rsidR="00D12099" w:rsidRPr="00D12099" w:rsidRDefault="00D12099" w:rsidP="00D12099">
            <w:pPr>
              <w:pStyle w:val="Tabletext0"/>
            </w:pPr>
            <w:r w:rsidRPr="00D12099">
              <w:t>Workshops</w:t>
            </w:r>
          </w:p>
          <w:p w14:paraId="1534C60C" w14:textId="77777777" w:rsidR="00D12099" w:rsidRPr="00D12099" w:rsidRDefault="00D12099" w:rsidP="00D12099">
            <w:pPr>
              <w:pStyle w:val="Tabletext0"/>
            </w:pPr>
            <w:r w:rsidRPr="00D12099">
              <w:t>Meetings</w:t>
            </w:r>
          </w:p>
          <w:p w14:paraId="249E866A" w14:textId="77777777" w:rsidR="00D12099" w:rsidRPr="00D12099" w:rsidRDefault="00D12099" w:rsidP="00D12099">
            <w:pPr>
              <w:pStyle w:val="Tabletext0"/>
            </w:pPr>
            <w:r w:rsidRPr="00D12099">
              <w:t>Development of conceptual models</w:t>
            </w:r>
          </w:p>
          <w:p w14:paraId="709751FE" w14:textId="77777777" w:rsidR="00D12099" w:rsidRPr="00D12099" w:rsidRDefault="00D12099" w:rsidP="00D12099">
            <w:pPr>
              <w:pStyle w:val="Tabletext0"/>
            </w:pPr>
            <w:r w:rsidRPr="00D12099">
              <w:t>Participatory decision-making</w:t>
            </w:r>
          </w:p>
          <w:p w14:paraId="78317408" w14:textId="77777777" w:rsidR="00D12099" w:rsidRPr="00D12099" w:rsidRDefault="00D12099" w:rsidP="00D12099">
            <w:pPr>
              <w:pStyle w:val="Tabletext0"/>
            </w:pPr>
            <w:r w:rsidRPr="00D12099">
              <w:t>Consensus-building</w:t>
            </w:r>
          </w:p>
          <w:p w14:paraId="1C3D535D" w14:textId="77777777" w:rsidR="00D12099" w:rsidRPr="00D12099" w:rsidRDefault="00D12099" w:rsidP="00D12099">
            <w:pPr>
              <w:pStyle w:val="Tabletext0"/>
            </w:pPr>
            <w:r w:rsidRPr="00D12099">
              <w:t>Steering committees</w:t>
            </w:r>
          </w:p>
          <w:p w14:paraId="77B3E562" w14:textId="77777777" w:rsidR="00D12099" w:rsidRPr="00D12099" w:rsidRDefault="00D12099" w:rsidP="00D12099">
            <w:pPr>
              <w:pStyle w:val="Tabletext0"/>
            </w:pPr>
            <w:r w:rsidRPr="00D12099">
              <w:t>Advisory panels</w:t>
            </w:r>
          </w:p>
        </w:tc>
        <w:tc>
          <w:tcPr>
            <w:tcW w:w="659" w:type="pct"/>
          </w:tcPr>
          <w:p w14:paraId="4B73CF32" w14:textId="77777777" w:rsidR="00D12099" w:rsidRPr="00D12099" w:rsidRDefault="00D12099" w:rsidP="00D12099">
            <w:pPr>
              <w:pStyle w:val="Tabletext0"/>
            </w:pPr>
            <w:r w:rsidRPr="00D12099">
              <w:t>Delegated decisions</w:t>
            </w:r>
          </w:p>
          <w:p w14:paraId="34E08EE6" w14:textId="77777777" w:rsidR="00D12099" w:rsidRPr="00D12099" w:rsidRDefault="00D12099" w:rsidP="00D12099">
            <w:pPr>
              <w:pStyle w:val="Tabletext0"/>
            </w:pPr>
            <w:r w:rsidRPr="00D12099">
              <w:t>Ballots</w:t>
            </w:r>
          </w:p>
        </w:tc>
      </w:tr>
    </w:tbl>
    <w:p w14:paraId="466B40CB" w14:textId="77777777" w:rsidR="00D12099" w:rsidRDefault="00D12099">
      <w:pPr>
        <w:spacing w:after="0"/>
        <w:sectPr w:rsidR="00D12099" w:rsidSect="00D12099">
          <w:headerReference w:type="even" r:id="rId46"/>
          <w:footerReference w:type="first" r:id="rId47"/>
          <w:pgSz w:w="16838" w:h="11906" w:orient="landscape" w:code="9"/>
          <w:pgMar w:top="715" w:right="1321" w:bottom="987" w:left="1038" w:header="709" w:footer="611" w:gutter="0"/>
          <w:cols w:space="720"/>
          <w:titlePg/>
          <w:docGrid w:linePitch="360"/>
        </w:sectPr>
      </w:pPr>
    </w:p>
    <w:p w14:paraId="5332E1E4" w14:textId="0434F424" w:rsidR="002964AD" w:rsidRPr="002964AD" w:rsidRDefault="002964AD" w:rsidP="00917DCC">
      <w:pPr>
        <w:pStyle w:val="Heading1"/>
        <w:rPr>
          <w:rFonts w:ascii="VIC" w:hAnsi="VIC" w:cs="Arial"/>
          <w:sz w:val="22"/>
          <w:szCs w:val="22"/>
          <w:lang w:val="en-GB"/>
        </w:rPr>
      </w:pPr>
      <w:bookmarkStart w:id="79" w:name="_Toc129783860"/>
      <w:bookmarkStart w:id="80" w:name="_Toc129784092"/>
      <w:bookmarkStart w:id="81" w:name="_Toc129786340"/>
      <w:bookmarkStart w:id="82" w:name="_Toc129786975"/>
      <w:bookmarkStart w:id="83" w:name="_Toc129787075"/>
      <w:bookmarkStart w:id="84" w:name="_Toc129787156"/>
      <w:bookmarkStart w:id="85" w:name="_Toc130207822"/>
      <w:bookmarkStart w:id="86" w:name="_Toc130208022"/>
      <w:bookmarkStart w:id="87" w:name="_Toc130208720"/>
      <w:bookmarkStart w:id="88" w:name="_Toc130208985"/>
      <w:bookmarkStart w:id="89" w:name="_Toc133938154"/>
      <w:bookmarkEnd w:id="79"/>
      <w:bookmarkEnd w:id="80"/>
      <w:bookmarkEnd w:id="81"/>
      <w:bookmarkEnd w:id="82"/>
      <w:bookmarkEnd w:id="83"/>
      <w:bookmarkEnd w:id="84"/>
      <w:bookmarkEnd w:id="85"/>
      <w:bookmarkEnd w:id="86"/>
      <w:bookmarkEnd w:id="87"/>
      <w:bookmarkEnd w:id="88"/>
      <w:r>
        <w:lastRenderedPageBreak/>
        <w:t>Mixing zone and the risk assessment process</w:t>
      </w:r>
      <w:bookmarkEnd w:id="89"/>
    </w:p>
    <w:p w14:paraId="0B49E3AB" w14:textId="77777777" w:rsidR="004E5FEA" w:rsidRDefault="005F1314" w:rsidP="00484EEC">
      <w:r>
        <w:t xml:space="preserve">A mixing zone is an area where </w:t>
      </w:r>
      <w:r w:rsidR="47DD91F6">
        <w:t xml:space="preserve">discharged </w:t>
      </w:r>
      <w:r>
        <w:t>wastewater mixes rapidly with receiving waters</w:t>
      </w:r>
      <w:r w:rsidR="452783FB">
        <w:t>, before being advected from the site by ambient flow</w:t>
      </w:r>
      <w:r>
        <w:t xml:space="preserve">. </w:t>
      </w:r>
      <w:r w:rsidR="0C64DB6A">
        <w:t xml:space="preserve">In a management context, mixing zones are often defined as a bounded area around an effluent discharge where the designated </w:t>
      </w:r>
      <w:r w:rsidR="51D40E03">
        <w:t>e</w:t>
      </w:r>
      <w:r w:rsidR="0C64DB6A">
        <w:t xml:space="preserve">nvironmental </w:t>
      </w:r>
      <w:r w:rsidR="317842B7">
        <w:t>v</w:t>
      </w:r>
      <w:r w:rsidR="0C64DB6A">
        <w:t xml:space="preserve">alues </w:t>
      </w:r>
      <w:r w:rsidR="1DADB849">
        <w:t>as outlined in the E</w:t>
      </w:r>
      <w:r w:rsidR="002655AE">
        <w:t>RS</w:t>
      </w:r>
      <w:r w:rsidR="0C64DB6A">
        <w:t xml:space="preserve"> may not be protected</w:t>
      </w:r>
      <w:r w:rsidR="5573F607">
        <w:t xml:space="preserve">. </w:t>
      </w:r>
    </w:p>
    <w:p w14:paraId="1C9CD6BB" w14:textId="1D7E2478" w:rsidR="005F1314" w:rsidRPr="007C73D6" w:rsidRDefault="00BE7A8A" w:rsidP="00484EEC">
      <w:r>
        <w:t>The duty holder</w:t>
      </w:r>
      <w:r w:rsidR="005F1314">
        <w:t xml:space="preserve"> must eliminate any potential discharges so far as reasonably practicable before a mixing zone is considered. If discharging is then necessary, </w:t>
      </w:r>
      <w:r w:rsidR="00C8551B">
        <w:t>the duty holder</w:t>
      </w:r>
      <w:r w:rsidR="005F1314">
        <w:t xml:space="preserve"> must take a risk mitigation approach consistent with the GED, rather than just </w:t>
      </w:r>
      <w:r w:rsidR="00BC1284">
        <w:t xml:space="preserve">accepting </w:t>
      </w:r>
      <w:r w:rsidR="005F1314">
        <w:t>an area where pollution occurs.</w:t>
      </w:r>
    </w:p>
    <w:p w14:paraId="539886F4" w14:textId="77777777" w:rsidR="004E5FEA" w:rsidRDefault="005F1314" w:rsidP="005F1314">
      <w:pPr>
        <w:rPr>
          <w:lang w:val="en-US"/>
        </w:rPr>
      </w:pPr>
      <w:r>
        <w:t xml:space="preserve">Under the </w:t>
      </w:r>
      <w:r w:rsidRPr="073E3263">
        <w:rPr>
          <w:i/>
          <w:iCs/>
        </w:rPr>
        <w:t>E</w:t>
      </w:r>
      <w:r w:rsidR="008F4E00">
        <w:rPr>
          <w:i/>
          <w:iCs/>
        </w:rPr>
        <w:t xml:space="preserve">nvironment </w:t>
      </w:r>
      <w:r w:rsidRPr="073E3263">
        <w:rPr>
          <w:i/>
          <w:iCs/>
        </w:rPr>
        <w:t>P</w:t>
      </w:r>
      <w:r w:rsidR="008F4E00">
        <w:rPr>
          <w:i/>
          <w:iCs/>
        </w:rPr>
        <w:t>rotection</w:t>
      </w:r>
      <w:r w:rsidRPr="073E3263">
        <w:rPr>
          <w:i/>
          <w:iCs/>
        </w:rPr>
        <w:t xml:space="preserve"> Act 1970</w:t>
      </w:r>
      <w:r>
        <w:t xml:space="preserve"> </w:t>
      </w:r>
      <w:r w:rsidR="00C95593">
        <w:t xml:space="preserve">State Environment Protection Policy (SEPP) </w:t>
      </w:r>
      <w:r>
        <w:t>(Waters), mixing zones were recognised as a tool EPA could use to manage risks associated with wastewater discharges from licenced sites (</w:t>
      </w:r>
      <w:r w:rsidRPr="073E3263">
        <w:rPr>
          <w:lang w:val="en-US"/>
        </w:rPr>
        <w:t xml:space="preserve">further information on how SEPPs transitioned to the new legislative framework can be found </w:t>
      </w:r>
      <w:r w:rsidR="006C01FB" w:rsidRPr="073E3263">
        <w:rPr>
          <w:lang w:val="en-US"/>
        </w:rPr>
        <w:t xml:space="preserve">in </w:t>
      </w:r>
      <w:r w:rsidR="006C01FB" w:rsidRPr="073E3263">
        <w:rPr>
          <w:i/>
          <w:iCs/>
          <w:lang w:val="en-US"/>
        </w:rPr>
        <w:t xml:space="preserve">Using </w:t>
      </w:r>
      <w:r w:rsidR="00DB07F2" w:rsidRPr="073E3263">
        <w:rPr>
          <w:i/>
          <w:iCs/>
          <w:lang w:val="en-US"/>
        </w:rPr>
        <w:t xml:space="preserve">SEPPs and WMPs in the new environment protection framework </w:t>
      </w:r>
      <w:r w:rsidR="00DB07F2" w:rsidRPr="073E3263">
        <w:rPr>
          <w:lang w:val="en-US"/>
        </w:rPr>
        <w:t>(</w:t>
      </w:r>
      <w:r w:rsidR="00260DC7">
        <w:rPr>
          <w:lang w:val="en-US"/>
        </w:rPr>
        <w:t>EPA publication</w:t>
      </w:r>
      <w:r w:rsidRPr="073E3263">
        <w:rPr>
          <w:lang w:val="en-US"/>
        </w:rPr>
        <w:t xml:space="preserve"> 1994)</w:t>
      </w:r>
      <w:r w:rsidR="004D36BE" w:rsidRPr="073E3263">
        <w:rPr>
          <w:lang w:val="en-US"/>
        </w:rPr>
        <w:t>.</w:t>
      </w:r>
      <w:r w:rsidRPr="073E3263">
        <w:rPr>
          <w:lang w:val="en-US"/>
        </w:rPr>
        <w:t xml:space="preserve"> </w:t>
      </w:r>
    </w:p>
    <w:p w14:paraId="1447D351" w14:textId="6C59FF00" w:rsidR="005F1314" w:rsidRPr="007C73D6" w:rsidRDefault="005F1314" w:rsidP="005F1314">
      <w:r>
        <w:t xml:space="preserve">Under the </w:t>
      </w:r>
      <w:r w:rsidR="008F4E00" w:rsidRPr="00422A64">
        <w:rPr>
          <w:rFonts w:cs="Arial"/>
          <w:i/>
          <w:iCs/>
        </w:rPr>
        <w:t>Environment Protection Act 2017</w:t>
      </w:r>
      <w:r w:rsidR="008F4E00" w:rsidRPr="00422A64">
        <w:rPr>
          <w:rFonts w:cs="Arial"/>
        </w:rPr>
        <w:t xml:space="preserve"> </w:t>
      </w:r>
      <w:r>
        <w:t xml:space="preserve">framework, EPA can incorporate the concept of mixing zones, consistent with the GED and the permissioning framework. </w:t>
      </w:r>
    </w:p>
    <w:p w14:paraId="228298BA" w14:textId="1FE168DC" w:rsidR="005F1314" w:rsidRPr="007C73D6" w:rsidRDefault="005F1314" w:rsidP="005F1314">
      <w:r w:rsidRPr="073E3263">
        <w:rPr>
          <w:lang w:val="en-US"/>
        </w:rPr>
        <w:t xml:space="preserve">Existing guidance </w:t>
      </w:r>
      <w:r w:rsidR="3DACD6B9" w:rsidRPr="073E3263">
        <w:rPr>
          <w:lang w:val="en-US"/>
        </w:rPr>
        <w:t xml:space="preserve">on mixing zones </w:t>
      </w:r>
      <w:r w:rsidRPr="073E3263">
        <w:rPr>
          <w:lang w:val="en-US"/>
        </w:rPr>
        <w:t xml:space="preserve">is available on the EPA website. </w:t>
      </w:r>
    </w:p>
    <w:p w14:paraId="4899B857" w14:textId="56EB5768" w:rsidR="0007610A" w:rsidRPr="0007610A" w:rsidRDefault="0007610A" w:rsidP="00917DCC">
      <w:pPr>
        <w:pStyle w:val="Heading1"/>
        <w:rPr>
          <w:rFonts w:ascii="VIC" w:hAnsi="VIC" w:cs="Arial"/>
          <w:sz w:val="22"/>
          <w:szCs w:val="22"/>
          <w:lang w:val="en-GB"/>
        </w:rPr>
      </w:pPr>
      <w:bookmarkStart w:id="90" w:name="_Toc133938155"/>
      <w:r>
        <w:t>Case studies</w:t>
      </w:r>
      <w:bookmarkEnd w:id="90"/>
    </w:p>
    <w:p w14:paraId="544DDF1D" w14:textId="6AEAE17F" w:rsidR="003B4538" w:rsidRPr="003B4538" w:rsidRDefault="003B4538" w:rsidP="003B4538">
      <w:r>
        <w:t>Case studies in</w:t>
      </w:r>
      <w:r w:rsidR="00F85C23">
        <w:t xml:space="preserve"> </w:t>
      </w:r>
      <w:r w:rsidR="00F21050">
        <w:t>Appendix B</w:t>
      </w:r>
      <w:r w:rsidR="006B52E6">
        <w:t xml:space="preserve"> </w:t>
      </w:r>
      <w:r>
        <w:t xml:space="preserve">are risk assessments developed by Barwon Water, Goulburn Valley Water and </w:t>
      </w:r>
      <w:bookmarkStart w:id="91" w:name="_Int_rHTTCG2m"/>
      <w:r>
        <w:t>North East</w:t>
      </w:r>
      <w:bookmarkEnd w:id="91"/>
      <w:r>
        <w:t xml:space="preserve"> Water. The case studies were included in the first publication of this guidance in 2009. EPA discussed the case studies with Barwon Water, Goulburn Valley Water and </w:t>
      </w:r>
      <w:bookmarkStart w:id="92" w:name="_Int_8rEHBmg/"/>
      <w:r>
        <w:t>North East</w:t>
      </w:r>
      <w:bookmarkEnd w:id="92"/>
      <w:r>
        <w:t xml:space="preserve"> Water during the review of this guidance and slight modifications were included. </w:t>
      </w:r>
    </w:p>
    <w:p w14:paraId="0CC71E79" w14:textId="2C30E41E" w:rsidR="003B4538" w:rsidRPr="003B4538" w:rsidRDefault="003B4538" w:rsidP="003B4538">
      <w:r>
        <w:t xml:space="preserve">Although the case studies presented in this guidance focus on wastewater discharges from large and small wastewater treatment plants, they can be used as examples for other prescribed permission activities with point-source discharges to surface waters, as well as for other sources or activities. The intent of the case studies is to guide users through the key elements within the risk assessment process. Readers are referred to </w:t>
      </w:r>
      <w:r w:rsidR="00F21050">
        <w:rPr>
          <w:rFonts w:asciiTheme="majorHAnsi" w:hAnsiTheme="majorHAnsi"/>
        </w:rPr>
        <w:t>Appendix C</w:t>
      </w:r>
      <w:r w:rsidR="009034E0">
        <w:t xml:space="preserve"> </w:t>
      </w:r>
      <w:r>
        <w:t xml:space="preserve">in this document for a comprehensive guide and examples of a human health risk assessment. </w:t>
      </w:r>
    </w:p>
    <w:p w14:paraId="319CF9DB" w14:textId="2B81EAB3" w:rsidR="00A63722" w:rsidRDefault="00A63722" w:rsidP="00917DCC">
      <w:pPr>
        <w:pStyle w:val="Heading1"/>
        <w:rPr>
          <w:rFonts w:ascii="VIC" w:hAnsi="VIC" w:cs="Arial"/>
          <w:sz w:val="22"/>
          <w:szCs w:val="22"/>
          <w:lang w:val="en-GB"/>
        </w:rPr>
      </w:pPr>
      <w:bookmarkStart w:id="93" w:name="_Toc133938156"/>
      <w:r>
        <w:t>Acknowledgments</w:t>
      </w:r>
      <w:bookmarkEnd w:id="93"/>
    </w:p>
    <w:p w14:paraId="7044F959" w14:textId="0189486F" w:rsidR="00CE45F3" w:rsidRDefault="00CE45F3" w:rsidP="00BD711C">
      <w:r>
        <w:t xml:space="preserve">EPA thanks Barwon Water, Goulburn Valley Water and </w:t>
      </w:r>
      <w:bookmarkStart w:id="94" w:name="_Int_0TKghxhw"/>
      <w:r>
        <w:t>North East</w:t>
      </w:r>
      <w:bookmarkEnd w:id="94"/>
      <w:r>
        <w:t xml:space="preserve"> Water for their participation in the case studies for this guidance.</w:t>
      </w:r>
    </w:p>
    <w:p w14:paraId="19174048" w14:textId="2201FB8C" w:rsidR="00E807C2" w:rsidRPr="00E807C2" w:rsidRDefault="00E807C2" w:rsidP="00917DCC">
      <w:pPr>
        <w:pStyle w:val="Heading1"/>
        <w:rPr>
          <w:rFonts w:ascii="VIC" w:hAnsi="VIC" w:cs="Arial"/>
          <w:sz w:val="22"/>
          <w:szCs w:val="22"/>
          <w:lang w:val="en-GB"/>
        </w:rPr>
      </w:pPr>
      <w:bookmarkStart w:id="95" w:name="_Toc133938157"/>
      <w:r>
        <w:t>References</w:t>
      </w:r>
      <w:bookmarkEnd w:id="95"/>
    </w:p>
    <w:p w14:paraId="18D9E66B" w14:textId="4DCDA918" w:rsidR="00F93E31" w:rsidRPr="00F93E31" w:rsidRDefault="00F93E31" w:rsidP="00F93E31">
      <w:r w:rsidRPr="00F93E31">
        <w:t>Australian and New Zealand Guidelines for Fresh and Marine Water Quality (ANZG). Australian and New Zealand Governments and Australian state and territory governments.</w:t>
      </w:r>
      <w:r w:rsidR="00E260E5">
        <w:t xml:space="preserve"> First published in 2018. Current version available </w:t>
      </w:r>
      <w:r w:rsidR="008E78E7">
        <w:t xml:space="preserve">online </w:t>
      </w:r>
      <w:r w:rsidR="00E260E5">
        <w:t>at</w:t>
      </w:r>
      <w:r w:rsidRPr="00F93E31">
        <w:t xml:space="preserve"> </w:t>
      </w:r>
      <w:hyperlink r:id="rId48" w:history="1">
        <w:r w:rsidRPr="00F93E31">
          <w:rPr>
            <w:rStyle w:val="Hyperlink"/>
            <w:rFonts w:cs="Calibri"/>
          </w:rPr>
          <w:t>www.waterquality.gov.au/anz-guidelines</w:t>
        </w:r>
      </w:hyperlink>
    </w:p>
    <w:p w14:paraId="33E30F2E" w14:textId="77777777" w:rsidR="00F93E31" w:rsidRPr="00485577" w:rsidRDefault="00F93E31" w:rsidP="00F93E31">
      <w:r w:rsidRPr="00485577">
        <w:t>Burgman MA 1999. Are Australian standards for risk analysis good enough? Australian Biologist 12: 125–137.</w:t>
      </w:r>
    </w:p>
    <w:p w14:paraId="6BC56EF7" w14:textId="77777777" w:rsidR="00F93E31" w:rsidRPr="00485577" w:rsidRDefault="00F93E31" w:rsidP="00F93E31">
      <w:r w:rsidRPr="00485577">
        <w:lastRenderedPageBreak/>
        <w:t>Burgman MA 2005. Environmental Risk and Decision Analysis: For Conservation and Natural Resource Management. Cambridge University Press, London.</w:t>
      </w:r>
    </w:p>
    <w:p w14:paraId="5B8B519F" w14:textId="700B4320" w:rsidR="00F93E31" w:rsidRDefault="00F93E31" w:rsidP="00F93E31">
      <w:r w:rsidRPr="00485577">
        <w:t>Chapman J and van Dam RA 2001. Direct toxicity assessment (DTA) for Water Quality Guidelines in Australia and New Zealand. Australasian Journal of Ecotoxicology 7: 175–198.</w:t>
      </w:r>
    </w:p>
    <w:p w14:paraId="6115E3B1" w14:textId="315CB6B4" w:rsidR="00AF6361" w:rsidRDefault="00AF6361" w:rsidP="00C659DF">
      <w:r>
        <w:t xml:space="preserve">DELWP </w:t>
      </w:r>
      <w:r w:rsidR="00A5242F">
        <w:t>(</w:t>
      </w:r>
      <w:r>
        <w:t>Department of Environment, Land, Water and Planning</w:t>
      </w:r>
      <w:r w:rsidR="000F6CF6">
        <w:t>, State of Victoria</w:t>
      </w:r>
      <w:r w:rsidR="00A5242F">
        <w:t xml:space="preserve">) </w:t>
      </w:r>
      <w:r>
        <w:t xml:space="preserve">2013. </w:t>
      </w:r>
      <w:r w:rsidR="001371E9">
        <w:t>Victorian Waterway Management Strategy.</w:t>
      </w:r>
    </w:p>
    <w:p w14:paraId="60602B0C" w14:textId="5FBA9998" w:rsidR="00C659DF" w:rsidRDefault="00C659DF" w:rsidP="00C659DF">
      <w:r>
        <w:t xml:space="preserve">DELWP </w:t>
      </w:r>
      <w:r w:rsidR="00A5242F">
        <w:t>(</w:t>
      </w:r>
      <w:r w:rsidR="008A306D">
        <w:t>Department of Environment, Land, Water and Planning</w:t>
      </w:r>
      <w:r w:rsidR="000F6CF6">
        <w:t>, State of Victoria</w:t>
      </w:r>
      <w:r w:rsidR="00A5242F">
        <w:t xml:space="preserve">) </w:t>
      </w:r>
      <w:r>
        <w:t>2022</w:t>
      </w:r>
      <w:r w:rsidR="00B66B70">
        <w:t>.</w:t>
      </w:r>
      <w:r>
        <w:t xml:space="preserve"> Water is Life – Traditional Owner access to water roadmap</w:t>
      </w:r>
      <w:r w:rsidR="001371E9">
        <w:t>.</w:t>
      </w:r>
    </w:p>
    <w:p w14:paraId="3FA7B855" w14:textId="72073622" w:rsidR="00F93E31" w:rsidRDefault="00F93E31" w:rsidP="00F93E31">
      <w:r w:rsidRPr="00485577">
        <w:t xml:space="preserve">enHealth 2012. Environmental Health Risk Assessment. Guideline for assessing human health risks from environmental hazards. </w:t>
      </w:r>
    </w:p>
    <w:p w14:paraId="1CDF3341" w14:textId="301608B5" w:rsidR="006C4A02" w:rsidRDefault="006C4A02" w:rsidP="006C4A02">
      <w:pPr>
        <w:autoSpaceDE w:val="0"/>
        <w:autoSpaceDN w:val="0"/>
        <w:adjustRightInd w:val="0"/>
        <w:rPr>
          <w:rFonts w:cs="Arial"/>
          <w:lang w:eastAsia="en-AU"/>
        </w:rPr>
      </w:pPr>
      <w:r w:rsidRPr="10077A7C">
        <w:rPr>
          <w:rFonts w:cs="Arial"/>
          <w:lang w:eastAsia="en-AU"/>
        </w:rPr>
        <w:t xml:space="preserve">FAO/WHO [Food and Agriculture Organization of the United Nations/World Health Organization] 2009. </w:t>
      </w:r>
      <w:r w:rsidRPr="10077A7C">
        <w:rPr>
          <w:rFonts w:cs="Arial"/>
          <w:i/>
          <w:iCs/>
          <w:lang w:eastAsia="en-AU"/>
        </w:rPr>
        <w:t>Risk Chara</w:t>
      </w:r>
      <w:r w:rsidR="41E826EF" w:rsidRPr="10077A7C">
        <w:rPr>
          <w:rFonts w:cs="Arial"/>
          <w:i/>
          <w:iCs/>
          <w:lang w:eastAsia="en-AU"/>
        </w:rPr>
        <w:t>ct</w:t>
      </w:r>
      <w:r w:rsidRPr="10077A7C">
        <w:rPr>
          <w:rFonts w:cs="Arial"/>
          <w:i/>
          <w:iCs/>
          <w:lang w:eastAsia="en-AU"/>
        </w:rPr>
        <w:t xml:space="preserve">erization of Microbiological Hazards in Food: Guidelines. </w:t>
      </w:r>
      <w:r w:rsidRPr="10077A7C">
        <w:rPr>
          <w:rFonts w:cs="Arial"/>
          <w:lang w:eastAsia="en-AU"/>
        </w:rPr>
        <w:t>Microbiological Risk Assessment Series No. 17. Rome. 116 pp.</w:t>
      </w:r>
    </w:p>
    <w:p w14:paraId="4C6CA7C7" w14:textId="77777777" w:rsidR="006C4A02" w:rsidRPr="00485577" w:rsidRDefault="006C4A02" w:rsidP="006C4A02">
      <w:pPr>
        <w:spacing w:line="259" w:lineRule="auto"/>
      </w:pPr>
      <w:r w:rsidRPr="00485577">
        <w:t>Ferenc SA and Foran JA 2000. Multiple stressors in ecological risk and impact assessment: approaches to risk estimation. Society of Environmental Toxicology and Chemistry (SETAC) Press.</w:t>
      </w:r>
    </w:p>
    <w:p w14:paraId="5F70FB8C" w14:textId="6F6AD62E" w:rsidR="006C4A02" w:rsidRPr="00485577" w:rsidRDefault="006C4A02" w:rsidP="006C4A02">
      <w:pPr>
        <w:spacing w:line="259" w:lineRule="auto"/>
      </w:pPr>
      <w:r w:rsidRPr="00485577">
        <w:t>Fox DR and Burgman M 2008. Ecological Risk Assessment. In: Encyclopedia of Quantitative Risk Analysis and Assessment, John Wiley and Sons.</w:t>
      </w:r>
    </w:p>
    <w:p w14:paraId="0C6F1C81" w14:textId="71D7B01C" w:rsidR="006C4A02" w:rsidRDefault="006C4A02" w:rsidP="00CF7041">
      <w:r w:rsidRPr="00485577">
        <w:t>Hart B, Burgman M, Webb A, Allison G, Chapman M, Duivenvoorden L, Feehan P, Grace M, Lund M, Pollino C, Carey J and McCrea A 2005. Ecological Risk Management Framework for the Irrigation Industry. Report to the National Program for Sustainable Irrigation (NPSI) by Water Studies Centre, Monash University, Clayton, Australia.</w:t>
      </w:r>
    </w:p>
    <w:p w14:paraId="0FABFCBE" w14:textId="0028DB74" w:rsidR="00B426C2" w:rsidRPr="006015CF" w:rsidRDefault="00B426C2" w:rsidP="00B426C2">
      <w:pPr>
        <w:rPr>
          <w:b/>
          <w:bCs/>
        </w:rPr>
      </w:pPr>
      <w:r w:rsidRPr="006015CF">
        <w:t xml:space="preserve">NRMMC et al. 2006.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1). Natural Resource Management Ministerial Council, Environment Protection and Heritage Council and Australian Health Ministers Conference.</w:t>
      </w:r>
    </w:p>
    <w:p w14:paraId="540BC23D" w14:textId="6455BB52" w:rsidR="00B426C2" w:rsidRPr="006015CF" w:rsidRDefault="00B426C2" w:rsidP="00B426C2">
      <w:r w:rsidRPr="006015CF">
        <w:t xml:space="preserve">NRMMC et al. 2008.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2). Augmentation of drinking water supplies. Natural Resource Management Ministerial Council, Environment Protection and Heritage Council and National Health and Medical Research Council.</w:t>
      </w:r>
    </w:p>
    <w:p w14:paraId="65518539" w14:textId="224AB76E" w:rsidR="006C4A02" w:rsidRDefault="006C4A02" w:rsidP="00CF7041">
      <w:r w:rsidRPr="00485577">
        <w:t>NHMRC 2008. Guidelines for managing risks in recreational water. National Health and Medical Research Council, Australian Government.</w:t>
      </w:r>
    </w:p>
    <w:p w14:paraId="69BB2DBE" w14:textId="69D13ED7" w:rsidR="00E65BF8" w:rsidRDefault="00E65BF8" w:rsidP="00E65BF8">
      <w:r>
        <w:t xml:space="preserve">O’Donnell E, Godden L and O’Bryan K 2021. </w:t>
      </w:r>
      <w:r>
        <w:rPr>
          <w:i/>
          <w:iCs/>
        </w:rPr>
        <w:t>Cultural Water for Cultural Economies</w:t>
      </w:r>
      <w:r>
        <w:t xml:space="preserve">, Final report of the Accessing water to meet Aboriginal economic development needs </w:t>
      </w:r>
      <w:r w:rsidR="007C55C6">
        <w:t>p</w:t>
      </w:r>
      <w:r>
        <w:t>roject. Published by University of Melbourne.</w:t>
      </w:r>
    </w:p>
    <w:p w14:paraId="1B49CFFA" w14:textId="77777777" w:rsidR="006C4A02" w:rsidRPr="00485577" w:rsidRDefault="006C4A02" w:rsidP="00CF7041">
      <w:r w:rsidRPr="00485577">
        <w:t>Suter GW 2006. Ecological Risk Assessment. Second edition, CRC Press, Boca Raton.</w:t>
      </w:r>
    </w:p>
    <w:p w14:paraId="497F47DA" w14:textId="77777777" w:rsidR="006C4A02" w:rsidRPr="00485577" w:rsidRDefault="006C4A02" w:rsidP="00CF7041">
      <w:r w:rsidRPr="00485577">
        <w:t>US EPA 1998. Guidelines for Ecological Risk Assessment. Report No. EPA/630/R–95/002F, US EPA, Washington, DC.</w:t>
      </w:r>
    </w:p>
    <w:p w14:paraId="61533F14" w14:textId="77777777" w:rsidR="006C4A02" w:rsidRPr="00485577" w:rsidRDefault="006C4A02" w:rsidP="00CF7041">
      <w:bookmarkStart w:id="96" w:name="OLE_LINK1"/>
      <w:r w:rsidRPr="00485577">
        <w:lastRenderedPageBreak/>
        <w:t>US EPA</w:t>
      </w:r>
      <w:bookmarkEnd w:id="96"/>
      <w:r w:rsidRPr="00485577">
        <w:t xml:space="preserve"> 2001. National Research Needs Conference Proceedings: Risk-based Decision-making for Onsite Wastewater Treatment. St. Louis, MO, 5/19 – 20/00.</w:t>
      </w:r>
    </w:p>
    <w:p w14:paraId="16A64C55" w14:textId="5D27BCC5" w:rsidR="00447081" w:rsidRDefault="006C4A02" w:rsidP="00CF7041">
      <w:r w:rsidRPr="00485577">
        <w:t>Warren-Hicks WJ and Moore DR 1998. Uncertainty Analysis in Ecological Risk Assessment. Society of Environmental Toxicology and Chemistry (SETAC), Pensacola, FL, USA.</w:t>
      </w:r>
    </w:p>
    <w:p w14:paraId="23E5E5A1" w14:textId="77777777" w:rsidR="00240452" w:rsidRDefault="00240452" w:rsidP="00071B66">
      <w:pPr>
        <w:sectPr w:rsidR="00240452" w:rsidSect="009A53BE">
          <w:headerReference w:type="even" r:id="rId49"/>
          <w:footerReference w:type="first" r:id="rId50"/>
          <w:pgSz w:w="11906" w:h="16838" w:code="9"/>
          <w:pgMar w:top="1038" w:right="743" w:bottom="1321" w:left="987" w:header="709" w:footer="709" w:gutter="0"/>
          <w:cols w:space="720"/>
          <w:titlePg/>
          <w:docGrid w:linePitch="360"/>
        </w:sectPr>
      </w:pPr>
    </w:p>
    <w:p w14:paraId="5E38499D" w14:textId="002E5DB1" w:rsidR="00661873" w:rsidRPr="00661873" w:rsidRDefault="00FB7154" w:rsidP="00661873">
      <w:pPr>
        <w:pStyle w:val="AppendixA"/>
      </w:pPr>
      <w:bookmarkStart w:id="97" w:name="_Toc133938158"/>
      <w:r w:rsidRPr="00F46C15">
        <w:lastRenderedPageBreak/>
        <w:t>Example</w:t>
      </w:r>
      <w:r w:rsidR="00B63BEE" w:rsidRPr="00F46C15">
        <w:t>s</w:t>
      </w:r>
      <w:r w:rsidRPr="00F46C15">
        <w:t xml:space="preserve"> of conceptual model</w:t>
      </w:r>
      <w:r w:rsidR="00B63BEE" w:rsidRPr="00F46C15">
        <w:t>s</w:t>
      </w:r>
      <w:bookmarkStart w:id="98" w:name="_Toc467837112"/>
      <w:bookmarkEnd w:id="97"/>
      <w:r w:rsidR="00661873" w:rsidRPr="00F46C15">
        <w:t xml:space="preserve"> </w:t>
      </w:r>
    </w:p>
    <w:p w14:paraId="1BA0008E" w14:textId="77777777" w:rsidR="00D07706" w:rsidRDefault="00D07706" w:rsidP="00D07706">
      <w:pPr>
        <w:keepNext/>
      </w:pPr>
      <w:r>
        <w:rPr>
          <w:noProof/>
        </w:rPr>
        <w:drawing>
          <wp:inline distT="0" distB="0" distL="0" distR="0" wp14:anchorId="64DB25E3" wp14:editId="3780D268">
            <wp:extent cx="6428756" cy="451974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1"/>
                    <a:srcRect/>
                    <a:stretch>
                      <a:fillRect/>
                    </a:stretch>
                  </pic:blipFill>
                  <pic:spPr bwMode="auto">
                    <a:xfrm>
                      <a:off x="0" y="0"/>
                      <a:ext cx="6451195" cy="4535525"/>
                    </a:xfrm>
                    <a:prstGeom prst="rect">
                      <a:avLst/>
                    </a:prstGeom>
                    <a:noFill/>
                  </pic:spPr>
                </pic:pic>
              </a:graphicData>
            </a:graphic>
          </wp:inline>
        </w:drawing>
      </w:r>
    </w:p>
    <w:p w14:paraId="04592B69" w14:textId="7468AB43" w:rsidR="00D07706" w:rsidRPr="006C6304" w:rsidRDefault="00D07706" w:rsidP="006C6304">
      <w:pPr>
        <w:pStyle w:val="Caption"/>
      </w:pPr>
      <w:r w:rsidRPr="006C6304">
        <w:t>Figure A</w:t>
      </w:r>
      <w:fldSimple w:instr=" SEQ Figure_A \* ARABIC ">
        <w:r w:rsidR="00FD64B0">
          <w:rPr>
            <w:noProof/>
          </w:rPr>
          <w:t>1</w:t>
        </w:r>
      </w:fldSimple>
      <w:r w:rsidRPr="006C6304">
        <w:t xml:space="preserve"> – Simplified conceptual model of the potential risks to a river aquatic ecosystem from a tertiary treated wastewater treatment plant (WWTP) effluent.</w:t>
      </w:r>
      <w:r w:rsidR="006C6304">
        <w:t xml:space="preserve"> </w:t>
      </w:r>
      <w:r w:rsidRPr="006C6304">
        <w:t>Notes: DO = dissolved oxygen, EC = electrical conductivity, BOD = biological oxygen demand</w:t>
      </w:r>
    </w:p>
    <w:p w14:paraId="710C6A5B" w14:textId="77777777" w:rsidR="00D07706" w:rsidRPr="00295679" w:rsidRDefault="00D07706" w:rsidP="00665635">
      <w:pPr>
        <w:rPr>
          <w:lang w:val="en-GB"/>
        </w:rPr>
      </w:pPr>
    </w:p>
    <w:p w14:paraId="2D454715" w14:textId="77777777" w:rsidR="00D07706" w:rsidRDefault="00D07706" w:rsidP="00D07706">
      <w:pPr>
        <w:keepNext/>
      </w:pPr>
      <w:r>
        <w:rPr>
          <w:noProof/>
        </w:rPr>
        <w:lastRenderedPageBreak/>
        <w:drawing>
          <wp:inline distT="0" distB="0" distL="0" distR="0" wp14:anchorId="24F355AF" wp14:editId="1DA9A9B3">
            <wp:extent cx="6457878" cy="507709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2"/>
                    <a:srcRect/>
                    <a:stretch>
                      <a:fillRect/>
                    </a:stretch>
                  </pic:blipFill>
                  <pic:spPr bwMode="auto">
                    <a:xfrm>
                      <a:off x="0" y="0"/>
                      <a:ext cx="6471291" cy="5087642"/>
                    </a:xfrm>
                    <a:prstGeom prst="rect">
                      <a:avLst/>
                    </a:prstGeom>
                    <a:noFill/>
                  </pic:spPr>
                </pic:pic>
              </a:graphicData>
            </a:graphic>
          </wp:inline>
        </w:drawing>
      </w:r>
    </w:p>
    <w:p w14:paraId="6BA92F1F" w14:textId="785B03C8" w:rsidR="00D07706" w:rsidRPr="006C6304" w:rsidRDefault="00D07706" w:rsidP="006C6304">
      <w:pPr>
        <w:pStyle w:val="Caption"/>
      </w:pPr>
      <w:r w:rsidRPr="006C6304">
        <w:t>Figure A</w:t>
      </w:r>
      <w:fldSimple w:instr=" SEQ Figure_A \* ARABIC ">
        <w:r w:rsidR="00FD64B0">
          <w:rPr>
            <w:noProof/>
          </w:rPr>
          <w:t>2</w:t>
        </w:r>
      </w:fldSimple>
      <w:r w:rsidRPr="006C6304">
        <w:t xml:space="preserve"> –</w:t>
      </w:r>
      <w:r w:rsidR="00C43ABE" w:rsidRPr="006C6304">
        <w:t xml:space="preserve"> </w:t>
      </w:r>
      <w:r w:rsidRPr="006C6304">
        <w:t>Simplified conceptual model of the potential risks to the environmental value of water-based recreation from a tertiary treated wastewater treatment plant (WWTP) effluent. Notes: N = nitrogen, P = phosphorus</w:t>
      </w:r>
    </w:p>
    <w:p w14:paraId="28816F3F" w14:textId="5481B8C3" w:rsidR="00864763" w:rsidRDefault="00864763" w:rsidP="00D07706">
      <w:pPr>
        <w:pStyle w:val="Caption"/>
      </w:pPr>
    </w:p>
    <w:p w14:paraId="46048D18" w14:textId="77777777" w:rsidR="00864763" w:rsidRDefault="00864763">
      <w:pPr>
        <w:spacing w:before="0" w:after="0"/>
      </w:pPr>
      <w:r>
        <w:br w:type="page"/>
      </w:r>
    </w:p>
    <w:p w14:paraId="3CF20616" w14:textId="6EAA6313" w:rsidR="00101574" w:rsidRDefault="00101574" w:rsidP="00864763">
      <w:pPr>
        <w:pStyle w:val="AppendixA"/>
      </w:pPr>
      <w:bookmarkStart w:id="99" w:name="_Ref103253011"/>
      <w:bookmarkStart w:id="100" w:name="_Toc133938159"/>
      <w:r>
        <w:lastRenderedPageBreak/>
        <w:t>Case studies</w:t>
      </w:r>
      <w:bookmarkEnd w:id="99"/>
      <w:bookmarkEnd w:id="100"/>
    </w:p>
    <w:p w14:paraId="528D3C59" w14:textId="79626A1E" w:rsidR="0088737A" w:rsidRDefault="0088737A" w:rsidP="0088737A">
      <w:r w:rsidRPr="10077A7C">
        <w:rPr>
          <w:rFonts w:cs="Arial"/>
        </w:rPr>
        <w:t xml:space="preserve">Case studies in this appendix are risk assessments developed by Barwon Water, Goulburn Valley Water and </w:t>
      </w:r>
      <w:bookmarkStart w:id="101" w:name="_Int_SGuGuFq/"/>
      <w:r w:rsidRPr="10077A7C">
        <w:rPr>
          <w:rFonts w:cs="Arial"/>
        </w:rPr>
        <w:t>North East</w:t>
      </w:r>
      <w:bookmarkEnd w:id="101"/>
      <w:r w:rsidRPr="10077A7C">
        <w:rPr>
          <w:rFonts w:cs="Arial"/>
        </w:rPr>
        <w:t xml:space="preserve"> Water. This guidance has used a modified version of these risk assessments with a focus on ecological risk assessment.</w:t>
      </w:r>
      <w:r w:rsidR="00EE08CE">
        <w:rPr>
          <w:rFonts w:cs="Arial"/>
        </w:rPr>
        <w:t xml:space="preserve"> </w:t>
      </w:r>
      <w:r w:rsidR="00F21050">
        <w:rPr>
          <w:rFonts w:asciiTheme="majorHAnsi" w:hAnsiTheme="majorHAnsi"/>
        </w:rPr>
        <w:t>Appendix C</w:t>
      </w:r>
      <w:r w:rsidR="009034E0">
        <w:rPr>
          <w:rFonts w:cs="Arial"/>
        </w:rPr>
        <w:t xml:space="preserve"> </w:t>
      </w:r>
      <w:r>
        <w:t xml:space="preserve">should be consulted for a comprehensive microbial human health risk assessment. </w:t>
      </w:r>
    </w:p>
    <w:p w14:paraId="30DE560C" w14:textId="6FF34E4B" w:rsidR="0088737A" w:rsidRPr="00B81D3F" w:rsidRDefault="0088737A" w:rsidP="00F46C15">
      <w:pPr>
        <w:pStyle w:val="AppendixA1"/>
      </w:pPr>
      <w:bookmarkStart w:id="102" w:name="_Toc51929032"/>
      <w:bookmarkStart w:id="103" w:name="_Toc87369290"/>
      <w:bookmarkStart w:id="104" w:name="_Toc133938160"/>
      <w:r w:rsidRPr="00B81D3F">
        <w:t>Barwon Water – Black Rock treatment plant</w:t>
      </w:r>
      <w:bookmarkEnd w:id="102"/>
      <w:bookmarkEnd w:id="103"/>
      <w:bookmarkEnd w:id="104"/>
    </w:p>
    <w:p w14:paraId="5C97C9BF" w14:textId="0452989C" w:rsidR="0088737A" w:rsidRDefault="0088737A" w:rsidP="0088737A">
      <w:pPr>
        <w:spacing w:line="259" w:lineRule="auto"/>
        <w:rPr>
          <w:rFonts w:cs="Arial"/>
        </w:rPr>
      </w:pPr>
      <w:r w:rsidRPr="073E3263">
        <w:rPr>
          <w:rFonts w:cs="Arial"/>
        </w:rPr>
        <w:t>The Black Rock wastewater treatment plant (WWTP) is near Thirteenth Beach, south of Geelong. It treats domestic and industrial wastewater from Geelong and surrounding towns. The plant has a strict trade waste policy and a natural biological treatment process (</w:t>
      </w:r>
      <w:r w:rsidR="00CA33F5">
        <w:rPr>
          <w:rFonts w:cs="Arial"/>
        </w:rPr>
        <w:t>i</w:t>
      </w:r>
      <w:r w:rsidRPr="073E3263">
        <w:rPr>
          <w:rFonts w:cs="Arial"/>
        </w:rPr>
        <w:t xml:space="preserve">ntermittently </w:t>
      </w:r>
      <w:r w:rsidR="00CA33F5">
        <w:rPr>
          <w:rFonts w:cs="Arial"/>
        </w:rPr>
        <w:t>d</w:t>
      </w:r>
      <w:r w:rsidRPr="073E3263">
        <w:rPr>
          <w:rFonts w:cs="Arial"/>
        </w:rPr>
        <w:t xml:space="preserve">ecanted </w:t>
      </w:r>
      <w:r w:rsidR="00CA33F5">
        <w:rPr>
          <w:rFonts w:cs="Arial"/>
        </w:rPr>
        <w:t>e</w:t>
      </w:r>
      <w:r w:rsidRPr="073E3263">
        <w:rPr>
          <w:rFonts w:cs="Arial"/>
        </w:rPr>
        <w:t xml:space="preserve">xtended </w:t>
      </w:r>
      <w:r w:rsidR="00CA33F5">
        <w:rPr>
          <w:rFonts w:cs="Arial"/>
        </w:rPr>
        <w:t>a</w:t>
      </w:r>
      <w:r w:rsidRPr="073E3263">
        <w:rPr>
          <w:rFonts w:cs="Arial"/>
        </w:rPr>
        <w:t xml:space="preserve">eration (IDEA)) that produces water suitable for reuse. Recycled water from the Black Rock WWTP is used on golf courses and recreation reserves, and for turf and flower production. </w:t>
      </w:r>
      <w:r w:rsidR="2159779F" w:rsidRPr="073E3263">
        <w:rPr>
          <w:rFonts w:cs="Arial"/>
        </w:rPr>
        <w:t>The remaining</w:t>
      </w:r>
      <w:r w:rsidR="1B1C0259" w:rsidRPr="073E3263">
        <w:rPr>
          <w:rFonts w:cs="Arial"/>
        </w:rPr>
        <w:t xml:space="preserve"> treated</w:t>
      </w:r>
      <w:r w:rsidR="2159779F" w:rsidRPr="073E3263">
        <w:rPr>
          <w:rFonts w:cs="Arial"/>
        </w:rPr>
        <w:t xml:space="preserve"> volume (</w:t>
      </w:r>
      <w:r w:rsidR="00062D89">
        <w:rPr>
          <w:rFonts w:cs="Arial"/>
        </w:rPr>
        <w:t>a</w:t>
      </w:r>
      <w:r w:rsidRPr="073E3263">
        <w:rPr>
          <w:rFonts w:cs="Arial"/>
        </w:rPr>
        <w:t>bout 25,000</w:t>
      </w:r>
      <w:r w:rsidRPr="073E3263">
        <w:rPr>
          <w:rFonts w:ascii="Cambria" w:hAnsi="Cambria" w:cs="Cambria"/>
        </w:rPr>
        <w:t> </w:t>
      </w:r>
      <w:r w:rsidRPr="073E3263">
        <w:rPr>
          <w:rFonts w:cs="Arial"/>
        </w:rPr>
        <w:t>ML per year</w:t>
      </w:r>
      <w:r w:rsidR="738BCC8B" w:rsidRPr="073E3263">
        <w:rPr>
          <w:rFonts w:cs="Arial"/>
        </w:rPr>
        <w:t>)</w:t>
      </w:r>
      <w:r w:rsidRPr="073E3263">
        <w:rPr>
          <w:rFonts w:cs="Arial"/>
        </w:rPr>
        <w:t xml:space="preserve"> is discharged to the ocean between Barwon Heads and Torquay. The ocean outfall is about 1.1</w:t>
      </w:r>
      <w:r w:rsidRPr="073E3263">
        <w:rPr>
          <w:rFonts w:ascii="Cambria" w:hAnsi="Cambria" w:cs="Cambria"/>
        </w:rPr>
        <w:t> </w:t>
      </w:r>
      <w:r w:rsidRPr="073E3263">
        <w:rPr>
          <w:rFonts w:cs="Arial"/>
        </w:rPr>
        <w:t>km offshore and 16 m below the ocean surface. The outfall has a diffuser that was designed to direct the discharge away from the high value shoreline and produce a high initial dilution. The EPA licence for Black Rock WWTP defines the discharge mixing zone as a 424</w:t>
      </w:r>
      <w:r w:rsidR="00FE3F80">
        <w:rPr>
          <w:rFonts w:ascii="Cambria" w:hAnsi="Cambria" w:cs="Arial"/>
        </w:rPr>
        <w:t> </w:t>
      </w:r>
      <w:r w:rsidRPr="073E3263">
        <w:rPr>
          <w:rFonts w:cs="Arial"/>
        </w:rPr>
        <w:t>m x 200</w:t>
      </w:r>
      <w:r w:rsidR="00FE3F80">
        <w:rPr>
          <w:rFonts w:ascii="Cambria" w:hAnsi="Cambria" w:cs="Arial"/>
        </w:rPr>
        <w:t> </w:t>
      </w:r>
      <w:r w:rsidRPr="073E3263">
        <w:rPr>
          <w:rFonts w:cs="Arial"/>
        </w:rPr>
        <w:t>m area surrounding the diffuser.</w:t>
      </w:r>
    </w:p>
    <w:p w14:paraId="3AAED0CD" w14:textId="087CD944" w:rsidR="00277819" w:rsidRPr="00E76BC5" w:rsidRDefault="005C71C3" w:rsidP="00AA7232">
      <w:pPr>
        <w:pStyle w:val="Heading4"/>
        <w:rPr>
          <w:rFonts w:cs="Arial"/>
        </w:rPr>
      </w:pPr>
      <w:r w:rsidRPr="00E76BC5">
        <w:t xml:space="preserve">Problem formulation </w:t>
      </w:r>
    </w:p>
    <w:p w14:paraId="3D3AF105" w14:textId="77777777" w:rsidR="0088737A" w:rsidRPr="004C5EC2" w:rsidRDefault="0088737A" w:rsidP="0088737A">
      <w:pPr>
        <w:spacing w:line="259" w:lineRule="auto"/>
        <w:rPr>
          <w:rFonts w:cs="Arial"/>
        </w:rPr>
      </w:pPr>
      <w:r w:rsidRPr="004C5EC2">
        <w:rPr>
          <w:rFonts w:cs="Arial"/>
        </w:rPr>
        <w:t>The focus of the risk assessment was to investigate the potential risks posed by the Black Rock WWTP discharge to the environmental values of the receiving marine waters, both in and out of the mixing zone area. The problem formulation included the following:</w:t>
      </w:r>
    </w:p>
    <w:p w14:paraId="5A376A3F" w14:textId="7A5B7506" w:rsidR="0088737A" w:rsidRPr="004C5EC2" w:rsidRDefault="0088737A" w:rsidP="00525686">
      <w:pPr>
        <w:pStyle w:val="ListParagraph"/>
        <w:numPr>
          <w:ilvl w:val="0"/>
          <w:numId w:val="12"/>
        </w:numPr>
        <w:spacing w:after="0"/>
        <w:ind w:left="284" w:hanging="284"/>
        <w:rPr>
          <w:rFonts w:cs="Arial"/>
        </w:rPr>
      </w:pPr>
      <w:r w:rsidRPr="004C5EC2">
        <w:rPr>
          <w:rFonts w:cs="Arial"/>
        </w:rPr>
        <w:t>Identification of Barwon Water’s key management goals to be informed by the risk assessment. These goals were to:</w:t>
      </w:r>
    </w:p>
    <w:p w14:paraId="15B430BD" w14:textId="66FBF1E9" w:rsidR="0088737A" w:rsidRPr="004C5EC2" w:rsidRDefault="0088737A" w:rsidP="00525686">
      <w:pPr>
        <w:pStyle w:val="ListParagraph"/>
        <w:numPr>
          <w:ilvl w:val="0"/>
          <w:numId w:val="11"/>
        </w:numPr>
        <w:spacing w:after="0"/>
        <w:rPr>
          <w:rFonts w:cs="Arial"/>
        </w:rPr>
      </w:pPr>
      <w:r w:rsidRPr="004C5EC2">
        <w:rPr>
          <w:rFonts w:cs="Arial"/>
        </w:rPr>
        <w:t>ensure the discharge complies with the EPA licence requirements in the mixing zone and outside the mixing zone. Barwon Water also defined specific management objectives under these broader goals for each of the environmental values (</w:t>
      </w:r>
      <w:r w:rsidR="00FE3F80">
        <w:rPr>
          <w:rFonts w:cs="Arial"/>
        </w:rPr>
        <w:fldChar w:fldCharType="begin"/>
      </w:r>
      <w:r w:rsidR="00FE3F80">
        <w:rPr>
          <w:rFonts w:cs="Arial"/>
        </w:rPr>
        <w:instrText xml:space="preserve"> REF _Ref132748389 \h </w:instrText>
      </w:r>
      <w:r w:rsidR="00FE3F80">
        <w:rPr>
          <w:rFonts w:cs="Arial"/>
        </w:rPr>
      </w:r>
      <w:r w:rsidR="00FE3F80">
        <w:rPr>
          <w:rFonts w:cs="Arial"/>
        </w:rPr>
        <w:fldChar w:fldCharType="separate"/>
      </w:r>
      <w:r w:rsidR="00FD64B0">
        <w:t>Table B</w:t>
      </w:r>
      <w:r w:rsidR="00FD64B0">
        <w:rPr>
          <w:noProof/>
        </w:rPr>
        <w:t>1</w:t>
      </w:r>
      <w:r w:rsidR="00FE3F80">
        <w:rPr>
          <w:rFonts w:cs="Arial"/>
        </w:rPr>
        <w:fldChar w:fldCharType="end"/>
      </w:r>
      <w:r w:rsidRPr="004C5EC2">
        <w:rPr>
          <w:rFonts w:cs="Arial"/>
        </w:rPr>
        <w:t>)</w:t>
      </w:r>
    </w:p>
    <w:p w14:paraId="3CBE71DE" w14:textId="640B5948" w:rsidR="0088737A" w:rsidRPr="004C5EC2" w:rsidRDefault="0088737A" w:rsidP="00525686">
      <w:pPr>
        <w:pStyle w:val="ListParagraph"/>
        <w:numPr>
          <w:ilvl w:val="0"/>
          <w:numId w:val="11"/>
        </w:numPr>
        <w:spacing w:after="0"/>
        <w:rPr>
          <w:rFonts w:cs="Arial"/>
        </w:rPr>
      </w:pPr>
      <w:r w:rsidRPr="004C5EC2">
        <w:rPr>
          <w:rFonts w:cs="Arial"/>
        </w:rPr>
        <w:t>identification of the receiving waters</w:t>
      </w:r>
      <w:r w:rsidR="00FE3F80">
        <w:rPr>
          <w:rFonts w:cs="Arial"/>
        </w:rPr>
        <w:t>’</w:t>
      </w:r>
      <w:r w:rsidRPr="004C5EC2">
        <w:rPr>
          <w:rFonts w:cs="Arial"/>
        </w:rPr>
        <w:t xml:space="preserve"> environmental values (</w:t>
      </w:r>
      <w:r w:rsidR="00FE3F80">
        <w:rPr>
          <w:rFonts w:cs="Arial"/>
        </w:rPr>
        <w:fldChar w:fldCharType="begin"/>
      </w:r>
      <w:r w:rsidR="00FE3F80">
        <w:rPr>
          <w:rFonts w:cs="Arial"/>
        </w:rPr>
        <w:instrText xml:space="preserve"> REF _Ref132748331 \h </w:instrText>
      </w:r>
      <w:r w:rsidR="00FE3F80">
        <w:rPr>
          <w:rFonts w:cs="Arial"/>
        </w:rPr>
      </w:r>
      <w:r w:rsidR="00FE3F80">
        <w:rPr>
          <w:rFonts w:cs="Arial"/>
        </w:rPr>
        <w:fldChar w:fldCharType="separate"/>
      </w:r>
      <w:r w:rsidR="00FD64B0">
        <w:t>Table B</w:t>
      </w:r>
      <w:r w:rsidR="00FD64B0">
        <w:rPr>
          <w:noProof/>
        </w:rPr>
        <w:t>2</w:t>
      </w:r>
      <w:r w:rsidR="00FE3F80">
        <w:rPr>
          <w:rFonts w:cs="Arial"/>
        </w:rPr>
        <w:fldChar w:fldCharType="end"/>
      </w:r>
      <w:r w:rsidR="00FE3F80">
        <w:rPr>
          <w:rFonts w:cs="Arial"/>
        </w:rPr>
        <w:t xml:space="preserve"> and </w:t>
      </w:r>
      <w:r w:rsidR="00FE3F80">
        <w:rPr>
          <w:rFonts w:cs="Arial"/>
        </w:rPr>
        <w:fldChar w:fldCharType="begin"/>
      </w:r>
      <w:r w:rsidR="00FE3F80">
        <w:rPr>
          <w:rFonts w:cs="Arial"/>
        </w:rPr>
        <w:instrText xml:space="preserve"> REF _Ref132748249 \h </w:instrText>
      </w:r>
      <w:r w:rsidR="00FE3F80">
        <w:rPr>
          <w:rFonts w:cs="Arial"/>
        </w:rPr>
      </w:r>
      <w:r w:rsidR="00FE3F80">
        <w:rPr>
          <w:rFonts w:cs="Arial"/>
        </w:rPr>
        <w:fldChar w:fldCharType="separate"/>
      </w:r>
      <w:r w:rsidR="00FD64B0" w:rsidRPr="00EC3516">
        <w:t>Figure B</w:t>
      </w:r>
      <w:r w:rsidR="00FD64B0">
        <w:rPr>
          <w:noProof/>
        </w:rPr>
        <w:t>1</w:t>
      </w:r>
      <w:r w:rsidR="00FE3F80">
        <w:rPr>
          <w:rFonts w:cs="Arial"/>
        </w:rPr>
        <w:fldChar w:fldCharType="end"/>
      </w:r>
      <w:r w:rsidRPr="004C5EC2">
        <w:rPr>
          <w:rFonts w:cs="Arial"/>
        </w:rPr>
        <w:t>)</w:t>
      </w:r>
    </w:p>
    <w:p w14:paraId="712315C1" w14:textId="77777777" w:rsidR="0088737A" w:rsidRPr="004C5EC2" w:rsidRDefault="0088737A" w:rsidP="00525686">
      <w:pPr>
        <w:pStyle w:val="ListParagraph"/>
        <w:numPr>
          <w:ilvl w:val="0"/>
          <w:numId w:val="11"/>
        </w:numPr>
        <w:spacing w:after="0"/>
        <w:rPr>
          <w:rFonts w:cs="Arial"/>
        </w:rPr>
      </w:pPr>
      <w:r w:rsidRPr="004C5EC2">
        <w:rPr>
          <w:rFonts w:cs="Arial"/>
        </w:rPr>
        <w:t>collation of information and monitoring data on the discharge and receiving waters</w:t>
      </w:r>
    </w:p>
    <w:p w14:paraId="6A069196" w14:textId="17A10191" w:rsidR="0088737A" w:rsidRPr="004C5EC2" w:rsidRDefault="0088737A" w:rsidP="00525686">
      <w:pPr>
        <w:pStyle w:val="ListParagraph"/>
        <w:numPr>
          <w:ilvl w:val="0"/>
          <w:numId w:val="11"/>
        </w:numPr>
        <w:spacing w:after="0"/>
        <w:rPr>
          <w:rFonts w:cs="Arial"/>
        </w:rPr>
      </w:pPr>
      <w:r w:rsidRPr="004C5EC2">
        <w:rPr>
          <w:rFonts w:cs="Arial"/>
        </w:rPr>
        <w:t xml:space="preserve">identification of the potential </w:t>
      </w:r>
      <w:r w:rsidR="007372BA">
        <w:rPr>
          <w:rFonts w:cs="Arial"/>
        </w:rPr>
        <w:t>hazard</w:t>
      </w:r>
      <w:r w:rsidRPr="004C5EC2">
        <w:rPr>
          <w:rFonts w:cs="Arial"/>
        </w:rPr>
        <w:t>s from the discharge and the pathways for risks occurring</w:t>
      </w:r>
    </w:p>
    <w:p w14:paraId="190C06BB" w14:textId="0EC4A9EB" w:rsidR="0088737A" w:rsidRPr="004C5EC2" w:rsidRDefault="0088737A" w:rsidP="00525686">
      <w:pPr>
        <w:pStyle w:val="ListParagraph"/>
        <w:numPr>
          <w:ilvl w:val="0"/>
          <w:numId w:val="11"/>
        </w:numPr>
        <w:spacing w:after="0"/>
        <w:rPr>
          <w:rFonts w:cs="Arial"/>
        </w:rPr>
      </w:pPr>
      <w:r w:rsidRPr="004C5EC2">
        <w:rPr>
          <w:rFonts w:cs="Arial"/>
        </w:rPr>
        <w:t xml:space="preserve">development of </w:t>
      </w:r>
      <w:r w:rsidR="000801AD">
        <w:rPr>
          <w:rFonts w:cs="Arial"/>
        </w:rPr>
        <w:t xml:space="preserve">a </w:t>
      </w:r>
      <w:r w:rsidRPr="004C5EC2">
        <w:rPr>
          <w:rFonts w:cs="Arial"/>
        </w:rPr>
        <w:t xml:space="preserve">conceptual model showing the key interactions between </w:t>
      </w:r>
      <w:r w:rsidR="007372BA">
        <w:rPr>
          <w:rFonts w:cs="Arial"/>
        </w:rPr>
        <w:t>hazard</w:t>
      </w:r>
      <w:r w:rsidRPr="004C5EC2">
        <w:rPr>
          <w:rFonts w:cs="Arial"/>
        </w:rPr>
        <w:t>s and environmental values</w:t>
      </w:r>
      <w:r w:rsidR="005B572F">
        <w:rPr>
          <w:rFonts w:cs="Arial"/>
        </w:rPr>
        <w:t xml:space="preserve"> (</w:t>
      </w:r>
      <w:r w:rsidR="00FE3F80">
        <w:rPr>
          <w:rFonts w:cs="Arial"/>
        </w:rPr>
        <w:fldChar w:fldCharType="begin"/>
      </w:r>
      <w:r w:rsidR="00FE3F80">
        <w:rPr>
          <w:rFonts w:cs="Arial"/>
        </w:rPr>
        <w:instrText xml:space="preserve"> REF _Ref132748200 \h </w:instrText>
      </w:r>
      <w:r w:rsidR="00FE3F80">
        <w:rPr>
          <w:rFonts w:cs="Arial"/>
        </w:rPr>
      </w:r>
      <w:r w:rsidR="00FE3F80">
        <w:rPr>
          <w:rFonts w:cs="Arial"/>
        </w:rPr>
        <w:fldChar w:fldCharType="separate"/>
      </w:r>
      <w:r w:rsidR="00FD64B0">
        <w:t>Figure B</w:t>
      </w:r>
      <w:r w:rsidR="00FD64B0">
        <w:rPr>
          <w:noProof/>
        </w:rPr>
        <w:t>2</w:t>
      </w:r>
      <w:r w:rsidR="00FE3F80">
        <w:rPr>
          <w:rFonts w:cs="Arial"/>
        </w:rPr>
        <w:fldChar w:fldCharType="end"/>
      </w:r>
      <w:r w:rsidR="00105436">
        <w:rPr>
          <w:rFonts w:cs="Arial"/>
        </w:rPr>
        <w:t>)</w:t>
      </w:r>
      <w:r w:rsidR="00435D4D">
        <w:rPr>
          <w:rFonts w:cs="Arial"/>
        </w:rPr>
        <w:t>.</w:t>
      </w:r>
      <w:r w:rsidR="00105436" w:rsidRPr="004C5EC2">
        <w:rPr>
          <w:rFonts w:cs="Arial"/>
        </w:rPr>
        <w:t xml:space="preserve"> </w:t>
      </w:r>
    </w:p>
    <w:p w14:paraId="02937006" w14:textId="57E7CFCE" w:rsidR="00BC51DA" w:rsidRPr="004C5EC2" w:rsidRDefault="00BC51DA" w:rsidP="00525686">
      <w:pPr>
        <w:pStyle w:val="ListParagraph"/>
        <w:numPr>
          <w:ilvl w:val="0"/>
          <w:numId w:val="12"/>
        </w:numPr>
        <w:spacing w:after="0"/>
        <w:ind w:left="284" w:hanging="284"/>
        <w:rPr>
          <w:rFonts w:cs="Arial"/>
        </w:rPr>
      </w:pPr>
      <w:r w:rsidRPr="004C5EC2">
        <w:rPr>
          <w:rFonts w:cs="Arial"/>
        </w:rPr>
        <w:t xml:space="preserve">In identifying the potential </w:t>
      </w:r>
      <w:r w:rsidR="007372BA">
        <w:rPr>
          <w:rFonts w:cs="Arial"/>
        </w:rPr>
        <w:t>hazard</w:t>
      </w:r>
      <w:r w:rsidRPr="004C5EC2">
        <w:rPr>
          <w:rFonts w:cs="Arial"/>
        </w:rPr>
        <w:t>s from the discharge and pathways for risks to be investigated, the risk assessors considered the:</w:t>
      </w:r>
    </w:p>
    <w:p w14:paraId="6068446C" w14:textId="77777777" w:rsidR="00BC51DA" w:rsidRPr="004C5EC2" w:rsidRDefault="00BC51DA" w:rsidP="00525686">
      <w:pPr>
        <w:pStyle w:val="ListParagraph"/>
        <w:numPr>
          <w:ilvl w:val="0"/>
          <w:numId w:val="13"/>
        </w:numPr>
        <w:spacing w:after="0"/>
        <w:rPr>
          <w:rFonts w:cs="Arial"/>
        </w:rPr>
      </w:pPr>
      <w:r w:rsidRPr="004C5EC2">
        <w:rPr>
          <w:rFonts w:cs="Arial"/>
        </w:rPr>
        <w:t xml:space="preserve">source of the original wastewater </w:t>
      </w:r>
    </w:p>
    <w:p w14:paraId="1B15DA73" w14:textId="1066C672" w:rsidR="00BC51DA" w:rsidRPr="004C5EC2" w:rsidRDefault="00BC51DA" w:rsidP="00525686">
      <w:pPr>
        <w:pStyle w:val="ListParagraph"/>
        <w:numPr>
          <w:ilvl w:val="0"/>
          <w:numId w:val="13"/>
        </w:numPr>
        <w:spacing w:after="0"/>
        <w:rPr>
          <w:rFonts w:cs="Arial"/>
        </w:rPr>
      </w:pPr>
      <w:r w:rsidRPr="073E3263">
        <w:rPr>
          <w:rFonts w:cs="Arial"/>
        </w:rPr>
        <w:t xml:space="preserve">composition of the treated discharge water, that is, the potential </w:t>
      </w:r>
      <w:r w:rsidR="007372BA">
        <w:rPr>
          <w:rFonts w:cs="Arial"/>
        </w:rPr>
        <w:t>hazard</w:t>
      </w:r>
      <w:r w:rsidRPr="073E3263">
        <w:rPr>
          <w:rFonts w:cs="Arial"/>
        </w:rPr>
        <w:t>s and their concentrations and loads</w:t>
      </w:r>
    </w:p>
    <w:p w14:paraId="306A20E1" w14:textId="77777777" w:rsidR="00BC51DA" w:rsidRPr="004C5EC2" w:rsidRDefault="00BC51DA" w:rsidP="00525686">
      <w:pPr>
        <w:pStyle w:val="ListParagraph"/>
        <w:numPr>
          <w:ilvl w:val="0"/>
          <w:numId w:val="13"/>
        </w:numPr>
        <w:spacing w:after="0"/>
        <w:rPr>
          <w:rFonts w:cs="Arial"/>
        </w:rPr>
      </w:pPr>
      <w:r w:rsidRPr="004C5EC2">
        <w:rPr>
          <w:rFonts w:cs="Arial"/>
        </w:rPr>
        <w:t>volume of discharge water</w:t>
      </w:r>
    </w:p>
    <w:p w14:paraId="727C2CEE" w14:textId="77777777" w:rsidR="00BC51DA" w:rsidRPr="004C5EC2" w:rsidRDefault="00BC51DA" w:rsidP="00525686">
      <w:pPr>
        <w:pStyle w:val="ListParagraph"/>
        <w:numPr>
          <w:ilvl w:val="0"/>
          <w:numId w:val="13"/>
        </w:numPr>
        <w:spacing w:after="0"/>
        <w:rPr>
          <w:rFonts w:cs="Arial"/>
        </w:rPr>
      </w:pPr>
      <w:r w:rsidRPr="10077A7C">
        <w:rPr>
          <w:rFonts w:cs="Arial"/>
        </w:rPr>
        <w:t xml:space="preserve">nature of </w:t>
      </w:r>
      <w:bookmarkStart w:id="105" w:name="_Int_nLAgxUVx"/>
      <w:r w:rsidRPr="10077A7C">
        <w:rPr>
          <w:rFonts w:cs="Arial"/>
        </w:rPr>
        <w:t>the environmental</w:t>
      </w:r>
      <w:bookmarkEnd w:id="105"/>
      <w:r w:rsidRPr="10077A7C">
        <w:rPr>
          <w:rFonts w:cs="Arial"/>
        </w:rPr>
        <w:t xml:space="preserve"> values.</w:t>
      </w:r>
    </w:p>
    <w:p w14:paraId="3C8ACEDF" w14:textId="3FE62F8E" w:rsidR="00C43ABE" w:rsidRDefault="00C43ABE" w:rsidP="00C43ABE">
      <w:pPr>
        <w:pStyle w:val="Caption"/>
        <w:keepNext/>
      </w:pPr>
      <w:bookmarkStart w:id="106" w:name="_Ref132748389"/>
      <w:r>
        <w:lastRenderedPageBreak/>
        <w:t>Table B</w:t>
      </w:r>
      <w:fldSimple w:instr=" SEQ Table_B \* ARABIC ">
        <w:r w:rsidR="00FD64B0">
          <w:rPr>
            <w:noProof/>
          </w:rPr>
          <w:t>1</w:t>
        </w:r>
      </w:fldSimple>
      <w:bookmarkEnd w:id="106"/>
      <w:r>
        <w:t xml:space="preserve"> –</w:t>
      </w:r>
      <w:r w:rsidRPr="00C817B9">
        <w:t>Barwon Water management objectives</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7184"/>
      </w:tblGrid>
      <w:tr w:rsidR="00093665" w:rsidRPr="00093665" w14:paraId="4D6526C9" w14:textId="77777777" w:rsidTr="00C43ABE">
        <w:tc>
          <w:tcPr>
            <w:tcW w:w="1470" w:type="pct"/>
            <w:shd w:val="clear" w:color="auto" w:fill="003F72"/>
          </w:tcPr>
          <w:p w14:paraId="1364FB6C" w14:textId="77777777" w:rsidR="00F005CD" w:rsidRPr="00093665" w:rsidRDefault="00F005CD" w:rsidP="007A7571">
            <w:pPr>
              <w:pStyle w:val="Tabletext0"/>
            </w:pPr>
            <w:r w:rsidRPr="00093665">
              <w:t>Environmental value</w:t>
            </w:r>
          </w:p>
        </w:tc>
        <w:tc>
          <w:tcPr>
            <w:tcW w:w="3530" w:type="pct"/>
            <w:shd w:val="clear" w:color="auto" w:fill="003F72"/>
          </w:tcPr>
          <w:p w14:paraId="240E2318" w14:textId="77777777" w:rsidR="00F005CD" w:rsidRPr="00093665" w:rsidRDefault="00F005CD" w:rsidP="007A7571">
            <w:pPr>
              <w:pStyle w:val="Tabletext0"/>
            </w:pPr>
            <w:r w:rsidRPr="00093665">
              <w:t xml:space="preserve">Management objectives </w:t>
            </w:r>
          </w:p>
        </w:tc>
      </w:tr>
      <w:tr w:rsidR="00506ADE" w:rsidRPr="00FF04CE" w14:paraId="7801326B" w14:textId="77777777" w:rsidTr="00C43ABE">
        <w:tc>
          <w:tcPr>
            <w:tcW w:w="1470" w:type="pct"/>
            <w:shd w:val="clear" w:color="auto" w:fill="auto"/>
            <w:vAlign w:val="center"/>
          </w:tcPr>
          <w:p w14:paraId="6D1C023D" w14:textId="77777777" w:rsidR="00506ADE" w:rsidRPr="00FF04CE" w:rsidRDefault="00506ADE" w:rsidP="007A7571">
            <w:pPr>
              <w:pStyle w:val="Tabletext0"/>
            </w:pPr>
            <w:r w:rsidRPr="00FF04CE">
              <w:t>Water dependent ecosystems and species</w:t>
            </w:r>
          </w:p>
        </w:tc>
        <w:tc>
          <w:tcPr>
            <w:tcW w:w="3530" w:type="pct"/>
            <w:shd w:val="clear" w:color="auto" w:fill="auto"/>
          </w:tcPr>
          <w:p w14:paraId="0DEB0B8C" w14:textId="77777777" w:rsidR="00506ADE" w:rsidRPr="00FF04CE" w:rsidRDefault="00506ADE" w:rsidP="007A7571">
            <w:pPr>
              <w:pStyle w:val="Tabletext0"/>
            </w:pPr>
            <w:r w:rsidRPr="00FF04CE">
              <w:t>Comply with EPA requirements within the mixing zone</w:t>
            </w:r>
          </w:p>
          <w:p w14:paraId="11BBEA1F" w14:textId="54564D94" w:rsidR="00506ADE" w:rsidRPr="00FF04CE" w:rsidRDefault="00506ADE" w:rsidP="007A7571">
            <w:pPr>
              <w:pStyle w:val="Tabletext0"/>
            </w:pPr>
            <w:r w:rsidRPr="00FF04CE">
              <w:t>Outside the mixing zone:</w:t>
            </w:r>
          </w:p>
          <w:p w14:paraId="711166F3" w14:textId="77777777" w:rsidR="00506ADE" w:rsidRPr="00FF04CE" w:rsidRDefault="00506ADE" w:rsidP="00525686">
            <w:pPr>
              <w:pStyle w:val="Tabletext0"/>
              <w:numPr>
                <w:ilvl w:val="0"/>
                <w:numId w:val="37"/>
              </w:numPr>
              <w:ind w:left="442"/>
            </w:pPr>
            <w:r w:rsidRPr="00FF04CE">
              <w:t>Maintain biodiversity and ecosystem processes</w:t>
            </w:r>
          </w:p>
          <w:p w14:paraId="43A76141" w14:textId="77777777" w:rsidR="00506ADE" w:rsidRPr="00FF04CE" w:rsidRDefault="00506ADE" w:rsidP="00525686">
            <w:pPr>
              <w:pStyle w:val="Tabletext0"/>
              <w:numPr>
                <w:ilvl w:val="0"/>
                <w:numId w:val="37"/>
              </w:numPr>
              <w:ind w:left="442"/>
            </w:pPr>
            <w:r w:rsidRPr="00FF04CE">
              <w:t>No acute or chronic toxicity</w:t>
            </w:r>
          </w:p>
          <w:p w14:paraId="074AC086" w14:textId="77777777" w:rsidR="00506ADE" w:rsidRPr="00FF04CE" w:rsidRDefault="00506ADE" w:rsidP="00525686">
            <w:pPr>
              <w:pStyle w:val="Tabletext0"/>
              <w:numPr>
                <w:ilvl w:val="0"/>
                <w:numId w:val="37"/>
              </w:numPr>
              <w:ind w:left="442"/>
            </w:pPr>
            <w:r w:rsidRPr="00FF04CE">
              <w:t>No assemblage impact due to salinity effects</w:t>
            </w:r>
          </w:p>
          <w:p w14:paraId="59C89A36" w14:textId="77777777" w:rsidR="00506ADE" w:rsidRPr="00FF04CE" w:rsidRDefault="00506ADE" w:rsidP="00525686">
            <w:pPr>
              <w:pStyle w:val="Tabletext0"/>
              <w:numPr>
                <w:ilvl w:val="0"/>
                <w:numId w:val="37"/>
              </w:numPr>
              <w:ind w:left="442"/>
            </w:pPr>
            <w:r w:rsidRPr="00FF04CE">
              <w:t>No suspended solids effects above ambient levels – smothering and turbidity</w:t>
            </w:r>
          </w:p>
          <w:p w14:paraId="7FD0F908" w14:textId="77777777" w:rsidR="00506ADE" w:rsidRPr="00FF04CE" w:rsidRDefault="00506ADE" w:rsidP="00525686">
            <w:pPr>
              <w:pStyle w:val="Tabletext0"/>
              <w:numPr>
                <w:ilvl w:val="0"/>
                <w:numId w:val="37"/>
              </w:numPr>
              <w:ind w:left="442"/>
            </w:pPr>
            <w:r w:rsidRPr="00FF04CE">
              <w:t>No dissolved oxygen depletion</w:t>
            </w:r>
          </w:p>
          <w:p w14:paraId="0EEEABEF" w14:textId="77777777" w:rsidR="00506ADE" w:rsidRPr="00FF04CE" w:rsidRDefault="51803E0E" w:rsidP="00525686">
            <w:pPr>
              <w:pStyle w:val="Tabletext0"/>
              <w:numPr>
                <w:ilvl w:val="0"/>
                <w:numId w:val="37"/>
              </w:numPr>
              <w:ind w:left="442"/>
            </w:pPr>
            <w:r w:rsidRPr="10077A7C">
              <w:t>No bioaccumulation/concentration/magnification of toxic substances</w:t>
            </w:r>
          </w:p>
          <w:p w14:paraId="7546A565" w14:textId="77777777" w:rsidR="00506ADE" w:rsidRPr="00FF04CE" w:rsidRDefault="00506ADE" w:rsidP="00525686">
            <w:pPr>
              <w:pStyle w:val="Tabletext0"/>
              <w:numPr>
                <w:ilvl w:val="0"/>
                <w:numId w:val="37"/>
              </w:numPr>
              <w:ind w:left="442"/>
            </w:pPr>
            <w:r w:rsidRPr="00FF04CE">
              <w:t>No primary or secondary enrichment</w:t>
            </w:r>
          </w:p>
          <w:p w14:paraId="32440F06" w14:textId="24A8F886" w:rsidR="00506ADE" w:rsidRPr="00FF04CE" w:rsidRDefault="01F59D38" w:rsidP="00525686">
            <w:pPr>
              <w:pStyle w:val="Tabletext0"/>
              <w:numPr>
                <w:ilvl w:val="0"/>
                <w:numId w:val="37"/>
              </w:numPr>
              <w:ind w:left="442"/>
            </w:pPr>
            <w:r w:rsidRPr="073E3263">
              <w:t>No synergistic effects due to combinations of discharge effects</w:t>
            </w:r>
          </w:p>
        </w:tc>
      </w:tr>
      <w:tr w:rsidR="00506ADE" w:rsidRPr="00FF04CE" w14:paraId="1897063F" w14:textId="77777777" w:rsidTr="00C43ABE">
        <w:tc>
          <w:tcPr>
            <w:tcW w:w="1470" w:type="pct"/>
            <w:shd w:val="clear" w:color="auto" w:fill="auto"/>
            <w:vAlign w:val="center"/>
          </w:tcPr>
          <w:p w14:paraId="60F81985" w14:textId="77777777" w:rsidR="00506ADE" w:rsidRPr="00FF04CE" w:rsidRDefault="00506ADE" w:rsidP="007A7571">
            <w:pPr>
              <w:pStyle w:val="Tabletext0"/>
            </w:pPr>
            <w:r w:rsidRPr="00FF04CE">
              <w:t>Traditional Owner cultural values</w:t>
            </w:r>
          </w:p>
        </w:tc>
        <w:tc>
          <w:tcPr>
            <w:tcW w:w="3530" w:type="pct"/>
            <w:shd w:val="clear" w:color="auto" w:fill="auto"/>
          </w:tcPr>
          <w:p w14:paraId="28F7FDD3" w14:textId="77777777" w:rsidR="00506ADE" w:rsidRPr="00FF04CE" w:rsidRDefault="00506ADE" w:rsidP="007A7571">
            <w:pPr>
              <w:pStyle w:val="Tabletext0"/>
            </w:pPr>
            <w:r w:rsidRPr="00FF04CE">
              <w:t>Comply with EPA requirements within the mixing zone</w:t>
            </w:r>
          </w:p>
          <w:p w14:paraId="4CD160D1" w14:textId="77777777" w:rsidR="00506ADE" w:rsidRPr="00FF04CE" w:rsidRDefault="00506ADE" w:rsidP="007A7571">
            <w:pPr>
              <w:pStyle w:val="Tabletext0"/>
            </w:pPr>
            <w:r w:rsidRPr="00FF04CE">
              <w:t>Outside the mixing zone:</w:t>
            </w:r>
          </w:p>
          <w:p w14:paraId="177C119D" w14:textId="77777777" w:rsidR="00506ADE" w:rsidRPr="00FF04CE" w:rsidRDefault="00506ADE" w:rsidP="00525686">
            <w:pPr>
              <w:pStyle w:val="Tabletext0"/>
              <w:numPr>
                <w:ilvl w:val="0"/>
                <w:numId w:val="36"/>
              </w:numPr>
              <w:ind w:left="442"/>
            </w:pPr>
            <w:r w:rsidRPr="00FF04CE">
              <w:t>No loss of biodiversity – particularly species of cultural or spiritual significance</w:t>
            </w:r>
          </w:p>
          <w:p w14:paraId="0DBC65CA" w14:textId="77777777" w:rsidR="00506ADE" w:rsidRPr="00FF04CE" w:rsidRDefault="00506ADE" w:rsidP="00525686">
            <w:pPr>
              <w:pStyle w:val="Tabletext0"/>
              <w:numPr>
                <w:ilvl w:val="0"/>
                <w:numId w:val="36"/>
              </w:numPr>
              <w:ind w:left="442"/>
            </w:pPr>
            <w:r w:rsidRPr="00FF04CE">
              <w:t>No loss of amenity</w:t>
            </w:r>
          </w:p>
          <w:p w14:paraId="0F99C13D" w14:textId="77777777" w:rsidR="00506ADE" w:rsidRPr="00FF04CE" w:rsidRDefault="00506ADE" w:rsidP="00525686">
            <w:pPr>
              <w:pStyle w:val="Tabletext0"/>
              <w:numPr>
                <w:ilvl w:val="0"/>
                <w:numId w:val="36"/>
              </w:numPr>
              <w:ind w:left="442"/>
            </w:pPr>
            <w:r w:rsidRPr="00FF04CE">
              <w:t>No loss of primary or secondary contact opportunities</w:t>
            </w:r>
          </w:p>
        </w:tc>
      </w:tr>
      <w:tr w:rsidR="00506ADE" w:rsidRPr="00FF04CE" w14:paraId="6A56196C" w14:textId="77777777" w:rsidTr="00C43ABE">
        <w:tc>
          <w:tcPr>
            <w:tcW w:w="1470" w:type="pct"/>
            <w:shd w:val="clear" w:color="auto" w:fill="auto"/>
            <w:vAlign w:val="center"/>
          </w:tcPr>
          <w:p w14:paraId="74D7647E" w14:textId="77777777" w:rsidR="00506ADE" w:rsidRPr="00FF04CE" w:rsidRDefault="00506ADE" w:rsidP="007A7571">
            <w:pPr>
              <w:pStyle w:val="Tabletext0"/>
            </w:pPr>
            <w:r w:rsidRPr="00FF04CE">
              <w:t>Water-based recreation (aesthetic enjoyment)</w:t>
            </w:r>
          </w:p>
        </w:tc>
        <w:tc>
          <w:tcPr>
            <w:tcW w:w="3530" w:type="pct"/>
            <w:shd w:val="clear" w:color="auto" w:fill="auto"/>
          </w:tcPr>
          <w:p w14:paraId="06372C2A" w14:textId="77777777" w:rsidR="00506ADE" w:rsidRPr="00FF04CE" w:rsidRDefault="00506ADE" w:rsidP="007A7571">
            <w:pPr>
              <w:pStyle w:val="Tabletext0"/>
            </w:pPr>
            <w:r w:rsidRPr="00FF04CE">
              <w:t>Comply with EPA requirements within the mixing zone</w:t>
            </w:r>
          </w:p>
          <w:p w14:paraId="0DA5FA70" w14:textId="77777777" w:rsidR="00506ADE" w:rsidRPr="00FF04CE" w:rsidRDefault="00506ADE" w:rsidP="007A7571">
            <w:pPr>
              <w:pStyle w:val="Tabletext0"/>
            </w:pPr>
            <w:r w:rsidRPr="00FF04CE">
              <w:t>Outside the mixing zone:</w:t>
            </w:r>
          </w:p>
          <w:p w14:paraId="3385507D" w14:textId="77777777" w:rsidR="00506ADE" w:rsidRPr="00FF04CE" w:rsidRDefault="00506ADE" w:rsidP="00525686">
            <w:pPr>
              <w:pStyle w:val="Tabletext0"/>
              <w:numPr>
                <w:ilvl w:val="0"/>
                <w:numId w:val="35"/>
              </w:numPr>
              <w:ind w:left="442"/>
            </w:pPr>
            <w:r w:rsidRPr="00FF04CE">
              <w:t>No oils, slicks, scums or films</w:t>
            </w:r>
          </w:p>
          <w:p w14:paraId="1C6D8EEC" w14:textId="77777777" w:rsidR="00506ADE" w:rsidRPr="00FF04CE" w:rsidRDefault="00506ADE" w:rsidP="00525686">
            <w:pPr>
              <w:pStyle w:val="Tabletext0"/>
              <w:numPr>
                <w:ilvl w:val="0"/>
                <w:numId w:val="35"/>
              </w:numPr>
              <w:ind w:left="442"/>
            </w:pPr>
            <w:r w:rsidRPr="00FF04CE">
              <w:t>No impact on ambient levels of turbidity</w:t>
            </w:r>
          </w:p>
          <w:p w14:paraId="3210C076" w14:textId="77777777" w:rsidR="00506ADE" w:rsidRPr="00FF04CE" w:rsidRDefault="00506ADE" w:rsidP="00525686">
            <w:pPr>
              <w:pStyle w:val="Tabletext0"/>
              <w:numPr>
                <w:ilvl w:val="0"/>
                <w:numId w:val="35"/>
              </w:numPr>
              <w:ind w:left="442"/>
              <w:rPr>
                <w:lang w:val="es-AR"/>
              </w:rPr>
            </w:pPr>
            <w:r w:rsidRPr="00FF04CE">
              <w:rPr>
                <w:lang w:val="es-AR"/>
              </w:rPr>
              <w:t>No odour</w:t>
            </w:r>
          </w:p>
          <w:p w14:paraId="47B448B5" w14:textId="77777777" w:rsidR="00506ADE" w:rsidRPr="00FF04CE" w:rsidRDefault="01F59D38" w:rsidP="00525686">
            <w:pPr>
              <w:pStyle w:val="Tabletext0"/>
              <w:numPr>
                <w:ilvl w:val="0"/>
                <w:numId w:val="35"/>
              </w:numPr>
              <w:ind w:left="442"/>
              <w:rPr>
                <w:lang w:val="es-AR"/>
              </w:rPr>
            </w:pPr>
            <w:r w:rsidRPr="073E3263">
              <w:rPr>
                <w:lang w:val="es-AR"/>
              </w:rPr>
              <w:t>No algal blooms</w:t>
            </w:r>
          </w:p>
        </w:tc>
      </w:tr>
      <w:tr w:rsidR="00506ADE" w:rsidRPr="00FF04CE" w14:paraId="1CE47D78" w14:textId="77777777" w:rsidTr="00C43ABE">
        <w:tc>
          <w:tcPr>
            <w:tcW w:w="1470" w:type="pct"/>
            <w:shd w:val="clear" w:color="auto" w:fill="auto"/>
          </w:tcPr>
          <w:p w14:paraId="041A43FE" w14:textId="77777777" w:rsidR="00506ADE" w:rsidRPr="00FF04CE" w:rsidRDefault="00506ADE" w:rsidP="007A7571">
            <w:pPr>
              <w:pStyle w:val="Tabletext0"/>
            </w:pPr>
            <w:r w:rsidRPr="00FF04CE">
              <w:t>Water-based recreation (primary and secondary contact), human consumption of aquatic foods (natural populations – commercial and recreational catch)</w:t>
            </w:r>
          </w:p>
        </w:tc>
        <w:tc>
          <w:tcPr>
            <w:tcW w:w="3530" w:type="pct"/>
            <w:shd w:val="clear" w:color="auto" w:fill="auto"/>
          </w:tcPr>
          <w:p w14:paraId="7EAF0F22" w14:textId="3C7B79A7" w:rsidR="00506ADE" w:rsidRPr="00FF04CE" w:rsidRDefault="00506ADE" w:rsidP="007A7571">
            <w:pPr>
              <w:pStyle w:val="Tabletext0"/>
            </w:pPr>
            <w:r w:rsidRPr="00FF04CE">
              <w:t>Would require an independent human health risk assessment (see</w:t>
            </w:r>
            <w:r w:rsidR="008426CC">
              <w:t xml:space="preserve"> </w:t>
            </w:r>
            <w:r w:rsidR="00F859E6">
              <w:t>Appendix C)</w:t>
            </w:r>
          </w:p>
        </w:tc>
      </w:tr>
    </w:tbl>
    <w:p w14:paraId="48DD2718" w14:textId="657FEDD0" w:rsidR="005E6D1F" w:rsidRDefault="005E6D1F" w:rsidP="00DD2A3E">
      <w:pPr>
        <w:pStyle w:val="NoSpacing"/>
      </w:pPr>
    </w:p>
    <w:p w14:paraId="77D327D7" w14:textId="3110D9D6" w:rsidR="005E6D1F" w:rsidRDefault="005E6D1F">
      <w:pPr>
        <w:spacing w:before="0" w:after="0"/>
      </w:pPr>
      <w:r>
        <w:br w:type="page"/>
      </w:r>
    </w:p>
    <w:p w14:paraId="7F5B60F1" w14:textId="1BCE5442" w:rsidR="00EC3516" w:rsidRDefault="00EC3516" w:rsidP="00EC3516">
      <w:pPr>
        <w:pStyle w:val="Caption"/>
        <w:keepNext/>
      </w:pPr>
      <w:bookmarkStart w:id="107" w:name="_Ref132748331"/>
      <w:bookmarkStart w:id="108" w:name="_Ref132748319"/>
      <w:r>
        <w:lastRenderedPageBreak/>
        <w:t>Table B</w:t>
      </w:r>
      <w:fldSimple w:instr=" SEQ Table_B \* ARABIC ">
        <w:r w:rsidR="00FD64B0">
          <w:rPr>
            <w:noProof/>
          </w:rPr>
          <w:t>2</w:t>
        </w:r>
      </w:fldSimple>
      <w:bookmarkEnd w:id="107"/>
      <w:r>
        <w:t xml:space="preserve"> – </w:t>
      </w:r>
      <w:r w:rsidRPr="00285DFC">
        <w:t>Environmental values identified for the Black Rock discharge receiving waters</w:t>
      </w:r>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7476"/>
      </w:tblGrid>
      <w:tr w:rsidR="00B3429A" w:rsidRPr="000456FA" w14:paraId="68E8F7DE" w14:textId="77777777" w:rsidTr="00155983">
        <w:trPr>
          <w:jc w:val="center"/>
        </w:trPr>
        <w:tc>
          <w:tcPr>
            <w:tcW w:w="1323" w:type="pct"/>
            <w:shd w:val="clear" w:color="auto" w:fill="003F72"/>
          </w:tcPr>
          <w:p w14:paraId="365AAEB8" w14:textId="77777777" w:rsidR="00B3429A" w:rsidRPr="000456FA" w:rsidRDefault="00B3429A" w:rsidP="007A7571">
            <w:pPr>
              <w:pStyle w:val="Tabletext0"/>
            </w:pPr>
            <w:r w:rsidRPr="000456FA">
              <w:t>Environmental value</w:t>
            </w:r>
          </w:p>
        </w:tc>
        <w:tc>
          <w:tcPr>
            <w:tcW w:w="3677" w:type="pct"/>
            <w:shd w:val="clear" w:color="auto" w:fill="003F72"/>
          </w:tcPr>
          <w:p w14:paraId="4FED97E4" w14:textId="77777777" w:rsidR="00B3429A" w:rsidRPr="000456FA" w:rsidRDefault="00B3429A" w:rsidP="007A7571">
            <w:pPr>
              <w:pStyle w:val="Tabletext0"/>
            </w:pPr>
            <w:r w:rsidRPr="000456FA">
              <w:t>Values</w:t>
            </w:r>
          </w:p>
        </w:tc>
      </w:tr>
      <w:tr w:rsidR="00B3429A" w:rsidRPr="00364D34" w14:paraId="58B1636F" w14:textId="77777777" w:rsidTr="00155983">
        <w:trPr>
          <w:jc w:val="center"/>
        </w:trPr>
        <w:tc>
          <w:tcPr>
            <w:tcW w:w="1323" w:type="pct"/>
            <w:shd w:val="clear" w:color="auto" w:fill="auto"/>
            <w:vAlign w:val="center"/>
          </w:tcPr>
          <w:p w14:paraId="4C79EB05" w14:textId="77777777" w:rsidR="00B3429A" w:rsidRPr="00155983" w:rsidRDefault="00B3429A" w:rsidP="00155983">
            <w:pPr>
              <w:pStyle w:val="Tabletext0"/>
            </w:pPr>
            <w:r w:rsidRPr="00155983">
              <w:t>Water dependent ecosystems and species</w:t>
            </w:r>
          </w:p>
        </w:tc>
        <w:tc>
          <w:tcPr>
            <w:tcW w:w="3677" w:type="pct"/>
            <w:shd w:val="clear" w:color="auto" w:fill="auto"/>
          </w:tcPr>
          <w:p w14:paraId="7C3A03D1" w14:textId="77777777" w:rsidR="00B3429A" w:rsidRPr="00155983" w:rsidRDefault="00B3429A" w:rsidP="00155983">
            <w:pPr>
              <w:pStyle w:val="Tabletext0"/>
            </w:pPr>
            <w:r w:rsidRPr="00155983">
              <w:t>The marine ecosystem in the region of the outfall comprises a range of habitats and associated biota.</w:t>
            </w:r>
          </w:p>
        </w:tc>
      </w:tr>
      <w:tr w:rsidR="00B3429A" w:rsidRPr="00364D34" w14:paraId="5197ABB9" w14:textId="77777777" w:rsidTr="00155983">
        <w:trPr>
          <w:jc w:val="center"/>
        </w:trPr>
        <w:tc>
          <w:tcPr>
            <w:tcW w:w="1323" w:type="pct"/>
            <w:shd w:val="clear" w:color="auto" w:fill="auto"/>
            <w:vAlign w:val="center"/>
          </w:tcPr>
          <w:p w14:paraId="28407291" w14:textId="77777777" w:rsidR="00B3429A" w:rsidRPr="00155983" w:rsidRDefault="00B3429A" w:rsidP="00155983">
            <w:pPr>
              <w:pStyle w:val="Tabletext0"/>
            </w:pPr>
            <w:r w:rsidRPr="00155983">
              <w:t>Traditional Owner cultural values</w:t>
            </w:r>
          </w:p>
        </w:tc>
        <w:tc>
          <w:tcPr>
            <w:tcW w:w="3677" w:type="pct"/>
            <w:shd w:val="clear" w:color="auto" w:fill="auto"/>
          </w:tcPr>
          <w:p w14:paraId="4B77E4F7" w14:textId="77777777" w:rsidR="00B3429A" w:rsidRPr="00155983" w:rsidRDefault="00B3429A" w:rsidP="00155983">
            <w:pPr>
              <w:pStyle w:val="Tabletext0"/>
            </w:pPr>
            <w:r w:rsidRPr="00155983">
              <w:t>Indigenous and non-indigenous cultural values may be associated with the dunes and land behind the dunes.</w:t>
            </w:r>
          </w:p>
        </w:tc>
      </w:tr>
      <w:tr w:rsidR="00B3429A" w:rsidRPr="00364D34" w14:paraId="22F353A3" w14:textId="77777777" w:rsidTr="00155983">
        <w:trPr>
          <w:jc w:val="center"/>
        </w:trPr>
        <w:tc>
          <w:tcPr>
            <w:tcW w:w="1323" w:type="pct"/>
            <w:tcBorders>
              <w:bottom w:val="single" w:sz="4" w:space="0" w:color="auto"/>
            </w:tcBorders>
            <w:shd w:val="clear" w:color="auto" w:fill="auto"/>
            <w:vAlign w:val="center"/>
          </w:tcPr>
          <w:p w14:paraId="42A3C9CC" w14:textId="77777777" w:rsidR="00B3429A" w:rsidRPr="00155983" w:rsidRDefault="00B3429A" w:rsidP="00155983">
            <w:pPr>
              <w:pStyle w:val="Tabletext0"/>
            </w:pPr>
            <w:r w:rsidRPr="00155983">
              <w:t>Water-based recreation (aesthetic enjoyment)</w:t>
            </w:r>
          </w:p>
        </w:tc>
        <w:tc>
          <w:tcPr>
            <w:tcW w:w="3677" w:type="pct"/>
            <w:tcBorders>
              <w:bottom w:val="single" w:sz="4" w:space="0" w:color="auto"/>
            </w:tcBorders>
            <w:shd w:val="clear" w:color="auto" w:fill="auto"/>
          </w:tcPr>
          <w:p w14:paraId="20817F0A" w14:textId="77777777" w:rsidR="00B3429A" w:rsidRPr="00155983" w:rsidRDefault="00B3429A" w:rsidP="00155983">
            <w:pPr>
              <w:pStyle w:val="Tabletext0"/>
            </w:pPr>
            <w:r w:rsidRPr="00155983">
              <w:t>The beaches, dunes and elevated vantage points are valued for their aesthetic qualities.</w:t>
            </w:r>
          </w:p>
        </w:tc>
      </w:tr>
    </w:tbl>
    <w:p w14:paraId="0C36C6EE" w14:textId="1F6923AA" w:rsidR="00F366F5" w:rsidRDefault="00EC3516" w:rsidP="00EC3516">
      <w:pPr>
        <w:pStyle w:val="Tablenotes"/>
        <w:rPr>
          <w:rFonts w:ascii="Arial" w:hAnsi="Arial"/>
          <w:sz w:val="18"/>
          <w:szCs w:val="24"/>
        </w:rPr>
      </w:pPr>
      <w:r w:rsidRPr="00F21050">
        <w:t>See Appendix C for a human health risk assessment.</w:t>
      </w:r>
    </w:p>
    <w:p w14:paraId="6E6C3BA8" w14:textId="77777777" w:rsidR="00EC3516" w:rsidRDefault="00EC3516">
      <w:pPr>
        <w:spacing w:before="0" w:after="0"/>
        <w:rPr>
          <w:rFonts w:ascii="Arial" w:hAnsi="Arial"/>
          <w:sz w:val="18"/>
          <w:szCs w:val="24"/>
        </w:rPr>
      </w:pPr>
    </w:p>
    <w:p w14:paraId="0BFC4BBD" w14:textId="77777777" w:rsidR="00155983" w:rsidRDefault="00155983" w:rsidP="00155983"/>
    <w:p w14:paraId="0C8F4C52" w14:textId="77777777" w:rsidR="00EC3516" w:rsidRDefault="00EC3516" w:rsidP="00EC3516">
      <w:pPr>
        <w:keepNext/>
        <w:spacing w:before="0" w:after="0"/>
      </w:pPr>
      <w:r>
        <w:rPr>
          <w:rFonts w:ascii="Arial" w:hAnsi="Arial"/>
          <w:noProof/>
          <w:sz w:val="18"/>
          <w:szCs w:val="24"/>
        </w:rPr>
        <w:drawing>
          <wp:inline distT="0" distB="0" distL="0" distR="0" wp14:anchorId="3ABE55E1" wp14:editId="6A70FC2F">
            <wp:extent cx="6461760" cy="2821135"/>
            <wp:effectExtent l="25400" t="25400" r="91440" b="8763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pic:cNvPicPr>
                      <a:picLocks noChangeAspect="1"/>
                    </pic:cNvPicPr>
                  </pic:nvPicPr>
                  <pic:blipFill>
                    <a:blip r:embed="rId53"/>
                    <a:srcRect/>
                    <a:stretch>
                      <a:fillRect/>
                    </a:stretch>
                  </pic:blipFill>
                  <pic:spPr bwMode="auto">
                    <a:xfrm>
                      <a:off x="0" y="0"/>
                      <a:ext cx="6461760" cy="28211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905C63B" w14:textId="6852125D" w:rsidR="00EC3516" w:rsidRPr="00EC3516" w:rsidRDefault="00EC3516" w:rsidP="00EC3516">
      <w:pPr>
        <w:pStyle w:val="Caption"/>
      </w:pPr>
      <w:bookmarkStart w:id="109" w:name="_Ref132748249"/>
      <w:r w:rsidRPr="00EC3516">
        <w:t>Figure B</w:t>
      </w:r>
      <w:fldSimple w:instr=" SEQ Figure_B \* ARABIC ">
        <w:r w:rsidR="00FD64B0">
          <w:rPr>
            <w:noProof/>
          </w:rPr>
          <w:t>1</w:t>
        </w:r>
      </w:fldSimple>
      <w:bookmarkEnd w:id="109"/>
      <w:r w:rsidRPr="00EC3516">
        <w:t xml:space="preserve"> – Location of environmental values at Black Rock</w:t>
      </w:r>
    </w:p>
    <w:p w14:paraId="42B05E86" w14:textId="77777777" w:rsidR="00EC3516" w:rsidRDefault="00EC3516" w:rsidP="00EC3516">
      <w:pPr>
        <w:keepNext/>
        <w:spacing w:after="0"/>
      </w:pPr>
      <w:r>
        <w:rPr>
          <w:noProof/>
        </w:rPr>
        <w:lastRenderedPageBreak/>
        <mc:AlternateContent>
          <mc:Choice Requires="wpg">
            <w:drawing>
              <wp:inline distT="0" distB="0" distL="0" distR="0" wp14:anchorId="3217F9E8" wp14:editId="5BCEA94D">
                <wp:extent cx="6554634" cy="3951221"/>
                <wp:effectExtent l="12700" t="12700" r="11430" b="1143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4634" cy="3951221"/>
                          <a:chOff x="0" y="0"/>
                          <a:chExt cx="6042355" cy="3401568"/>
                        </a:xfrm>
                      </wpg:grpSpPr>
                      <wps:wsp>
                        <wps:cNvPr id="15" name="Rectangle 10"/>
                        <wps:cNvSpPr/>
                        <wps:spPr>
                          <a:xfrm>
                            <a:off x="0" y="0"/>
                            <a:ext cx="6042355" cy="3401568"/>
                          </a:xfrm>
                          <a:prstGeom prst="rect">
                            <a:avLst/>
                          </a:prstGeom>
                          <a:noFill/>
                          <a:ln w="19050">
                            <a:solidFill>
                              <a:srgbClr val="003F7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Picture 18"/>
                          <pic:cNvPicPr>
                            <a:picLocks noChangeAspect="1"/>
                          </pic:cNvPicPr>
                        </pic:nvPicPr>
                        <pic:blipFill>
                          <a:blip r:embed="rId54"/>
                          <a:srcRect/>
                          <a:stretch>
                            <a:fillRect/>
                          </a:stretch>
                        </pic:blipFill>
                        <pic:spPr bwMode="auto">
                          <a:xfrm>
                            <a:off x="33337" y="23813"/>
                            <a:ext cx="5957570" cy="3347720"/>
                          </a:xfrm>
                          <a:prstGeom prst="rect">
                            <a:avLst/>
                          </a:prstGeom>
                          <a:noFill/>
                        </pic:spPr>
                      </pic:pic>
                    </wpg:wgp>
                  </a:graphicData>
                </a:graphic>
              </wp:inline>
            </w:drawing>
          </mc:Choice>
          <mc:Fallback>
            <w:pict>
              <v:group w14:anchorId="776FFC75" id="Group 12" o:spid="_x0000_s1026" style="width:516.1pt;height:311.1pt;mso-position-horizontal-relative:char;mso-position-vertical-relative:line" coordsize="60423,34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">
                <v:rect id="Rectangle 10" o:spid="_x0000_s1027" style="position:absolute;width:6042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" filled="f" strokecolor="#003f72"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333;top:238;width:59576;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">
                  <v:imagedata r:id="rId57" o:title=""/>
                </v:shape>
                <w10:anchorlock/>
              </v:group>
            </w:pict>
          </mc:Fallback>
        </mc:AlternateContent>
      </w:r>
    </w:p>
    <w:p w14:paraId="30DB48DC" w14:textId="78FF31DE" w:rsidR="00292C86" w:rsidRDefault="00EC3516" w:rsidP="00EC3516">
      <w:pPr>
        <w:pStyle w:val="Caption"/>
      </w:pPr>
      <w:bookmarkStart w:id="110" w:name="_Ref132748200"/>
      <w:bookmarkStart w:id="111" w:name="_Ref132748165"/>
      <w:r>
        <w:t>Figure B</w:t>
      </w:r>
      <w:fldSimple w:instr=" SEQ Figure_B \* ARABIC ">
        <w:r w:rsidR="00FD64B0">
          <w:rPr>
            <w:noProof/>
          </w:rPr>
          <w:t>2</w:t>
        </w:r>
      </w:fldSimple>
      <w:bookmarkEnd w:id="110"/>
      <w:r>
        <w:t xml:space="preserve"> –</w:t>
      </w:r>
      <w:r w:rsidRPr="00EC3516">
        <w:t xml:space="preserve"> </w:t>
      </w:r>
      <w:r w:rsidRPr="00085983">
        <w:t>Conceptual model of the direct interactions of a wastewater treatment plant (WWTP) discharge with a marine aquatic ecosystem</w:t>
      </w:r>
      <w:bookmarkEnd w:id="111"/>
    </w:p>
    <w:p w14:paraId="4EB051CD" w14:textId="77777777" w:rsidR="00EC3516" w:rsidRDefault="00EC3516" w:rsidP="00AA7232">
      <w:pPr>
        <w:pStyle w:val="Heading4"/>
      </w:pPr>
    </w:p>
    <w:p w14:paraId="28837281" w14:textId="39AD76B8" w:rsidR="005C71C3" w:rsidRPr="00E76BC5" w:rsidRDefault="005C71C3" w:rsidP="00AA7232">
      <w:pPr>
        <w:pStyle w:val="Heading4"/>
        <w:rPr>
          <w:rFonts w:cs="Arial"/>
        </w:rPr>
      </w:pPr>
      <w:r w:rsidRPr="00E76BC5">
        <w:t>Risk analysis</w:t>
      </w:r>
    </w:p>
    <w:p w14:paraId="511AF390" w14:textId="3B486491" w:rsidR="00222236" w:rsidRDefault="00943930">
      <w:r w:rsidRPr="004C1BC4">
        <w:t>The risk analysis was conducted using the semi-quantitative approach in the Australian/New Zealand Standards AS/NZS 4360 (2004). The likelihood and consequence definitions for the risk analysis were clearly defined (</w:t>
      </w:r>
      <w:r w:rsidR="00F90281">
        <w:fldChar w:fldCharType="begin"/>
      </w:r>
      <w:r w:rsidR="00F90281">
        <w:instrText xml:space="preserve"> REF _Ref88222599 \h </w:instrText>
      </w:r>
      <w:r w:rsidR="00F90281">
        <w:fldChar w:fldCharType="separate"/>
      </w:r>
      <w:r w:rsidR="00FD64B0" w:rsidRPr="00D20C14">
        <w:t>Table B</w:t>
      </w:r>
      <w:r w:rsidR="00FD64B0">
        <w:rPr>
          <w:noProof/>
        </w:rPr>
        <w:t>3</w:t>
      </w:r>
      <w:r w:rsidR="00F90281">
        <w:fldChar w:fldCharType="end"/>
      </w:r>
      <w:r w:rsidR="00F90281">
        <w:t xml:space="preserve"> and </w:t>
      </w:r>
      <w:r w:rsidR="00F90281">
        <w:fldChar w:fldCharType="begin"/>
      </w:r>
      <w:r w:rsidR="00F90281">
        <w:instrText xml:space="preserve"> REF _Ref88222603 \h </w:instrText>
      </w:r>
      <w:r w:rsidR="00F90281">
        <w:fldChar w:fldCharType="separate"/>
      </w:r>
      <w:r w:rsidR="00FD64B0" w:rsidRPr="00553A5F">
        <w:rPr>
          <w:lang w:val="fr-FR"/>
        </w:rPr>
        <w:t>Table B</w:t>
      </w:r>
      <w:r w:rsidR="00FD64B0">
        <w:rPr>
          <w:noProof/>
          <w:lang w:val="fr-FR"/>
        </w:rPr>
        <w:t>4</w:t>
      </w:r>
      <w:r w:rsidR="00F90281">
        <w:fldChar w:fldCharType="end"/>
      </w:r>
      <w:r w:rsidR="00F44FA9">
        <w:t>)</w:t>
      </w:r>
      <w:r w:rsidRPr="004C1BC4">
        <w:t>. To increase the robustness and transparency of the analysis, the consequence ratings were defined in very specific terms for each of the different marine environmental uses (</w:t>
      </w:r>
      <w:r w:rsidR="00F35501" w:rsidRPr="00F35501">
        <w:fldChar w:fldCharType="begin"/>
      </w:r>
      <w:r w:rsidR="00F35501" w:rsidRPr="00F35501">
        <w:instrText xml:space="preserve"> REF _Ref88222603 \h  \* MERGEFORMAT </w:instrText>
      </w:r>
      <w:r w:rsidR="00F35501" w:rsidRPr="00F35501">
        <w:fldChar w:fldCharType="separate"/>
      </w:r>
      <w:r w:rsidR="00FD64B0" w:rsidRPr="00FD64B0">
        <w:t>Table B4</w:t>
      </w:r>
      <w:r w:rsidR="00F35501" w:rsidRPr="00F35501">
        <w:fldChar w:fldCharType="end"/>
      </w:r>
      <w:r w:rsidRPr="004C1BC4">
        <w:t xml:space="preserve">). Evaluation of risk to the environmental values was determined from the consequence and likelihood levels using a risk matrix </w:t>
      </w:r>
      <w:r w:rsidR="00222236">
        <w:t>(</w:t>
      </w:r>
      <w:r w:rsidR="00F90281">
        <w:fldChar w:fldCharType="begin"/>
      </w:r>
      <w:r w:rsidR="00F90281">
        <w:instrText xml:space="preserve"> REF _Ref132748083 \h </w:instrText>
      </w:r>
      <w:r w:rsidR="00F90281">
        <w:fldChar w:fldCharType="separate"/>
      </w:r>
      <w:r w:rsidR="00FD64B0" w:rsidRPr="00FE1546">
        <w:t>Table B</w:t>
      </w:r>
      <w:r w:rsidR="00FD64B0">
        <w:rPr>
          <w:noProof/>
        </w:rPr>
        <w:t>5</w:t>
      </w:r>
      <w:r w:rsidR="00F90281">
        <w:fldChar w:fldCharType="end"/>
      </w:r>
      <w:r w:rsidR="00222236">
        <w:t>)</w:t>
      </w:r>
      <w:r w:rsidR="00F90281">
        <w:t>.</w:t>
      </w:r>
    </w:p>
    <w:p w14:paraId="664BBDB5" w14:textId="40514047" w:rsidR="00D27B46" w:rsidRPr="00D20C14" w:rsidRDefault="0049514E" w:rsidP="00A4665C">
      <w:pPr>
        <w:pStyle w:val="Caption"/>
        <w:rPr>
          <w:rFonts w:cs="Arial"/>
        </w:rPr>
      </w:pPr>
      <w:bookmarkStart w:id="112" w:name="_Ref88222599"/>
      <w:bookmarkStart w:id="113" w:name="_Ref57128478"/>
      <w:r w:rsidRPr="00D20C14">
        <w:t>Table B</w:t>
      </w:r>
      <w:fldSimple w:instr=" SEQ Table_B \* ARABIC ">
        <w:r w:rsidR="00FD64B0">
          <w:rPr>
            <w:noProof/>
          </w:rPr>
          <w:t>3</w:t>
        </w:r>
      </w:fldSimple>
      <w:bookmarkEnd w:id="112"/>
      <w:r w:rsidRPr="00D20C14">
        <w:t xml:space="preserve"> </w:t>
      </w:r>
      <w:r w:rsidR="00841850" w:rsidRPr="00D20C14">
        <w:rPr>
          <w:rFonts w:cs="Arial"/>
        </w:rPr>
        <w:t>–</w:t>
      </w:r>
      <w:r w:rsidR="00D27B46" w:rsidRPr="00D20C14">
        <w:rPr>
          <w:rFonts w:cs="Arial"/>
        </w:rPr>
        <w:t xml:space="preserve"> Likelihood definitions</w:t>
      </w:r>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728"/>
      </w:tblGrid>
      <w:tr w:rsidR="000456FA" w:rsidRPr="000456FA" w14:paraId="614A9112" w14:textId="77777777" w:rsidTr="000456FA">
        <w:trPr>
          <w:jc w:val="center"/>
        </w:trPr>
        <w:tc>
          <w:tcPr>
            <w:tcW w:w="1691" w:type="pct"/>
            <w:shd w:val="clear" w:color="auto" w:fill="003F72"/>
            <w:vAlign w:val="center"/>
          </w:tcPr>
          <w:p w14:paraId="02B9B3D5" w14:textId="77777777" w:rsidR="00D27B46" w:rsidRPr="000456FA" w:rsidRDefault="00D27B46" w:rsidP="00292C86">
            <w:pPr>
              <w:pStyle w:val="Tabletext0"/>
            </w:pPr>
            <w:r w:rsidRPr="000456FA">
              <w:t>Descriptor</w:t>
            </w:r>
          </w:p>
        </w:tc>
        <w:tc>
          <w:tcPr>
            <w:tcW w:w="3309" w:type="pct"/>
            <w:shd w:val="clear" w:color="auto" w:fill="003F72"/>
            <w:vAlign w:val="center"/>
          </w:tcPr>
          <w:p w14:paraId="29349526" w14:textId="77777777" w:rsidR="00D27B46" w:rsidRPr="000456FA" w:rsidRDefault="00D27B46" w:rsidP="00292C86">
            <w:pPr>
              <w:pStyle w:val="Tabletext0"/>
            </w:pPr>
            <w:r w:rsidRPr="000456FA">
              <w:t>Likelihood</w:t>
            </w:r>
          </w:p>
        </w:tc>
      </w:tr>
      <w:tr w:rsidR="00D27B46" w:rsidRPr="00003F61" w14:paraId="1C4034A4" w14:textId="77777777" w:rsidTr="00D214E7">
        <w:trPr>
          <w:jc w:val="center"/>
        </w:trPr>
        <w:tc>
          <w:tcPr>
            <w:tcW w:w="1691" w:type="pct"/>
            <w:shd w:val="clear" w:color="auto" w:fill="auto"/>
            <w:vAlign w:val="center"/>
          </w:tcPr>
          <w:p w14:paraId="04AC4E36" w14:textId="77777777" w:rsidR="00D27B46" w:rsidRPr="00003F61" w:rsidRDefault="00D27B46" w:rsidP="00292C86">
            <w:pPr>
              <w:pStyle w:val="Tabletext0"/>
            </w:pPr>
            <w:r w:rsidRPr="00003F61">
              <w:t>Almost certain</w:t>
            </w:r>
          </w:p>
        </w:tc>
        <w:tc>
          <w:tcPr>
            <w:tcW w:w="3309" w:type="pct"/>
            <w:shd w:val="clear" w:color="auto" w:fill="auto"/>
            <w:vAlign w:val="center"/>
          </w:tcPr>
          <w:p w14:paraId="61412BF5" w14:textId="77777777" w:rsidR="00D27B46" w:rsidRPr="00003F61" w:rsidRDefault="00D27B46" w:rsidP="00292C86">
            <w:pPr>
              <w:pStyle w:val="Tabletext0"/>
            </w:pPr>
            <w:r w:rsidRPr="00003F61">
              <w:t>The event is expected to occur in most circumstances</w:t>
            </w:r>
          </w:p>
        </w:tc>
      </w:tr>
      <w:tr w:rsidR="00D27B46" w:rsidRPr="00003F61" w14:paraId="6AEAF7CB" w14:textId="77777777" w:rsidTr="00D214E7">
        <w:trPr>
          <w:jc w:val="center"/>
        </w:trPr>
        <w:tc>
          <w:tcPr>
            <w:tcW w:w="1691" w:type="pct"/>
            <w:shd w:val="clear" w:color="auto" w:fill="auto"/>
            <w:vAlign w:val="center"/>
          </w:tcPr>
          <w:p w14:paraId="66303ADD" w14:textId="77777777" w:rsidR="00D27B46" w:rsidRPr="00003F61" w:rsidRDefault="00D27B46" w:rsidP="00292C86">
            <w:pPr>
              <w:pStyle w:val="Tabletext0"/>
            </w:pPr>
            <w:r w:rsidRPr="00003F61">
              <w:t>Likely</w:t>
            </w:r>
          </w:p>
        </w:tc>
        <w:tc>
          <w:tcPr>
            <w:tcW w:w="3309" w:type="pct"/>
            <w:shd w:val="clear" w:color="auto" w:fill="auto"/>
            <w:vAlign w:val="center"/>
          </w:tcPr>
          <w:p w14:paraId="634F0E78" w14:textId="77777777" w:rsidR="00D27B46" w:rsidRPr="00003F61" w:rsidRDefault="00D27B46" w:rsidP="00292C86">
            <w:pPr>
              <w:pStyle w:val="Tabletext0"/>
            </w:pPr>
            <w:r w:rsidRPr="00003F61">
              <w:t>The event will probably occur in most circumstances</w:t>
            </w:r>
          </w:p>
        </w:tc>
      </w:tr>
      <w:tr w:rsidR="00D27B46" w:rsidRPr="00003F61" w14:paraId="55621E18" w14:textId="77777777" w:rsidTr="00D214E7">
        <w:trPr>
          <w:jc w:val="center"/>
        </w:trPr>
        <w:tc>
          <w:tcPr>
            <w:tcW w:w="1691" w:type="pct"/>
            <w:shd w:val="clear" w:color="auto" w:fill="auto"/>
            <w:vAlign w:val="center"/>
          </w:tcPr>
          <w:p w14:paraId="53311DA8" w14:textId="77777777" w:rsidR="00D27B46" w:rsidRPr="00003F61" w:rsidRDefault="00D27B46" w:rsidP="00292C86">
            <w:pPr>
              <w:pStyle w:val="Tabletext0"/>
            </w:pPr>
            <w:r w:rsidRPr="00003F61">
              <w:t>Possible</w:t>
            </w:r>
          </w:p>
        </w:tc>
        <w:tc>
          <w:tcPr>
            <w:tcW w:w="3309" w:type="pct"/>
            <w:shd w:val="clear" w:color="auto" w:fill="auto"/>
            <w:vAlign w:val="center"/>
          </w:tcPr>
          <w:p w14:paraId="1E4B9A10" w14:textId="77777777" w:rsidR="00D27B46" w:rsidRPr="00003F61" w:rsidRDefault="00D27B46" w:rsidP="00292C86">
            <w:pPr>
              <w:pStyle w:val="Tabletext0"/>
            </w:pPr>
            <w:r w:rsidRPr="00003F61">
              <w:t>The event should occur at some time</w:t>
            </w:r>
          </w:p>
        </w:tc>
      </w:tr>
      <w:tr w:rsidR="00D27B46" w:rsidRPr="00003F61" w14:paraId="1BB9E6F1" w14:textId="77777777" w:rsidTr="00D214E7">
        <w:trPr>
          <w:jc w:val="center"/>
        </w:trPr>
        <w:tc>
          <w:tcPr>
            <w:tcW w:w="1691" w:type="pct"/>
            <w:shd w:val="clear" w:color="auto" w:fill="auto"/>
            <w:vAlign w:val="center"/>
          </w:tcPr>
          <w:p w14:paraId="30296718" w14:textId="77777777" w:rsidR="00D27B46" w:rsidRPr="00003F61" w:rsidRDefault="00D27B46" w:rsidP="00292C86">
            <w:pPr>
              <w:pStyle w:val="Tabletext0"/>
            </w:pPr>
            <w:r w:rsidRPr="00003F61">
              <w:t>Unlikely</w:t>
            </w:r>
          </w:p>
        </w:tc>
        <w:tc>
          <w:tcPr>
            <w:tcW w:w="3309" w:type="pct"/>
            <w:shd w:val="clear" w:color="auto" w:fill="auto"/>
            <w:vAlign w:val="center"/>
          </w:tcPr>
          <w:p w14:paraId="3F64DE88" w14:textId="77777777" w:rsidR="00D27B46" w:rsidRPr="00003F61" w:rsidRDefault="00D27B46" w:rsidP="00292C86">
            <w:pPr>
              <w:pStyle w:val="Tabletext0"/>
            </w:pPr>
            <w:r w:rsidRPr="00003F61">
              <w:t>The event could occur at some time</w:t>
            </w:r>
          </w:p>
        </w:tc>
      </w:tr>
      <w:tr w:rsidR="00D27B46" w:rsidRPr="00003F61" w14:paraId="2E5CA93E" w14:textId="77777777" w:rsidTr="00D214E7">
        <w:trPr>
          <w:jc w:val="center"/>
        </w:trPr>
        <w:tc>
          <w:tcPr>
            <w:tcW w:w="1691" w:type="pct"/>
            <w:shd w:val="clear" w:color="auto" w:fill="auto"/>
            <w:vAlign w:val="center"/>
          </w:tcPr>
          <w:p w14:paraId="45DD75BB" w14:textId="77777777" w:rsidR="00D27B46" w:rsidRPr="00003F61" w:rsidRDefault="00D27B46" w:rsidP="00292C86">
            <w:pPr>
              <w:pStyle w:val="Tabletext0"/>
            </w:pPr>
            <w:r w:rsidRPr="00003F61">
              <w:t>Rare</w:t>
            </w:r>
          </w:p>
        </w:tc>
        <w:tc>
          <w:tcPr>
            <w:tcW w:w="3309" w:type="pct"/>
            <w:shd w:val="clear" w:color="auto" w:fill="auto"/>
            <w:vAlign w:val="center"/>
          </w:tcPr>
          <w:p w14:paraId="5BFA5A07" w14:textId="77777777" w:rsidR="00D27B46" w:rsidRPr="00003F61" w:rsidRDefault="00D27B46" w:rsidP="00292C86">
            <w:pPr>
              <w:pStyle w:val="Tabletext0"/>
            </w:pPr>
            <w:r w:rsidRPr="00003F61">
              <w:t>The event may occur only in exceptional circumstances</w:t>
            </w:r>
          </w:p>
        </w:tc>
      </w:tr>
    </w:tbl>
    <w:p w14:paraId="62A83D40" w14:textId="65562F99" w:rsidR="00116A7E" w:rsidRPr="004C1BC4" w:rsidRDefault="00116A7E" w:rsidP="00116A7E">
      <w:pPr>
        <w:spacing w:line="259" w:lineRule="auto"/>
        <w:rPr>
          <w:rFonts w:cs="Arial"/>
        </w:rPr>
      </w:pPr>
      <w:r w:rsidRPr="004C1BC4">
        <w:rPr>
          <w:rFonts w:cs="Arial"/>
        </w:rPr>
        <w:lastRenderedPageBreak/>
        <w:t>A group of three scientific and technical experts determined the risk likelihood and consequence levels for each of the environmental values being investigated. Enough monitoring data and information was available on the discharge and marine receiving waters to determine these levels, without the need for further monitoring or modelling as part of the analysis. The information and data used included:</w:t>
      </w:r>
    </w:p>
    <w:p w14:paraId="6B42AF37" w14:textId="77777777" w:rsidR="00116A7E" w:rsidRPr="004C1BC4" w:rsidRDefault="00116A7E" w:rsidP="00292C86">
      <w:pPr>
        <w:pStyle w:val="ListBullet"/>
      </w:pPr>
      <w:r w:rsidRPr="004C1BC4">
        <w:t>mixing and transport: tidal data, temperature, salinity, stratification, currents, dispersion and dilution characteristics</w:t>
      </w:r>
    </w:p>
    <w:p w14:paraId="7848D18E" w14:textId="1260DDE8" w:rsidR="00116A7E" w:rsidRPr="004C1BC4" w:rsidRDefault="00116A7E" w:rsidP="00292C86">
      <w:pPr>
        <w:pStyle w:val="ListBullet"/>
      </w:pPr>
      <w:r w:rsidRPr="073E3263">
        <w:t>ecotoxicity testing: acute toxicity testing (</w:t>
      </w:r>
      <w:r w:rsidRPr="073E3263">
        <w:rPr>
          <w:i/>
          <w:iCs/>
        </w:rPr>
        <w:t>Allorchestes compressa</w:t>
      </w:r>
      <w:r w:rsidRPr="073E3263">
        <w:t xml:space="preserve"> LC50</w:t>
      </w:r>
      <w:r w:rsidR="79E2D87A" w:rsidRPr="073E3263">
        <w:t xml:space="preserve">, </w:t>
      </w:r>
      <w:r w:rsidRPr="073E3263">
        <w:t>96</w:t>
      </w:r>
      <w:r w:rsidR="00155983">
        <w:t xml:space="preserve"> </w:t>
      </w:r>
      <w:r w:rsidRPr="073E3263">
        <w:t>hr), chronic toxicity testing (</w:t>
      </w:r>
      <w:r w:rsidRPr="073E3263">
        <w:rPr>
          <w:i/>
          <w:iCs/>
        </w:rPr>
        <w:t>Hormosira</w:t>
      </w:r>
      <w:r w:rsidRPr="073E3263">
        <w:t xml:space="preserve"> germination test, Doughboy scallop larval development, </w:t>
      </w:r>
      <w:r w:rsidRPr="073E3263">
        <w:rPr>
          <w:i/>
          <w:iCs/>
        </w:rPr>
        <w:t>Nizschia</w:t>
      </w:r>
      <w:r w:rsidRPr="073E3263">
        <w:t xml:space="preserve"> cell division)</w:t>
      </w:r>
    </w:p>
    <w:p w14:paraId="1C9C291A" w14:textId="77777777" w:rsidR="00116A7E" w:rsidRPr="004C1BC4" w:rsidRDefault="00116A7E" w:rsidP="00292C86">
      <w:pPr>
        <w:pStyle w:val="ListBullet"/>
      </w:pPr>
      <w:r w:rsidRPr="004C1BC4">
        <w:t>marine ecology: species present/abundance and multivariate analysis of infauna sampling data from around the discharge and reef sampling data</w:t>
      </w:r>
    </w:p>
    <w:p w14:paraId="2DE18F4E" w14:textId="77777777" w:rsidR="00116A7E" w:rsidRPr="004C1BC4" w:rsidRDefault="00116A7E" w:rsidP="00292C86">
      <w:pPr>
        <w:pStyle w:val="ListBullet"/>
      </w:pPr>
      <w:r w:rsidRPr="004C1BC4">
        <w:t>effluent water quality and toxicants: for example, nutrients, ammonia, salinity, pH, biological oxygen demand, suspended solids, metals.</w:t>
      </w:r>
    </w:p>
    <w:p w14:paraId="41437A67" w14:textId="77777777" w:rsidR="00116A7E" w:rsidRPr="004C1BC4" w:rsidRDefault="00116A7E" w:rsidP="00116A7E">
      <w:pPr>
        <w:spacing w:line="259" w:lineRule="auto"/>
        <w:rPr>
          <w:rFonts w:cs="Arial"/>
        </w:rPr>
      </w:pPr>
    </w:p>
    <w:p w14:paraId="083FA8A7" w14:textId="0D35C67E" w:rsidR="001F5D88" w:rsidRDefault="001F5D88">
      <w:pPr>
        <w:spacing w:after="0"/>
        <w:rPr>
          <w:rFonts w:cs="Arial"/>
        </w:rPr>
      </w:pPr>
      <w:r>
        <w:rPr>
          <w:rFonts w:cs="Arial"/>
        </w:rPr>
        <w:br w:type="page"/>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6292"/>
        <w:gridCol w:w="1482"/>
        <w:gridCol w:w="754"/>
      </w:tblGrid>
      <w:tr w:rsidR="001F5D88" w:rsidRPr="00553A5F" w14:paraId="17B01A16" w14:textId="77777777" w:rsidTr="00BA51B7">
        <w:tc>
          <w:tcPr>
            <w:tcW w:w="5000" w:type="pct"/>
            <w:gridSpan w:val="4"/>
            <w:tcBorders>
              <w:top w:val="nil"/>
              <w:left w:val="nil"/>
              <w:right w:val="nil"/>
            </w:tcBorders>
            <w:shd w:val="clear" w:color="auto" w:fill="auto"/>
          </w:tcPr>
          <w:p w14:paraId="73EE4A95" w14:textId="06DED491" w:rsidR="001F5D88" w:rsidRPr="00553A5F" w:rsidRDefault="001F5D88" w:rsidP="00A4665C">
            <w:pPr>
              <w:pStyle w:val="Caption"/>
              <w:rPr>
                <w:lang w:val="fr-FR"/>
              </w:rPr>
            </w:pPr>
            <w:bookmarkStart w:id="114" w:name="_Ref88222603"/>
            <w:r w:rsidRPr="00553A5F">
              <w:rPr>
                <w:lang w:val="fr-FR"/>
              </w:rPr>
              <w:lastRenderedPageBreak/>
              <w:t>Table B</w:t>
            </w:r>
            <w:r w:rsidR="00C43ABE">
              <w:rPr>
                <w:lang w:val="fr-FR"/>
              </w:rPr>
              <w:fldChar w:fldCharType="begin"/>
            </w:r>
            <w:r w:rsidR="00C43ABE">
              <w:rPr>
                <w:lang w:val="fr-FR"/>
              </w:rPr>
              <w:instrText xml:space="preserve"> SEQ Table_B \* ARABIC </w:instrText>
            </w:r>
            <w:r w:rsidR="00C43ABE">
              <w:rPr>
                <w:lang w:val="fr-FR"/>
              </w:rPr>
              <w:fldChar w:fldCharType="separate"/>
            </w:r>
            <w:r w:rsidR="00FD64B0">
              <w:rPr>
                <w:noProof/>
                <w:lang w:val="fr-FR"/>
              </w:rPr>
              <w:t>4</w:t>
            </w:r>
            <w:r w:rsidR="00C43ABE">
              <w:rPr>
                <w:lang w:val="fr-FR"/>
              </w:rPr>
              <w:fldChar w:fldCharType="end"/>
            </w:r>
            <w:bookmarkEnd w:id="114"/>
            <w:r w:rsidRPr="00553A5F">
              <w:rPr>
                <w:lang w:val="fr-FR"/>
              </w:rPr>
              <w:t xml:space="preserve"> </w:t>
            </w:r>
            <w:r w:rsidR="00BC00ED" w:rsidRPr="00553A5F">
              <w:rPr>
                <w:lang w:val="fr-FR"/>
              </w:rPr>
              <w:t>–</w:t>
            </w:r>
            <w:r w:rsidRPr="00553A5F">
              <w:rPr>
                <w:lang w:val="fr-FR"/>
              </w:rPr>
              <w:t xml:space="preserve"> </w:t>
            </w:r>
            <w:r w:rsidR="004F1D8F" w:rsidRPr="00553A5F">
              <w:rPr>
                <w:lang w:val="fr-FR"/>
              </w:rPr>
              <w:t>Environmental</w:t>
            </w:r>
            <w:r w:rsidRPr="00553A5F">
              <w:rPr>
                <w:lang w:val="fr-FR"/>
              </w:rPr>
              <w:t xml:space="preserve"> consequence descriptions</w:t>
            </w:r>
          </w:p>
        </w:tc>
      </w:tr>
      <w:tr w:rsidR="001F5D88" w:rsidRPr="00DF049C" w14:paraId="24D3D4B5" w14:textId="77777777" w:rsidTr="00BA51B7">
        <w:tc>
          <w:tcPr>
            <w:tcW w:w="840" w:type="pct"/>
            <w:shd w:val="clear" w:color="auto" w:fill="003F72"/>
          </w:tcPr>
          <w:p w14:paraId="59E57D75" w14:textId="77777777" w:rsidR="001F5D88" w:rsidRPr="00DF049C" w:rsidRDefault="001F5D88" w:rsidP="00292C86">
            <w:pPr>
              <w:pStyle w:val="Tabletext0"/>
              <w:spacing w:before="0" w:after="0"/>
            </w:pPr>
            <w:r w:rsidRPr="00DF049C">
              <w:t>Environmental value</w:t>
            </w:r>
          </w:p>
        </w:tc>
        <w:tc>
          <w:tcPr>
            <w:tcW w:w="3069" w:type="pct"/>
            <w:shd w:val="clear" w:color="auto" w:fill="003F72"/>
          </w:tcPr>
          <w:p w14:paraId="540AC593" w14:textId="77777777" w:rsidR="001F5D88" w:rsidRPr="00DF049C" w:rsidRDefault="001F5D88" w:rsidP="00292C86">
            <w:pPr>
              <w:pStyle w:val="Tabletext0"/>
              <w:spacing w:before="0" w:after="0"/>
            </w:pPr>
            <w:r w:rsidRPr="00DF049C">
              <w:t>Consequence</w:t>
            </w:r>
          </w:p>
        </w:tc>
        <w:tc>
          <w:tcPr>
            <w:tcW w:w="723" w:type="pct"/>
            <w:shd w:val="clear" w:color="auto" w:fill="003F72"/>
          </w:tcPr>
          <w:p w14:paraId="3C4A6A99" w14:textId="77777777" w:rsidR="001F5D88" w:rsidRPr="00DF049C" w:rsidRDefault="001F5D88" w:rsidP="00292C86">
            <w:pPr>
              <w:pStyle w:val="Tabletext0"/>
              <w:spacing w:before="0" w:after="0"/>
            </w:pPr>
            <w:r w:rsidRPr="00DF049C">
              <w:t>Descriptor</w:t>
            </w:r>
          </w:p>
        </w:tc>
        <w:tc>
          <w:tcPr>
            <w:tcW w:w="368" w:type="pct"/>
            <w:shd w:val="clear" w:color="auto" w:fill="003F72"/>
          </w:tcPr>
          <w:p w14:paraId="0DE85364" w14:textId="77777777" w:rsidR="001F5D88" w:rsidRPr="00DF049C" w:rsidRDefault="001F5D88" w:rsidP="00292C86">
            <w:pPr>
              <w:pStyle w:val="Tabletext0"/>
              <w:spacing w:before="0" w:after="0"/>
            </w:pPr>
            <w:r w:rsidRPr="00DF049C">
              <w:t>Level</w:t>
            </w:r>
          </w:p>
        </w:tc>
      </w:tr>
      <w:tr w:rsidR="001F5D88" w:rsidRPr="00DF049C" w14:paraId="125DCC8D" w14:textId="77777777" w:rsidTr="00BA51B7">
        <w:tc>
          <w:tcPr>
            <w:tcW w:w="840" w:type="pct"/>
            <w:vMerge w:val="restart"/>
            <w:shd w:val="clear" w:color="auto" w:fill="auto"/>
            <w:vAlign w:val="center"/>
          </w:tcPr>
          <w:p w14:paraId="6D93F220" w14:textId="77777777" w:rsidR="001F5D88" w:rsidRPr="00DF049C" w:rsidRDefault="001F5D88" w:rsidP="00292C86">
            <w:pPr>
              <w:pStyle w:val="Tabletext0"/>
              <w:spacing w:before="0" w:after="0"/>
            </w:pPr>
            <w:r w:rsidRPr="00DF049C">
              <w:t>Water dependent ecosystems and species</w:t>
            </w:r>
          </w:p>
        </w:tc>
        <w:tc>
          <w:tcPr>
            <w:tcW w:w="3069" w:type="pct"/>
            <w:shd w:val="clear" w:color="auto" w:fill="auto"/>
            <w:vAlign w:val="center"/>
          </w:tcPr>
          <w:p w14:paraId="5FBCB5AD" w14:textId="4D2368AF" w:rsidR="001F5D88" w:rsidRPr="00DF049C" w:rsidRDefault="001F5D88" w:rsidP="00292C86">
            <w:pPr>
              <w:pStyle w:val="Tabletext0"/>
              <w:spacing w:before="0" w:after="0"/>
            </w:pPr>
            <w:r w:rsidRPr="00DF049C">
              <w:t>Highly modified ecological assemblage dominated by a few low salinity and stress</w:t>
            </w:r>
            <w:r w:rsidR="008F156B">
              <w:t>-</w:t>
            </w:r>
            <w:r w:rsidRPr="00DF049C">
              <w:t xml:space="preserve">tolerant species. </w:t>
            </w:r>
          </w:p>
          <w:p w14:paraId="65929805" w14:textId="77777777" w:rsidR="001F5D88" w:rsidRPr="00DF049C" w:rsidRDefault="001F5D88" w:rsidP="00292C86">
            <w:pPr>
              <w:pStyle w:val="Tabletext0"/>
              <w:spacing w:before="0" w:after="0"/>
            </w:pPr>
            <w:r w:rsidRPr="00DF049C">
              <w:t>Deformities or reduced metabolic function in species over a wide area.</w:t>
            </w:r>
          </w:p>
          <w:p w14:paraId="43DEE06B" w14:textId="77777777" w:rsidR="001F5D88" w:rsidRPr="00DF049C" w:rsidRDefault="001F5D88" w:rsidP="00292C86">
            <w:pPr>
              <w:pStyle w:val="Tabletext0"/>
              <w:spacing w:before="0" w:after="0"/>
            </w:pPr>
            <w:r w:rsidRPr="00DF049C">
              <w:t>High levels of cumulative contaminants in biological tissues over a wide spatial area.</w:t>
            </w:r>
          </w:p>
          <w:p w14:paraId="5854323A" w14:textId="754980CD" w:rsidR="001F5D88" w:rsidRPr="00DF049C" w:rsidRDefault="001F5D88" w:rsidP="00292C86">
            <w:pPr>
              <w:pStyle w:val="Tabletext0"/>
              <w:spacing w:before="0" w:after="0"/>
            </w:pPr>
            <w:r w:rsidRPr="00DF049C">
              <w:t xml:space="preserve">Acute toxicity </w:t>
            </w:r>
            <w:r w:rsidR="00903760" w:rsidRPr="00903760">
              <w:t xml:space="preserve">no observed effect concentration </w:t>
            </w:r>
            <w:r w:rsidR="00903760">
              <w:t>(</w:t>
            </w:r>
            <w:r w:rsidRPr="00DF049C">
              <w:t>NOEC</w:t>
            </w:r>
            <w:r w:rsidR="00903760">
              <w:t>)</w:t>
            </w:r>
            <w:r w:rsidRPr="00DF049C">
              <w:t xml:space="preserve"> &lt;10%, unknown cause.</w:t>
            </w:r>
          </w:p>
        </w:tc>
        <w:tc>
          <w:tcPr>
            <w:tcW w:w="723" w:type="pct"/>
            <w:shd w:val="clear" w:color="auto" w:fill="auto"/>
            <w:vAlign w:val="center"/>
          </w:tcPr>
          <w:p w14:paraId="3117AE3E" w14:textId="77777777" w:rsidR="001F5D88" w:rsidRPr="00DF049C" w:rsidRDefault="001F5D88" w:rsidP="00292C86">
            <w:pPr>
              <w:pStyle w:val="Tabletext0"/>
              <w:spacing w:before="0" w:after="0"/>
            </w:pPr>
            <w:r w:rsidRPr="00DF049C">
              <w:t>Severe</w:t>
            </w:r>
          </w:p>
        </w:tc>
        <w:tc>
          <w:tcPr>
            <w:tcW w:w="368" w:type="pct"/>
            <w:shd w:val="clear" w:color="auto" w:fill="auto"/>
            <w:vAlign w:val="center"/>
          </w:tcPr>
          <w:p w14:paraId="74844BD3" w14:textId="77777777" w:rsidR="001F5D88" w:rsidRPr="00DF049C" w:rsidRDefault="001F5D88" w:rsidP="00292C86">
            <w:pPr>
              <w:pStyle w:val="Tabletext0"/>
              <w:spacing w:before="0" w:after="0"/>
            </w:pPr>
            <w:r w:rsidRPr="00DF049C">
              <w:t>5</w:t>
            </w:r>
          </w:p>
        </w:tc>
      </w:tr>
      <w:tr w:rsidR="001F5D88" w:rsidRPr="00DF049C" w14:paraId="5893B7EE" w14:textId="77777777" w:rsidTr="00BA51B7">
        <w:tc>
          <w:tcPr>
            <w:tcW w:w="840" w:type="pct"/>
            <w:vMerge/>
            <w:shd w:val="clear" w:color="auto" w:fill="auto"/>
            <w:vAlign w:val="center"/>
          </w:tcPr>
          <w:p w14:paraId="337CEA1B" w14:textId="77777777" w:rsidR="001F5D88" w:rsidRPr="00DF049C" w:rsidRDefault="001F5D88" w:rsidP="00292C86">
            <w:pPr>
              <w:pStyle w:val="Tabletext0"/>
              <w:spacing w:before="0" w:after="0"/>
            </w:pPr>
          </w:p>
        </w:tc>
        <w:tc>
          <w:tcPr>
            <w:tcW w:w="3069" w:type="pct"/>
            <w:shd w:val="clear" w:color="auto" w:fill="auto"/>
            <w:vAlign w:val="center"/>
          </w:tcPr>
          <w:p w14:paraId="5A2DE014" w14:textId="7C5E262C" w:rsidR="001F5D88" w:rsidRPr="00DF049C" w:rsidRDefault="001F5D88" w:rsidP="00292C86">
            <w:pPr>
              <w:pStyle w:val="Tabletext0"/>
              <w:spacing w:before="0" w:after="0"/>
            </w:pPr>
            <w:r w:rsidRPr="00DF049C">
              <w:t>Highly modified ecological assemblage dominated by filter and deposit feeders, grazers and blue</w:t>
            </w:r>
            <w:r w:rsidR="002F58E8">
              <w:t>-</w:t>
            </w:r>
            <w:r w:rsidRPr="00DF049C">
              <w:t xml:space="preserve">green and green algae. </w:t>
            </w:r>
          </w:p>
          <w:p w14:paraId="2CFA4A0A" w14:textId="77777777" w:rsidR="001F5D88" w:rsidRPr="00DF049C" w:rsidRDefault="001F5D88" w:rsidP="00292C86">
            <w:pPr>
              <w:pStyle w:val="Tabletext0"/>
              <w:spacing w:before="0" w:after="0"/>
            </w:pPr>
            <w:r w:rsidRPr="00DF049C">
              <w:t>Deformities or reduced metabolic function in species in identifiable area.</w:t>
            </w:r>
          </w:p>
          <w:p w14:paraId="18F73541" w14:textId="77777777" w:rsidR="001F5D88" w:rsidRPr="00DF049C" w:rsidRDefault="001F5D88" w:rsidP="00292C86">
            <w:pPr>
              <w:pStyle w:val="Tabletext0"/>
              <w:spacing w:before="0" w:after="0"/>
            </w:pPr>
            <w:r w:rsidRPr="00DF049C">
              <w:t xml:space="preserve">Elevated contaminants in some species. </w:t>
            </w:r>
          </w:p>
          <w:p w14:paraId="5EC2CD5D" w14:textId="4A410265" w:rsidR="001F5D88" w:rsidRPr="00DF049C" w:rsidRDefault="001F5D88" w:rsidP="00292C86">
            <w:pPr>
              <w:pStyle w:val="Tabletext0"/>
              <w:spacing w:before="0" w:after="0"/>
            </w:pPr>
            <w:r w:rsidRPr="00DF049C">
              <w:t>Acute toxicity NOEC &lt;100%, unknown cause, chronic toxicity NOEC &lt;5</w:t>
            </w:r>
            <w:r w:rsidR="006B4680">
              <w:t>%</w:t>
            </w:r>
            <w:r w:rsidRPr="00DF049C">
              <w:t xml:space="preserve"> cause due to non-persistent substances, unlikely to satisfy ERS objectives.</w:t>
            </w:r>
          </w:p>
        </w:tc>
        <w:tc>
          <w:tcPr>
            <w:tcW w:w="723" w:type="pct"/>
            <w:shd w:val="clear" w:color="auto" w:fill="auto"/>
            <w:vAlign w:val="center"/>
          </w:tcPr>
          <w:p w14:paraId="724D3EF3" w14:textId="77777777" w:rsidR="001F5D88" w:rsidRPr="00DF049C" w:rsidRDefault="001F5D88" w:rsidP="00292C86">
            <w:pPr>
              <w:pStyle w:val="Tabletext0"/>
              <w:spacing w:before="0" w:after="0"/>
            </w:pPr>
            <w:r w:rsidRPr="00DF049C">
              <w:t>Major</w:t>
            </w:r>
          </w:p>
        </w:tc>
        <w:tc>
          <w:tcPr>
            <w:tcW w:w="368" w:type="pct"/>
            <w:shd w:val="clear" w:color="auto" w:fill="auto"/>
            <w:vAlign w:val="center"/>
          </w:tcPr>
          <w:p w14:paraId="1874EC23" w14:textId="77777777" w:rsidR="001F5D88" w:rsidRPr="00DF049C" w:rsidRDefault="001F5D88" w:rsidP="00292C86">
            <w:pPr>
              <w:pStyle w:val="Tabletext0"/>
              <w:spacing w:before="0" w:after="0"/>
            </w:pPr>
            <w:r w:rsidRPr="00DF049C">
              <w:t>4</w:t>
            </w:r>
          </w:p>
        </w:tc>
      </w:tr>
      <w:tr w:rsidR="001F5D88" w:rsidRPr="00DF049C" w14:paraId="5BC84EFB" w14:textId="77777777" w:rsidTr="00BA51B7">
        <w:tc>
          <w:tcPr>
            <w:tcW w:w="840" w:type="pct"/>
            <w:vMerge/>
            <w:shd w:val="clear" w:color="auto" w:fill="auto"/>
            <w:vAlign w:val="center"/>
          </w:tcPr>
          <w:p w14:paraId="36040EA9" w14:textId="77777777" w:rsidR="001F5D88" w:rsidRPr="00DF049C" w:rsidRDefault="001F5D88" w:rsidP="00292C86">
            <w:pPr>
              <w:pStyle w:val="Tabletext0"/>
              <w:spacing w:before="0" w:after="0"/>
            </w:pPr>
          </w:p>
        </w:tc>
        <w:tc>
          <w:tcPr>
            <w:tcW w:w="3069" w:type="pct"/>
            <w:shd w:val="clear" w:color="auto" w:fill="auto"/>
            <w:vAlign w:val="center"/>
          </w:tcPr>
          <w:p w14:paraId="54B34422" w14:textId="77777777" w:rsidR="001F5D88" w:rsidRPr="00DF049C" w:rsidRDefault="001F5D88" w:rsidP="00292C86">
            <w:pPr>
              <w:pStyle w:val="Tabletext0"/>
              <w:spacing w:before="0" w:after="0"/>
            </w:pPr>
            <w:r w:rsidRPr="00DF049C">
              <w:t xml:space="preserve">Modified ecological assemblage dominated by certain rapid growing algae, grazers and lacking sensitive species. </w:t>
            </w:r>
          </w:p>
          <w:p w14:paraId="7C49A4EA" w14:textId="4E101EBD" w:rsidR="001F5D88" w:rsidRPr="00DF049C" w:rsidRDefault="001F5D88" w:rsidP="00292C86">
            <w:pPr>
              <w:pStyle w:val="Tabletext0"/>
              <w:spacing w:before="0" w:after="0"/>
            </w:pPr>
            <w:r w:rsidRPr="00DF049C">
              <w:t>Acute toxicity NOEC &gt;100%, chronic toxicity NOEC &gt;5%</w:t>
            </w:r>
            <w:r w:rsidR="00A84D2D">
              <w:t xml:space="preserve"> </w:t>
            </w:r>
            <w:r w:rsidRPr="00DF049C">
              <w:t>cause due to non-persistent substances, may meet ERS objectives with mixing zone and outfall diffuser.</w:t>
            </w:r>
          </w:p>
        </w:tc>
        <w:tc>
          <w:tcPr>
            <w:tcW w:w="723" w:type="pct"/>
            <w:shd w:val="clear" w:color="auto" w:fill="auto"/>
            <w:vAlign w:val="center"/>
          </w:tcPr>
          <w:p w14:paraId="304899AC" w14:textId="77777777" w:rsidR="001F5D88" w:rsidRPr="00DF049C" w:rsidRDefault="001F5D88" w:rsidP="00292C86">
            <w:pPr>
              <w:pStyle w:val="Tabletext0"/>
              <w:spacing w:before="0" w:after="0"/>
            </w:pPr>
            <w:r w:rsidRPr="00DF049C">
              <w:t>Moderate</w:t>
            </w:r>
          </w:p>
        </w:tc>
        <w:tc>
          <w:tcPr>
            <w:tcW w:w="368" w:type="pct"/>
            <w:shd w:val="clear" w:color="auto" w:fill="auto"/>
            <w:vAlign w:val="center"/>
          </w:tcPr>
          <w:p w14:paraId="6C3C2E47" w14:textId="77777777" w:rsidR="001F5D88" w:rsidRPr="00DF049C" w:rsidRDefault="001F5D88" w:rsidP="00292C86">
            <w:pPr>
              <w:pStyle w:val="Tabletext0"/>
              <w:spacing w:before="0" w:after="0"/>
            </w:pPr>
            <w:r w:rsidRPr="00DF049C">
              <w:t>3</w:t>
            </w:r>
          </w:p>
        </w:tc>
      </w:tr>
      <w:tr w:rsidR="001F5D88" w:rsidRPr="00DF049C" w14:paraId="3413AB72" w14:textId="77777777" w:rsidTr="00BA51B7">
        <w:tc>
          <w:tcPr>
            <w:tcW w:w="840" w:type="pct"/>
            <w:vMerge/>
            <w:shd w:val="clear" w:color="auto" w:fill="auto"/>
            <w:vAlign w:val="center"/>
          </w:tcPr>
          <w:p w14:paraId="2E8AD052" w14:textId="77777777" w:rsidR="001F5D88" w:rsidRPr="00DF049C" w:rsidRDefault="001F5D88" w:rsidP="00292C86">
            <w:pPr>
              <w:pStyle w:val="Tabletext0"/>
              <w:spacing w:before="0" w:after="0"/>
            </w:pPr>
          </w:p>
        </w:tc>
        <w:tc>
          <w:tcPr>
            <w:tcW w:w="3069" w:type="pct"/>
            <w:shd w:val="clear" w:color="auto" w:fill="auto"/>
            <w:vAlign w:val="center"/>
          </w:tcPr>
          <w:p w14:paraId="1E66AB2A" w14:textId="77777777" w:rsidR="001F5D88" w:rsidRPr="00DF049C" w:rsidRDefault="001F5D88" w:rsidP="00292C86">
            <w:pPr>
              <w:pStyle w:val="Tabletext0"/>
              <w:spacing w:before="0" w:after="0"/>
            </w:pPr>
            <w:r w:rsidRPr="00DF049C">
              <w:t>Modified ecological assemblage with detectable difference in species proportions and lacking some sensitive species,</w:t>
            </w:r>
          </w:p>
          <w:p w14:paraId="63C127C6" w14:textId="0C198B2F" w:rsidR="001F5D88" w:rsidRPr="00DF049C" w:rsidRDefault="001F5D88" w:rsidP="00292C86">
            <w:pPr>
              <w:pStyle w:val="Tabletext0"/>
              <w:spacing w:before="0" w:after="0"/>
            </w:pPr>
            <w:r w:rsidRPr="00DF049C">
              <w:t>No acute toxicity, chronic toxicity NOEC &gt;25%cause due to non-persistent substances, likely to meet ERS objectives with mixing zone and outfall diffuser.</w:t>
            </w:r>
          </w:p>
        </w:tc>
        <w:tc>
          <w:tcPr>
            <w:tcW w:w="723" w:type="pct"/>
            <w:shd w:val="clear" w:color="auto" w:fill="auto"/>
            <w:vAlign w:val="center"/>
          </w:tcPr>
          <w:p w14:paraId="041FB5A5" w14:textId="77777777" w:rsidR="001F5D88" w:rsidRPr="00DF049C" w:rsidRDefault="001F5D88" w:rsidP="00292C86">
            <w:pPr>
              <w:pStyle w:val="Tabletext0"/>
              <w:spacing w:before="0" w:after="0"/>
            </w:pPr>
            <w:r w:rsidRPr="00DF049C">
              <w:t>Minor</w:t>
            </w:r>
          </w:p>
        </w:tc>
        <w:tc>
          <w:tcPr>
            <w:tcW w:w="368" w:type="pct"/>
            <w:shd w:val="clear" w:color="auto" w:fill="auto"/>
            <w:vAlign w:val="center"/>
          </w:tcPr>
          <w:p w14:paraId="4F881ED5" w14:textId="77777777" w:rsidR="001F5D88" w:rsidRPr="00DF049C" w:rsidRDefault="001F5D88" w:rsidP="00292C86">
            <w:pPr>
              <w:pStyle w:val="Tabletext0"/>
              <w:spacing w:before="0" w:after="0"/>
            </w:pPr>
            <w:r w:rsidRPr="00DF049C">
              <w:t>2</w:t>
            </w:r>
          </w:p>
        </w:tc>
      </w:tr>
      <w:tr w:rsidR="001F5D88" w:rsidRPr="00DF049C" w14:paraId="42328CA4" w14:textId="77777777" w:rsidTr="00BA51B7">
        <w:tc>
          <w:tcPr>
            <w:tcW w:w="840" w:type="pct"/>
            <w:vMerge/>
            <w:shd w:val="clear" w:color="auto" w:fill="auto"/>
            <w:vAlign w:val="center"/>
          </w:tcPr>
          <w:p w14:paraId="71A4F4A0" w14:textId="77777777" w:rsidR="001F5D88" w:rsidRPr="00DF049C" w:rsidRDefault="001F5D88" w:rsidP="00292C86">
            <w:pPr>
              <w:pStyle w:val="Tabletext0"/>
              <w:spacing w:before="0" w:after="0"/>
            </w:pPr>
          </w:p>
        </w:tc>
        <w:tc>
          <w:tcPr>
            <w:tcW w:w="3069" w:type="pct"/>
            <w:shd w:val="clear" w:color="auto" w:fill="auto"/>
            <w:vAlign w:val="center"/>
          </w:tcPr>
          <w:p w14:paraId="60499183" w14:textId="77777777" w:rsidR="001F5D88" w:rsidRPr="00DF049C" w:rsidRDefault="001F5D88" w:rsidP="00292C86">
            <w:pPr>
              <w:pStyle w:val="Tabletext0"/>
              <w:spacing w:before="0" w:after="0"/>
            </w:pPr>
            <w:r w:rsidRPr="00DF049C">
              <w:t xml:space="preserve">Minor change in species composition with difference in species proportions and sensitive species present. </w:t>
            </w:r>
          </w:p>
          <w:p w14:paraId="0160444E" w14:textId="35322383" w:rsidR="001F5D88" w:rsidRPr="00DF049C" w:rsidRDefault="001F5D88" w:rsidP="00292C86">
            <w:pPr>
              <w:pStyle w:val="Tabletext0"/>
              <w:spacing w:before="0" w:after="0"/>
            </w:pPr>
            <w:r w:rsidRPr="00DF049C">
              <w:t>No acute toxicity, chronic toxicity NOEC &gt;50% cause due to non-persistent substances, likely to meet ERS objectives with mixing zone.</w:t>
            </w:r>
          </w:p>
        </w:tc>
        <w:tc>
          <w:tcPr>
            <w:tcW w:w="723" w:type="pct"/>
            <w:shd w:val="clear" w:color="auto" w:fill="auto"/>
            <w:vAlign w:val="center"/>
          </w:tcPr>
          <w:p w14:paraId="65292586" w14:textId="77777777" w:rsidR="001F5D88" w:rsidRPr="00DF049C" w:rsidRDefault="001F5D88" w:rsidP="00292C86">
            <w:pPr>
              <w:pStyle w:val="Tabletext0"/>
              <w:spacing w:before="0" w:after="0"/>
            </w:pPr>
            <w:r w:rsidRPr="00DF049C">
              <w:t>Insignificant</w:t>
            </w:r>
          </w:p>
        </w:tc>
        <w:tc>
          <w:tcPr>
            <w:tcW w:w="368" w:type="pct"/>
            <w:shd w:val="clear" w:color="auto" w:fill="auto"/>
            <w:vAlign w:val="center"/>
          </w:tcPr>
          <w:p w14:paraId="76916091" w14:textId="77777777" w:rsidR="001F5D88" w:rsidRPr="00DF049C" w:rsidRDefault="001F5D88" w:rsidP="00292C86">
            <w:pPr>
              <w:pStyle w:val="Tabletext0"/>
              <w:spacing w:before="0" w:after="0"/>
            </w:pPr>
            <w:r w:rsidRPr="00DF049C">
              <w:t>1</w:t>
            </w:r>
          </w:p>
        </w:tc>
      </w:tr>
      <w:tr w:rsidR="001F5D88" w:rsidRPr="00DF049C" w14:paraId="009BC274" w14:textId="77777777" w:rsidTr="00BA51B7">
        <w:tc>
          <w:tcPr>
            <w:tcW w:w="840" w:type="pct"/>
            <w:vMerge w:val="restart"/>
            <w:shd w:val="clear" w:color="auto" w:fill="auto"/>
            <w:vAlign w:val="center"/>
          </w:tcPr>
          <w:p w14:paraId="284A540F" w14:textId="77777777" w:rsidR="001F5D88" w:rsidRPr="00DF049C" w:rsidRDefault="001F5D88" w:rsidP="00292C86">
            <w:pPr>
              <w:pStyle w:val="Tabletext0"/>
              <w:spacing w:before="0" w:after="0"/>
            </w:pPr>
            <w:r w:rsidRPr="00DF049C">
              <w:t>Water-based recreation (aesthetic enjoyment)</w:t>
            </w:r>
          </w:p>
        </w:tc>
        <w:tc>
          <w:tcPr>
            <w:tcW w:w="3069" w:type="pct"/>
            <w:shd w:val="clear" w:color="auto" w:fill="auto"/>
            <w:vAlign w:val="center"/>
          </w:tcPr>
          <w:p w14:paraId="46878D2E" w14:textId="77777777" w:rsidR="001F5D88" w:rsidRPr="00DF049C" w:rsidRDefault="001F5D88" w:rsidP="00292C86">
            <w:pPr>
              <w:pStyle w:val="Tabletext0"/>
              <w:spacing w:before="0" w:after="0"/>
            </w:pPr>
            <w:r w:rsidRPr="00DF049C">
              <w:t>Offensive suspended solids, discolouration, odour, foams and slicks.</w:t>
            </w:r>
          </w:p>
        </w:tc>
        <w:tc>
          <w:tcPr>
            <w:tcW w:w="723" w:type="pct"/>
            <w:shd w:val="clear" w:color="auto" w:fill="auto"/>
            <w:vAlign w:val="center"/>
          </w:tcPr>
          <w:p w14:paraId="593FED5C" w14:textId="77777777" w:rsidR="001F5D88" w:rsidRPr="00DF049C" w:rsidRDefault="001F5D88" w:rsidP="00292C86">
            <w:pPr>
              <w:pStyle w:val="Tabletext0"/>
              <w:spacing w:before="0" w:after="0"/>
            </w:pPr>
            <w:r w:rsidRPr="00DF049C">
              <w:t>Severe</w:t>
            </w:r>
          </w:p>
        </w:tc>
        <w:tc>
          <w:tcPr>
            <w:tcW w:w="368" w:type="pct"/>
            <w:shd w:val="clear" w:color="auto" w:fill="auto"/>
            <w:vAlign w:val="center"/>
          </w:tcPr>
          <w:p w14:paraId="0481BF7D" w14:textId="77777777" w:rsidR="001F5D88" w:rsidRPr="00DF049C" w:rsidRDefault="001F5D88" w:rsidP="00292C86">
            <w:pPr>
              <w:pStyle w:val="Tabletext0"/>
              <w:spacing w:before="0" w:after="0"/>
            </w:pPr>
            <w:r w:rsidRPr="00DF049C">
              <w:t>5</w:t>
            </w:r>
          </w:p>
        </w:tc>
      </w:tr>
      <w:tr w:rsidR="001F5D88" w:rsidRPr="00DF049C" w14:paraId="29623E7C" w14:textId="77777777" w:rsidTr="00BA51B7">
        <w:tc>
          <w:tcPr>
            <w:tcW w:w="840" w:type="pct"/>
            <w:vMerge/>
            <w:shd w:val="clear" w:color="auto" w:fill="auto"/>
            <w:vAlign w:val="center"/>
          </w:tcPr>
          <w:p w14:paraId="727F9DC6" w14:textId="77777777" w:rsidR="001F5D88" w:rsidRPr="00DF049C" w:rsidRDefault="001F5D88" w:rsidP="00292C86">
            <w:pPr>
              <w:pStyle w:val="Tabletext0"/>
              <w:spacing w:before="0" w:after="0"/>
            </w:pPr>
          </w:p>
        </w:tc>
        <w:tc>
          <w:tcPr>
            <w:tcW w:w="3069" w:type="pct"/>
            <w:shd w:val="clear" w:color="auto" w:fill="auto"/>
            <w:vAlign w:val="center"/>
          </w:tcPr>
          <w:p w14:paraId="24D4B9A1" w14:textId="77777777" w:rsidR="001F5D88" w:rsidRPr="00DF049C" w:rsidRDefault="001F5D88" w:rsidP="00292C86">
            <w:pPr>
              <w:pStyle w:val="Tabletext0"/>
              <w:spacing w:before="0" w:after="0"/>
            </w:pPr>
            <w:r w:rsidRPr="00DF049C">
              <w:t>Obvious suspended solids, discolouration, odour, foams and slicks.</w:t>
            </w:r>
          </w:p>
        </w:tc>
        <w:tc>
          <w:tcPr>
            <w:tcW w:w="723" w:type="pct"/>
            <w:shd w:val="clear" w:color="auto" w:fill="auto"/>
            <w:vAlign w:val="center"/>
          </w:tcPr>
          <w:p w14:paraId="0FE22EE2" w14:textId="77777777" w:rsidR="001F5D88" w:rsidRPr="00DF049C" w:rsidRDefault="001F5D88" w:rsidP="00292C86">
            <w:pPr>
              <w:pStyle w:val="Tabletext0"/>
              <w:spacing w:before="0" w:after="0"/>
            </w:pPr>
            <w:r w:rsidRPr="00DF049C">
              <w:t>Major</w:t>
            </w:r>
          </w:p>
        </w:tc>
        <w:tc>
          <w:tcPr>
            <w:tcW w:w="368" w:type="pct"/>
            <w:shd w:val="clear" w:color="auto" w:fill="auto"/>
            <w:vAlign w:val="center"/>
          </w:tcPr>
          <w:p w14:paraId="732D3BF6" w14:textId="77777777" w:rsidR="001F5D88" w:rsidRPr="00DF049C" w:rsidRDefault="001F5D88" w:rsidP="00292C86">
            <w:pPr>
              <w:pStyle w:val="Tabletext0"/>
              <w:spacing w:before="0" w:after="0"/>
            </w:pPr>
            <w:r w:rsidRPr="00DF049C">
              <w:t>4</w:t>
            </w:r>
          </w:p>
        </w:tc>
      </w:tr>
      <w:tr w:rsidR="001F5D88" w:rsidRPr="00DF049C" w14:paraId="565BC520" w14:textId="77777777" w:rsidTr="00BA51B7">
        <w:tc>
          <w:tcPr>
            <w:tcW w:w="840" w:type="pct"/>
            <w:vMerge/>
            <w:shd w:val="clear" w:color="auto" w:fill="auto"/>
            <w:vAlign w:val="center"/>
          </w:tcPr>
          <w:p w14:paraId="3903E71A" w14:textId="77777777" w:rsidR="001F5D88" w:rsidRPr="00DF049C" w:rsidRDefault="001F5D88" w:rsidP="00292C86">
            <w:pPr>
              <w:pStyle w:val="Tabletext0"/>
              <w:spacing w:before="0" w:after="0"/>
            </w:pPr>
          </w:p>
        </w:tc>
        <w:tc>
          <w:tcPr>
            <w:tcW w:w="3069" w:type="pct"/>
            <w:shd w:val="clear" w:color="auto" w:fill="auto"/>
            <w:vAlign w:val="center"/>
          </w:tcPr>
          <w:p w14:paraId="65C591EE" w14:textId="77777777" w:rsidR="001F5D88" w:rsidRPr="00DF049C" w:rsidRDefault="001F5D88" w:rsidP="00292C86">
            <w:pPr>
              <w:pStyle w:val="Tabletext0"/>
              <w:spacing w:before="0" w:after="0"/>
            </w:pPr>
            <w:r w:rsidRPr="00DF049C">
              <w:t>Frequent detectable discolouration, odour and slicks.</w:t>
            </w:r>
          </w:p>
        </w:tc>
        <w:tc>
          <w:tcPr>
            <w:tcW w:w="723" w:type="pct"/>
            <w:shd w:val="clear" w:color="auto" w:fill="auto"/>
            <w:vAlign w:val="center"/>
          </w:tcPr>
          <w:p w14:paraId="677C4E38" w14:textId="77777777" w:rsidR="001F5D88" w:rsidRPr="00DF049C" w:rsidRDefault="001F5D88" w:rsidP="00292C86">
            <w:pPr>
              <w:pStyle w:val="Tabletext0"/>
              <w:spacing w:before="0" w:after="0"/>
            </w:pPr>
            <w:r w:rsidRPr="00DF049C">
              <w:t>Moderate</w:t>
            </w:r>
          </w:p>
        </w:tc>
        <w:tc>
          <w:tcPr>
            <w:tcW w:w="368" w:type="pct"/>
            <w:shd w:val="clear" w:color="auto" w:fill="auto"/>
            <w:vAlign w:val="center"/>
          </w:tcPr>
          <w:p w14:paraId="26D1B6BA" w14:textId="77777777" w:rsidR="001F5D88" w:rsidRPr="00DF049C" w:rsidRDefault="001F5D88" w:rsidP="00292C86">
            <w:pPr>
              <w:pStyle w:val="Tabletext0"/>
              <w:spacing w:before="0" w:after="0"/>
            </w:pPr>
            <w:r w:rsidRPr="00DF049C">
              <w:t>3</w:t>
            </w:r>
          </w:p>
        </w:tc>
      </w:tr>
      <w:tr w:rsidR="001F5D88" w:rsidRPr="00DF049C" w14:paraId="5379B80A" w14:textId="77777777" w:rsidTr="00BA51B7">
        <w:tc>
          <w:tcPr>
            <w:tcW w:w="840" w:type="pct"/>
            <w:vMerge/>
            <w:shd w:val="clear" w:color="auto" w:fill="auto"/>
            <w:vAlign w:val="center"/>
          </w:tcPr>
          <w:p w14:paraId="19A64860" w14:textId="77777777" w:rsidR="001F5D88" w:rsidRPr="00DF049C" w:rsidRDefault="001F5D88" w:rsidP="00292C86">
            <w:pPr>
              <w:pStyle w:val="Tabletext0"/>
              <w:spacing w:before="0" w:after="0"/>
            </w:pPr>
          </w:p>
        </w:tc>
        <w:tc>
          <w:tcPr>
            <w:tcW w:w="3069" w:type="pct"/>
            <w:shd w:val="clear" w:color="auto" w:fill="auto"/>
            <w:vAlign w:val="center"/>
          </w:tcPr>
          <w:p w14:paraId="1B3345FF" w14:textId="77777777" w:rsidR="001F5D88" w:rsidRPr="00DF049C" w:rsidRDefault="001F5D88" w:rsidP="00292C86">
            <w:pPr>
              <w:pStyle w:val="Tabletext0"/>
              <w:spacing w:before="0" w:after="0"/>
            </w:pPr>
            <w:r w:rsidRPr="00DF049C">
              <w:t>Occasional detectable discolouration, odour and slicks.</w:t>
            </w:r>
          </w:p>
        </w:tc>
        <w:tc>
          <w:tcPr>
            <w:tcW w:w="723" w:type="pct"/>
            <w:shd w:val="clear" w:color="auto" w:fill="auto"/>
            <w:vAlign w:val="center"/>
          </w:tcPr>
          <w:p w14:paraId="1911072E" w14:textId="77777777" w:rsidR="001F5D88" w:rsidRPr="00DF049C" w:rsidRDefault="001F5D88" w:rsidP="00292C86">
            <w:pPr>
              <w:pStyle w:val="Tabletext0"/>
              <w:spacing w:before="0" w:after="0"/>
            </w:pPr>
            <w:r w:rsidRPr="00DF049C">
              <w:t>Minor</w:t>
            </w:r>
          </w:p>
        </w:tc>
        <w:tc>
          <w:tcPr>
            <w:tcW w:w="368" w:type="pct"/>
            <w:shd w:val="clear" w:color="auto" w:fill="auto"/>
            <w:vAlign w:val="center"/>
          </w:tcPr>
          <w:p w14:paraId="3D4D2463" w14:textId="77777777" w:rsidR="001F5D88" w:rsidRPr="00DF049C" w:rsidRDefault="001F5D88" w:rsidP="00292C86">
            <w:pPr>
              <w:pStyle w:val="Tabletext0"/>
              <w:spacing w:before="0" w:after="0"/>
            </w:pPr>
            <w:r w:rsidRPr="00DF049C">
              <w:t>2</w:t>
            </w:r>
          </w:p>
        </w:tc>
      </w:tr>
      <w:tr w:rsidR="001F5D88" w:rsidRPr="00DF049C" w14:paraId="0E2E7A68" w14:textId="77777777" w:rsidTr="00BA51B7">
        <w:tc>
          <w:tcPr>
            <w:tcW w:w="840" w:type="pct"/>
            <w:vMerge/>
            <w:tcBorders>
              <w:bottom w:val="single" w:sz="4" w:space="0" w:color="auto"/>
            </w:tcBorders>
            <w:shd w:val="clear" w:color="auto" w:fill="auto"/>
            <w:vAlign w:val="center"/>
          </w:tcPr>
          <w:p w14:paraId="7F963BCF" w14:textId="77777777" w:rsidR="001F5D88" w:rsidRPr="00DF049C" w:rsidRDefault="001F5D88" w:rsidP="00292C86">
            <w:pPr>
              <w:pStyle w:val="Tabletext0"/>
              <w:spacing w:before="0" w:after="0"/>
            </w:pPr>
          </w:p>
        </w:tc>
        <w:tc>
          <w:tcPr>
            <w:tcW w:w="3069" w:type="pct"/>
            <w:tcBorders>
              <w:bottom w:val="single" w:sz="4" w:space="0" w:color="auto"/>
            </w:tcBorders>
            <w:shd w:val="clear" w:color="auto" w:fill="auto"/>
            <w:vAlign w:val="center"/>
          </w:tcPr>
          <w:p w14:paraId="41816EC8" w14:textId="77777777" w:rsidR="001F5D88" w:rsidRPr="00DF049C" w:rsidRDefault="001F5D88" w:rsidP="00292C86">
            <w:pPr>
              <w:pStyle w:val="Tabletext0"/>
              <w:spacing w:before="0" w:after="0"/>
            </w:pPr>
            <w:r w:rsidRPr="00DF049C">
              <w:t>No detectable discolouration, odour and slicks.</w:t>
            </w:r>
          </w:p>
        </w:tc>
        <w:tc>
          <w:tcPr>
            <w:tcW w:w="723" w:type="pct"/>
            <w:tcBorders>
              <w:bottom w:val="single" w:sz="4" w:space="0" w:color="auto"/>
            </w:tcBorders>
            <w:shd w:val="clear" w:color="auto" w:fill="auto"/>
            <w:vAlign w:val="center"/>
          </w:tcPr>
          <w:p w14:paraId="1D83CECB" w14:textId="77777777" w:rsidR="001F5D88" w:rsidRPr="00DF049C" w:rsidRDefault="001F5D88" w:rsidP="00292C86">
            <w:pPr>
              <w:pStyle w:val="Tabletext0"/>
              <w:spacing w:before="0" w:after="0"/>
            </w:pPr>
            <w:r w:rsidRPr="00DF049C">
              <w:t>Insignificant</w:t>
            </w:r>
          </w:p>
        </w:tc>
        <w:tc>
          <w:tcPr>
            <w:tcW w:w="368" w:type="pct"/>
            <w:tcBorders>
              <w:bottom w:val="single" w:sz="4" w:space="0" w:color="auto"/>
            </w:tcBorders>
            <w:shd w:val="clear" w:color="auto" w:fill="auto"/>
            <w:vAlign w:val="center"/>
          </w:tcPr>
          <w:p w14:paraId="64A0F6F1" w14:textId="77777777" w:rsidR="001F5D88" w:rsidRPr="00DF049C" w:rsidRDefault="001F5D88" w:rsidP="00292C86">
            <w:pPr>
              <w:pStyle w:val="Tabletext0"/>
              <w:spacing w:before="0" w:after="0"/>
            </w:pPr>
            <w:r w:rsidRPr="00DF049C">
              <w:t>1</w:t>
            </w:r>
          </w:p>
        </w:tc>
      </w:tr>
    </w:tbl>
    <w:p w14:paraId="00C0DEC1" w14:textId="77777777" w:rsidR="00BA51B7" w:rsidRDefault="00BA51B7">
      <w:bookmarkStart w:id="115" w:name="_Ref88222710"/>
      <w:r>
        <w:rPr>
          <w:b/>
          <w:bCs/>
          <w:i/>
          <w:iCs/>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1826"/>
        <w:gridCol w:w="1667"/>
        <w:gridCol w:w="1667"/>
        <w:gridCol w:w="1741"/>
        <w:gridCol w:w="1716"/>
      </w:tblGrid>
      <w:tr w:rsidR="00BC00ED" w:rsidRPr="00FE1546" w14:paraId="721F5EB2" w14:textId="77777777" w:rsidTr="00A32536">
        <w:tc>
          <w:tcPr>
            <w:tcW w:w="5000" w:type="pct"/>
            <w:gridSpan w:val="6"/>
            <w:tcBorders>
              <w:top w:val="nil"/>
              <w:left w:val="nil"/>
              <w:right w:val="nil"/>
            </w:tcBorders>
            <w:shd w:val="clear" w:color="auto" w:fill="auto"/>
            <w:vAlign w:val="bottom"/>
          </w:tcPr>
          <w:p w14:paraId="14CF5C94" w14:textId="1D01007B" w:rsidR="00BC00ED" w:rsidRPr="00FE1546" w:rsidRDefault="00BC00ED" w:rsidP="00A4665C">
            <w:pPr>
              <w:pStyle w:val="Caption"/>
            </w:pPr>
            <w:bookmarkStart w:id="116" w:name="_Ref132748083"/>
            <w:r w:rsidRPr="00FE1546">
              <w:lastRenderedPageBreak/>
              <w:t>Table B</w:t>
            </w:r>
            <w:fldSimple w:instr=" SEQ Table_B \* ARABIC ">
              <w:r w:rsidR="00FD64B0">
                <w:rPr>
                  <w:noProof/>
                </w:rPr>
                <w:t>5</w:t>
              </w:r>
            </w:fldSimple>
            <w:bookmarkEnd w:id="115"/>
            <w:bookmarkEnd w:id="116"/>
            <w:r>
              <w:t xml:space="preserve"> </w:t>
            </w:r>
            <w:r w:rsidRPr="00841850">
              <w:rPr>
                <w:rFonts w:cs="Arial"/>
              </w:rPr>
              <w:t>–</w:t>
            </w:r>
            <w:r w:rsidRPr="00FE1546">
              <w:t xml:space="preserve"> Environmental risk matrix</w:t>
            </w:r>
          </w:p>
        </w:tc>
      </w:tr>
      <w:tr w:rsidR="00BC00ED" w:rsidRPr="00FE1546" w14:paraId="17B40CEE" w14:textId="77777777" w:rsidTr="00BA51B7">
        <w:tc>
          <w:tcPr>
            <w:tcW w:w="833" w:type="pct"/>
            <w:vMerge w:val="restart"/>
            <w:shd w:val="clear" w:color="auto" w:fill="003F72"/>
            <w:vAlign w:val="bottom"/>
          </w:tcPr>
          <w:p w14:paraId="3880D710" w14:textId="77777777" w:rsidR="00BC00ED" w:rsidRPr="00F21050" w:rsidRDefault="00BC00ED" w:rsidP="00292C86">
            <w:pPr>
              <w:pStyle w:val="Tabletext0"/>
            </w:pPr>
            <w:r w:rsidRPr="00F21050">
              <w:t>Likelihood</w:t>
            </w:r>
          </w:p>
        </w:tc>
        <w:tc>
          <w:tcPr>
            <w:tcW w:w="4167" w:type="pct"/>
            <w:gridSpan w:val="5"/>
            <w:shd w:val="clear" w:color="auto" w:fill="003F72"/>
          </w:tcPr>
          <w:p w14:paraId="41C75927" w14:textId="77777777" w:rsidR="00BC00ED" w:rsidRPr="00F21050" w:rsidRDefault="00BC00ED" w:rsidP="00292C86">
            <w:pPr>
              <w:pStyle w:val="Tabletext0"/>
            </w:pPr>
            <w:r w:rsidRPr="00F21050">
              <w:t>Consequence</w:t>
            </w:r>
          </w:p>
        </w:tc>
      </w:tr>
      <w:tr w:rsidR="00BC00ED" w:rsidRPr="00FE1546" w14:paraId="3546EA66" w14:textId="77777777" w:rsidTr="00BA51B7">
        <w:trPr>
          <w:trHeight w:val="460"/>
        </w:trPr>
        <w:tc>
          <w:tcPr>
            <w:tcW w:w="833" w:type="pct"/>
            <w:vMerge/>
            <w:shd w:val="clear" w:color="auto" w:fill="003F72"/>
          </w:tcPr>
          <w:p w14:paraId="7160BF2E" w14:textId="77777777" w:rsidR="00BC00ED" w:rsidRPr="00F21050" w:rsidRDefault="00BC00ED" w:rsidP="00292C86">
            <w:pPr>
              <w:pStyle w:val="Tabletext0"/>
            </w:pPr>
          </w:p>
        </w:tc>
        <w:tc>
          <w:tcPr>
            <w:tcW w:w="883" w:type="pct"/>
            <w:shd w:val="clear" w:color="auto" w:fill="auto"/>
          </w:tcPr>
          <w:p w14:paraId="279334CF" w14:textId="77777777" w:rsidR="00BC00ED" w:rsidRPr="00F21050" w:rsidRDefault="00BC00ED" w:rsidP="00292C86">
            <w:pPr>
              <w:pStyle w:val="Tabletext0"/>
            </w:pPr>
            <w:r w:rsidRPr="00F21050">
              <w:t>Insignificant</w:t>
            </w:r>
          </w:p>
          <w:p w14:paraId="555DAEA8" w14:textId="77777777" w:rsidR="00BC00ED" w:rsidRPr="00F21050" w:rsidRDefault="00BC00ED" w:rsidP="00292C86">
            <w:pPr>
              <w:pStyle w:val="Tabletext0"/>
            </w:pPr>
            <w:r w:rsidRPr="00F21050">
              <w:t>1</w:t>
            </w:r>
          </w:p>
        </w:tc>
        <w:tc>
          <w:tcPr>
            <w:tcW w:w="806" w:type="pct"/>
            <w:shd w:val="clear" w:color="auto" w:fill="auto"/>
          </w:tcPr>
          <w:p w14:paraId="06024B7C" w14:textId="77777777" w:rsidR="00BC00ED" w:rsidRPr="00F21050" w:rsidRDefault="00BC00ED" w:rsidP="00292C86">
            <w:pPr>
              <w:pStyle w:val="Tabletext0"/>
            </w:pPr>
            <w:r w:rsidRPr="00F21050">
              <w:t>Minor</w:t>
            </w:r>
          </w:p>
          <w:p w14:paraId="21168F78" w14:textId="77777777" w:rsidR="00BC00ED" w:rsidRPr="00F21050" w:rsidRDefault="00BC00ED" w:rsidP="00292C86">
            <w:pPr>
              <w:pStyle w:val="Tabletext0"/>
            </w:pPr>
            <w:r w:rsidRPr="00F21050">
              <w:t>2</w:t>
            </w:r>
          </w:p>
        </w:tc>
        <w:tc>
          <w:tcPr>
            <w:tcW w:w="806" w:type="pct"/>
            <w:shd w:val="clear" w:color="auto" w:fill="auto"/>
          </w:tcPr>
          <w:p w14:paraId="798AA3A4" w14:textId="77777777" w:rsidR="00BC00ED" w:rsidRPr="00F21050" w:rsidRDefault="00BC00ED" w:rsidP="00292C86">
            <w:pPr>
              <w:pStyle w:val="Tabletext0"/>
            </w:pPr>
            <w:r w:rsidRPr="00F21050">
              <w:t>Moderate</w:t>
            </w:r>
          </w:p>
          <w:p w14:paraId="56B4BB7E" w14:textId="77777777" w:rsidR="00BC00ED" w:rsidRPr="00F21050" w:rsidRDefault="00BC00ED" w:rsidP="00292C86">
            <w:pPr>
              <w:pStyle w:val="Tabletext0"/>
            </w:pPr>
            <w:r w:rsidRPr="00F21050">
              <w:t>3</w:t>
            </w:r>
          </w:p>
        </w:tc>
        <w:tc>
          <w:tcPr>
            <w:tcW w:w="842" w:type="pct"/>
            <w:shd w:val="clear" w:color="auto" w:fill="auto"/>
          </w:tcPr>
          <w:p w14:paraId="6E89C6C8" w14:textId="77777777" w:rsidR="00BC00ED" w:rsidRPr="00F21050" w:rsidRDefault="00BC00ED" w:rsidP="00292C86">
            <w:pPr>
              <w:pStyle w:val="Tabletext0"/>
            </w:pPr>
            <w:r w:rsidRPr="00F21050">
              <w:t>Major</w:t>
            </w:r>
          </w:p>
          <w:p w14:paraId="369BEA15" w14:textId="77777777" w:rsidR="00BC00ED" w:rsidRPr="00F21050" w:rsidRDefault="00BC00ED" w:rsidP="00292C86">
            <w:pPr>
              <w:pStyle w:val="Tabletext0"/>
            </w:pPr>
            <w:r w:rsidRPr="00F21050">
              <w:t>4</w:t>
            </w:r>
          </w:p>
        </w:tc>
        <w:tc>
          <w:tcPr>
            <w:tcW w:w="829" w:type="pct"/>
            <w:shd w:val="clear" w:color="auto" w:fill="auto"/>
          </w:tcPr>
          <w:p w14:paraId="166FF22F" w14:textId="77777777" w:rsidR="00BC00ED" w:rsidRPr="00F21050" w:rsidRDefault="00BC00ED" w:rsidP="00292C86">
            <w:pPr>
              <w:pStyle w:val="Tabletext0"/>
            </w:pPr>
            <w:r w:rsidRPr="00F21050">
              <w:t>Severe</w:t>
            </w:r>
          </w:p>
          <w:p w14:paraId="5FAAC4A5" w14:textId="77777777" w:rsidR="00BC00ED" w:rsidRPr="00F21050" w:rsidRDefault="00BC00ED" w:rsidP="00292C86">
            <w:pPr>
              <w:pStyle w:val="Tabletext0"/>
            </w:pPr>
            <w:r w:rsidRPr="00F21050">
              <w:t>5</w:t>
            </w:r>
          </w:p>
        </w:tc>
      </w:tr>
      <w:tr w:rsidR="00BC00ED" w:rsidRPr="00FE1546" w14:paraId="795032A7" w14:textId="77777777" w:rsidTr="00BA51B7">
        <w:tc>
          <w:tcPr>
            <w:tcW w:w="833" w:type="pct"/>
            <w:shd w:val="clear" w:color="auto" w:fill="auto"/>
            <w:vAlign w:val="center"/>
          </w:tcPr>
          <w:p w14:paraId="7C9B1993" w14:textId="77777777" w:rsidR="00BC00ED" w:rsidRPr="00F21050" w:rsidRDefault="00BC00ED" w:rsidP="00292C86">
            <w:pPr>
              <w:pStyle w:val="Tabletext0"/>
            </w:pPr>
            <w:r w:rsidRPr="00F21050">
              <w:t>Almost certain</w:t>
            </w:r>
          </w:p>
        </w:tc>
        <w:tc>
          <w:tcPr>
            <w:tcW w:w="883" w:type="pct"/>
            <w:shd w:val="clear" w:color="auto" w:fill="auto"/>
            <w:vAlign w:val="center"/>
          </w:tcPr>
          <w:p w14:paraId="65312A64" w14:textId="77777777" w:rsidR="00BC00ED" w:rsidRPr="00F21050" w:rsidRDefault="00BC00ED" w:rsidP="00292C86">
            <w:pPr>
              <w:pStyle w:val="Tabletext0"/>
            </w:pPr>
            <w:r w:rsidRPr="00F21050">
              <w:t>Negligible</w:t>
            </w:r>
          </w:p>
        </w:tc>
        <w:tc>
          <w:tcPr>
            <w:tcW w:w="806" w:type="pct"/>
            <w:shd w:val="clear" w:color="auto" w:fill="auto"/>
            <w:vAlign w:val="center"/>
          </w:tcPr>
          <w:p w14:paraId="2A342043" w14:textId="77777777" w:rsidR="00BC00ED" w:rsidRPr="00F21050" w:rsidRDefault="00BC00ED" w:rsidP="00292C86">
            <w:pPr>
              <w:pStyle w:val="Tabletext0"/>
            </w:pPr>
            <w:r w:rsidRPr="00F21050">
              <w:t>Moderate</w:t>
            </w:r>
          </w:p>
        </w:tc>
        <w:tc>
          <w:tcPr>
            <w:tcW w:w="806" w:type="pct"/>
            <w:shd w:val="clear" w:color="auto" w:fill="auto"/>
            <w:vAlign w:val="center"/>
          </w:tcPr>
          <w:p w14:paraId="2CC66D54" w14:textId="77777777" w:rsidR="00BC00ED" w:rsidRPr="00F21050" w:rsidRDefault="00BC00ED" w:rsidP="00292C86">
            <w:pPr>
              <w:pStyle w:val="Tabletext0"/>
            </w:pPr>
            <w:r w:rsidRPr="00F21050">
              <w:t>High</w:t>
            </w:r>
          </w:p>
        </w:tc>
        <w:tc>
          <w:tcPr>
            <w:tcW w:w="842" w:type="pct"/>
            <w:shd w:val="clear" w:color="auto" w:fill="auto"/>
            <w:vAlign w:val="center"/>
          </w:tcPr>
          <w:p w14:paraId="535CF1D4" w14:textId="77777777" w:rsidR="00BC00ED" w:rsidRPr="00F21050" w:rsidRDefault="00BC00ED" w:rsidP="00292C86">
            <w:pPr>
              <w:pStyle w:val="Tabletext0"/>
            </w:pPr>
            <w:r w:rsidRPr="00F21050">
              <w:t>Extreme</w:t>
            </w:r>
          </w:p>
        </w:tc>
        <w:tc>
          <w:tcPr>
            <w:tcW w:w="829" w:type="pct"/>
            <w:shd w:val="clear" w:color="auto" w:fill="auto"/>
            <w:vAlign w:val="center"/>
          </w:tcPr>
          <w:p w14:paraId="2FB62257" w14:textId="77777777" w:rsidR="00BC00ED" w:rsidRPr="00F21050" w:rsidRDefault="00BC00ED" w:rsidP="00292C86">
            <w:pPr>
              <w:pStyle w:val="Tabletext0"/>
            </w:pPr>
            <w:r w:rsidRPr="00F21050">
              <w:t>Extreme</w:t>
            </w:r>
          </w:p>
        </w:tc>
      </w:tr>
      <w:tr w:rsidR="00BC00ED" w:rsidRPr="00FE1546" w14:paraId="6376A6A4" w14:textId="77777777" w:rsidTr="00BA51B7">
        <w:tc>
          <w:tcPr>
            <w:tcW w:w="833" w:type="pct"/>
            <w:shd w:val="clear" w:color="auto" w:fill="auto"/>
            <w:vAlign w:val="center"/>
          </w:tcPr>
          <w:p w14:paraId="14B422B6" w14:textId="77777777" w:rsidR="00BC00ED" w:rsidRPr="00F21050" w:rsidRDefault="00BC00ED" w:rsidP="00292C86">
            <w:pPr>
              <w:pStyle w:val="Tabletext0"/>
            </w:pPr>
            <w:r w:rsidRPr="00F21050">
              <w:t>Likely</w:t>
            </w:r>
          </w:p>
        </w:tc>
        <w:tc>
          <w:tcPr>
            <w:tcW w:w="883" w:type="pct"/>
            <w:shd w:val="clear" w:color="auto" w:fill="auto"/>
            <w:vAlign w:val="center"/>
          </w:tcPr>
          <w:p w14:paraId="5DA46546" w14:textId="77777777" w:rsidR="00BC00ED" w:rsidRPr="00F21050" w:rsidRDefault="00BC00ED" w:rsidP="00292C86">
            <w:pPr>
              <w:pStyle w:val="Tabletext0"/>
            </w:pPr>
            <w:r w:rsidRPr="00F21050">
              <w:t>Negligible</w:t>
            </w:r>
          </w:p>
        </w:tc>
        <w:tc>
          <w:tcPr>
            <w:tcW w:w="806" w:type="pct"/>
            <w:shd w:val="clear" w:color="auto" w:fill="auto"/>
            <w:vAlign w:val="center"/>
          </w:tcPr>
          <w:p w14:paraId="06CE2160" w14:textId="77777777" w:rsidR="00BC00ED" w:rsidRPr="00F21050" w:rsidRDefault="00BC00ED" w:rsidP="00292C86">
            <w:pPr>
              <w:pStyle w:val="Tabletext0"/>
            </w:pPr>
            <w:r w:rsidRPr="00F21050">
              <w:t>Moderate</w:t>
            </w:r>
          </w:p>
        </w:tc>
        <w:tc>
          <w:tcPr>
            <w:tcW w:w="806" w:type="pct"/>
            <w:shd w:val="clear" w:color="auto" w:fill="auto"/>
            <w:vAlign w:val="center"/>
          </w:tcPr>
          <w:p w14:paraId="2CE3056A" w14:textId="77777777" w:rsidR="00BC00ED" w:rsidRPr="00F21050" w:rsidRDefault="00BC00ED" w:rsidP="00292C86">
            <w:pPr>
              <w:pStyle w:val="Tabletext0"/>
            </w:pPr>
            <w:r w:rsidRPr="00F21050">
              <w:t>Moderate</w:t>
            </w:r>
          </w:p>
        </w:tc>
        <w:tc>
          <w:tcPr>
            <w:tcW w:w="842" w:type="pct"/>
            <w:shd w:val="clear" w:color="auto" w:fill="auto"/>
            <w:vAlign w:val="center"/>
          </w:tcPr>
          <w:p w14:paraId="1C538D6D" w14:textId="77777777" w:rsidR="00BC00ED" w:rsidRPr="00F21050" w:rsidRDefault="00BC00ED" w:rsidP="00292C86">
            <w:pPr>
              <w:pStyle w:val="Tabletext0"/>
            </w:pPr>
            <w:r w:rsidRPr="00F21050">
              <w:t>High</w:t>
            </w:r>
          </w:p>
        </w:tc>
        <w:tc>
          <w:tcPr>
            <w:tcW w:w="829" w:type="pct"/>
            <w:shd w:val="clear" w:color="auto" w:fill="auto"/>
            <w:vAlign w:val="center"/>
          </w:tcPr>
          <w:p w14:paraId="4C6540E0" w14:textId="77777777" w:rsidR="00BC00ED" w:rsidRPr="00F21050" w:rsidRDefault="00BC00ED" w:rsidP="00292C86">
            <w:pPr>
              <w:pStyle w:val="Tabletext0"/>
            </w:pPr>
            <w:r w:rsidRPr="00F21050">
              <w:t>High</w:t>
            </w:r>
          </w:p>
        </w:tc>
      </w:tr>
      <w:tr w:rsidR="00BC00ED" w:rsidRPr="00FE1546" w14:paraId="2945FD9C" w14:textId="77777777" w:rsidTr="00BA51B7">
        <w:tc>
          <w:tcPr>
            <w:tcW w:w="833" w:type="pct"/>
            <w:shd w:val="clear" w:color="auto" w:fill="auto"/>
            <w:vAlign w:val="center"/>
          </w:tcPr>
          <w:p w14:paraId="59E3D68A" w14:textId="77777777" w:rsidR="00BC00ED" w:rsidRPr="00F21050" w:rsidRDefault="00BC00ED" w:rsidP="00292C86">
            <w:pPr>
              <w:pStyle w:val="Tabletext0"/>
            </w:pPr>
            <w:r w:rsidRPr="00F21050">
              <w:t>Possible</w:t>
            </w:r>
          </w:p>
        </w:tc>
        <w:tc>
          <w:tcPr>
            <w:tcW w:w="883" w:type="pct"/>
            <w:shd w:val="clear" w:color="auto" w:fill="auto"/>
            <w:vAlign w:val="center"/>
          </w:tcPr>
          <w:p w14:paraId="14AA5ABB" w14:textId="77777777" w:rsidR="00BC00ED" w:rsidRPr="00F21050" w:rsidRDefault="00BC00ED" w:rsidP="00292C86">
            <w:pPr>
              <w:pStyle w:val="Tabletext0"/>
            </w:pPr>
            <w:r w:rsidRPr="00F21050">
              <w:t>Negligible</w:t>
            </w:r>
          </w:p>
        </w:tc>
        <w:tc>
          <w:tcPr>
            <w:tcW w:w="806" w:type="pct"/>
            <w:shd w:val="clear" w:color="auto" w:fill="auto"/>
            <w:vAlign w:val="center"/>
          </w:tcPr>
          <w:p w14:paraId="66676F4E" w14:textId="77777777" w:rsidR="00BC00ED" w:rsidRPr="00F21050" w:rsidRDefault="00BC00ED" w:rsidP="00292C86">
            <w:pPr>
              <w:pStyle w:val="Tabletext0"/>
            </w:pPr>
            <w:r w:rsidRPr="00F21050">
              <w:t>Low</w:t>
            </w:r>
          </w:p>
        </w:tc>
        <w:tc>
          <w:tcPr>
            <w:tcW w:w="806" w:type="pct"/>
            <w:shd w:val="clear" w:color="auto" w:fill="auto"/>
            <w:vAlign w:val="center"/>
          </w:tcPr>
          <w:p w14:paraId="2925E618" w14:textId="77777777" w:rsidR="00BC00ED" w:rsidRPr="00F21050" w:rsidRDefault="00BC00ED" w:rsidP="00292C86">
            <w:pPr>
              <w:pStyle w:val="Tabletext0"/>
            </w:pPr>
            <w:r w:rsidRPr="00F21050">
              <w:t>Moderate</w:t>
            </w:r>
          </w:p>
        </w:tc>
        <w:tc>
          <w:tcPr>
            <w:tcW w:w="842" w:type="pct"/>
            <w:shd w:val="clear" w:color="auto" w:fill="auto"/>
            <w:vAlign w:val="center"/>
          </w:tcPr>
          <w:p w14:paraId="2DF8E9A2" w14:textId="77777777" w:rsidR="00BC00ED" w:rsidRPr="00F21050" w:rsidRDefault="00BC00ED" w:rsidP="00292C86">
            <w:pPr>
              <w:pStyle w:val="Tabletext0"/>
            </w:pPr>
            <w:r w:rsidRPr="00F21050">
              <w:t>High</w:t>
            </w:r>
          </w:p>
        </w:tc>
        <w:tc>
          <w:tcPr>
            <w:tcW w:w="829" w:type="pct"/>
            <w:shd w:val="clear" w:color="auto" w:fill="auto"/>
            <w:vAlign w:val="center"/>
          </w:tcPr>
          <w:p w14:paraId="4127A732" w14:textId="77777777" w:rsidR="00BC00ED" w:rsidRPr="00F21050" w:rsidRDefault="00BC00ED" w:rsidP="00292C86">
            <w:pPr>
              <w:pStyle w:val="Tabletext0"/>
            </w:pPr>
            <w:r w:rsidRPr="00F21050">
              <w:t>High</w:t>
            </w:r>
          </w:p>
        </w:tc>
      </w:tr>
      <w:tr w:rsidR="00BC00ED" w:rsidRPr="00FE1546" w14:paraId="6B53F064" w14:textId="77777777" w:rsidTr="00BA51B7">
        <w:tc>
          <w:tcPr>
            <w:tcW w:w="833" w:type="pct"/>
            <w:shd w:val="clear" w:color="auto" w:fill="auto"/>
            <w:vAlign w:val="center"/>
          </w:tcPr>
          <w:p w14:paraId="7D1F1858" w14:textId="77777777" w:rsidR="00BC00ED" w:rsidRPr="00F21050" w:rsidRDefault="00BC00ED" w:rsidP="00292C86">
            <w:pPr>
              <w:pStyle w:val="Tabletext0"/>
            </w:pPr>
            <w:r w:rsidRPr="00F21050">
              <w:t>Unlikely</w:t>
            </w:r>
          </w:p>
        </w:tc>
        <w:tc>
          <w:tcPr>
            <w:tcW w:w="883" w:type="pct"/>
            <w:shd w:val="clear" w:color="auto" w:fill="auto"/>
            <w:vAlign w:val="center"/>
          </w:tcPr>
          <w:p w14:paraId="2CF5DD88" w14:textId="77777777" w:rsidR="00BC00ED" w:rsidRPr="00F21050" w:rsidRDefault="00BC00ED" w:rsidP="00292C86">
            <w:pPr>
              <w:pStyle w:val="Tabletext0"/>
            </w:pPr>
            <w:r w:rsidRPr="00F21050">
              <w:t>Negligible</w:t>
            </w:r>
          </w:p>
        </w:tc>
        <w:tc>
          <w:tcPr>
            <w:tcW w:w="806" w:type="pct"/>
            <w:shd w:val="clear" w:color="auto" w:fill="auto"/>
            <w:vAlign w:val="center"/>
          </w:tcPr>
          <w:p w14:paraId="6F408418" w14:textId="77777777" w:rsidR="00BC00ED" w:rsidRPr="00F21050" w:rsidRDefault="00BC00ED" w:rsidP="00292C86">
            <w:pPr>
              <w:pStyle w:val="Tabletext0"/>
            </w:pPr>
            <w:r w:rsidRPr="00F21050">
              <w:t>Low</w:t>
            </w:r>
          </w:p>
        </w:tc>
        <w:tc>
          <w:tcPr>
            <w:tcW w:w="806" w:type="pct"/>
            <w:shd w:val="clear" w:color="auto" w:fill="auto"/>
            <w:vAlign w:val="center"/>
          </w:tcPr>
          <w:p w14:paraId="191876D2" w14:textId="77777777" w:rsidR="00BC00ED" w:rsidRPr="00F21050" w:rsidRDefault="00BC00ED" w:rsidP="00292C86">
            <w:pPr>
              <w:pStyle w:val="Tabletext0"/>
            </w:pPr>
            <w:r w:rsidRPr="00F21050">
              <w:t>Low</w:t>
            </w:r>
          </w:p>
        </w:tc>
        <w:tc>
          <w:tcPr>
            <w:tcW w:w="842" w:type="pct"/>
            <w:shd w:val="clear" w:color="auto" w:fill="auto"/>
            <w:vAlign w:val="center"/>
          </w:tcPr>
          <w:p w14:paraId="5A93118E" w14:textId="77777777" w:rsidR="00BC00ED" w:rsidRPr="00F21050" w:rsidRDefault="00BC00ED" w:rsidP="00292C86">
            <w:pPr>
              <w:pStyle w:val="Tabletext0"/>
            </w:pPr>
            <w:r w:rsidRPr="00F21050">
              <w:t>Moderate</w:t>
            </w:r>
          </w:p>
        </w:tc>
        <w:tc>
          <w:tcPr>
            <w:tcW w:w="829" w:type="pct"/>
            <w:shd w:val="clear" w:color="auto" w:fill="auto"/>
            <w:vAlign w:val="center"/>
          </w:tcPr>
          <w:p w14:paraId="5715686D" w14:textId="77777777" w:rsidR="00BC00ED" w:rsidRPr="00F21050" w:rsidRDefault="00BC00ED" w:rsidP="00292C86">
            <w:pPr>
              <w:pStyle w:val="Tabletext0"/>
            </w:pPr>
            <w:r w:rsidRPr="00F21050">
              <w:t>Moderate</w:t>
            </w:r>
          </w:p>
        </w:tc>
      </w:tr>
      <w:tr w:rsidR="00BC00ED" w:rsidRPr="00FE1546" w14:paraId="296D8AE6" w14:textId="77777777" w:rsidTr="00BA51B7">
        <w:tc>
          <w:tcPr>
            <w:tcW w:w="833" w:type="pct"/>
            <w:shd w:val="clear" w:color="auto" w:fill="auto"/>
            <w:vAlign w:val="center"/>
          </w:tcPr>
          <w:p w14:paraId="0E3A2185" w14:textId="77777777" w:rsidR="00BC00ED" w:rsidRPr="00F21050" w:rsidRDefault="00BC00ED" w:rsidP="00292C86">
            <w:pPr>
              <w:pStyle w:val="Tabletext0"/>
            </w:pPr>
            <w:r w:rsidRPr="00F21050">
              <w:t>Rare</w:t>
            </w:r>
          </w:p>
        </w:tc>
        <w:tc>
          <w:tcPr>
            <w:tcW w:w="883" w:type="pct"/>
            <w:shd w:val="clear" w:color="auto" w:fill="auto"/>
            <w:vAlign w:val="center"/>
          </w:tcPr>
          <w:p w14:paraId="6724A216" w14:textId="77777777" w:rsidR="00BC00ED" w:rsidRPr="00F21050" w:rsidRDefault="00BC00ED" w:rsidP="00292C86">
            <w:pPr>
              <w:pStyle w:val="Tabletext0"/>
            </w:pPr>
            <w:r w:rsidRPr="00F21050">
              <w:t>Negligible</w:t>
            </w:r>
          </w:p>
        </w:tc>
        <w:tc>
          <w:tcPr>
            <w:tcW w:w="806" w:type="pct"/>
            <w:shd w:val="clear" w:color="auto" w:fill="auto"/>
            <w:vAlign w:val="center"/>
          </w:tcPr>
          <w:p w14:paraId="036B1DBB" w14:textId="77777777" w:rsidR="00BC00ED" w:rsidRPr="00F21050" w:rsidRDefault="00BC00ED" w:rsidP="00292C86">
            <w:pPr>
              <w:pStyle w:val="Tabletext0"/>
            </w:pPr>
            <w:r w:rsidRPr="00F21050">
              <w:t>Negligible</w:t>
            </w:r>
          </w:p>
        </w:tc>
        <w:tc>
          <w:tcPr>
            <w:tcW w:w="806" w:type="pct"/>
            <w:shd w:val="clear" w:color="auto" w:fill="auto"/>
            <w:vAlign w:val="center"/>
          </w:tcPr>
          <w:p w14:paraId="3F604C73" w14:textId="77777777" w:rsidR="00BC00ED" w:rsidRPr="00F21050" w:rsidRDefault="00BC00ED" w:rsidP="00292C86">
            <w:pPr>
              <w:pStyle w:val="Tabletext0"/>
            </w:pPr>
            <w:r w:rsidRPr="00F21050">
              <w:t>Negligible</w:t>
            </w:r>
          </w:p>
        </w:tc>
        <w:tc>
          <w:tcPr>
            <w:tcW w:w="842" w:type="pct"/>
            <w:shd w:val="clear" w:color="auto" w:fill="auto"/>
            <w:vAlign w:val="center"/>
          </w:tcPr>
          <w:p w14:paraId="6C61B67C" w14:textId="77777777" w:rsidR="00BC00ED" w:rsidRPr="00F21050" w:rsidRDefault="00BC00ED" w:rsidP="00292C86">
            <w:pPr>
              <w:pStyle w:val="Tabletext0"/>
            </w:pPr>
            <w:r w:rsidRPr="00F21050">
              <w:t>Low</w:t>
            </w:r>
          </w:p>
        </w:tc>
        <w:tc>
          <w:tcPr>
            <w:tcW w:w="829" w:type="pct"/>
            <w:shd w:val="clear" w:color="auto" w:fill="auto"/>
            <w:vAlign w:val="center"/>
          </w:tcPr>
          <w:p w14:paraId="7BA2A3A9" w14:textId="77777777" w:rsidR="00BC00ED" w:rsidRPr="00F21050" w:rsidRDefault="00BC00ED" w:rsidP="00292C86">
            <w:pPr>
              <w:pStyle w:val="Tabletext0"/>
            </w:pPr>
            <w:r w:rsidRPr="00F21050">
              <w:t>Moderate</w:t>
            </w:r>
          </w:p>
        </w:tc>
      </w:tr>
    </w:tbl>
    <w:p w14:paraId="6936C280" w14:textId="77777777" w:rsidR="00864763" w:rsidRDefault="00864763" w:rsidP="00116A7E">
      <w:pPr>
        <w:spacing w:line="259" w:lineRule="auto"/>
        <w:rPr>
          <w:rFonts w:cs="Arial"/>
        </w:rPr>
      </w:pPr>
    </w:p>
    <w:p w14:paraId="54BB9DCE" w14:textId="488D20F9" w:rsidR="00116A7E" w:rsidRPr="004C1BC4" w:rsidRDefault="00116A7E" w:rsidP="00116A7E">
      <w:pPr>
        <w:spacing w:line="259" w:lineRule="auto"/>
        <w:rPr>
          <w:rFonts w:cs="Arial"/>
        </w:rPr>
      </w:pPr>
      <w:r w:rsidRPr="004C1BC4">
        <w:rPr>
          <w:rFonts w:cs="Arial"/>
        </w:rPr>
        <w:t>A summary of the above data analysis to determine the consequence, likelihood and risk levels is given below for each environmental value.</w:t>
      </w:r>
    </w:p>
    <w:p w14:paraId="3CA1C040" w14:textId="6B9C217C" w:rsidR="00116A7E" w:rsidRPr="004C1BC4" w:rsidRDefault="00116A7E" w:rsidP="00116A7E">
      <w:pPr>
        <w:spacing w:line="259" w:lineRule="auto"/>
        <w:rPr>
          <w:rFonts w:cs="Arial"/>
        </w:rPr>
      </w:pPr>
      <w:r w:rsidRPr="004C1BC4">
        <w:rPr>
          <w:rFonts w:cs="Arial"/>
          <w:b/>
          <w:bCs/>
          <w:i/>
        </w:rPr>
        <w:t>Water dependent ecosystems and species</w:t>
      </w:r>
      <w:r w:rsidRPr="004C1BC4">
        <w:rPr>
          <w:rFonts w:cs="Arial"/>
          <w:b/>
          <w:bCs/>
        </w:rPr>
        <w:t>:</w:t>
      </w:r>
      <w:r w:rsidRPr="004C1BC4">
        <w:rPr>
          <w:rFonts w:cs="Arial"/>
        </w:rPr>
        <w:t xml:space="preserve"> The aquatic ecosystem in the mixing zone discharge region comprises a rocky reef kelp dominated community, a sparse soft seabed infauna community and pelagic and planktonic water column communities. Exposure to the discharge water is greatest for the fixed benthic communities on the seabed close to the outfall diffuser (rocky reef kelp and soft seabed infauna) and lowest on the other communities (pelagic and planktonic). Exposure of wastewater to benthic communities will decrease with distance from the outfall. Analysis of the biological monitoring data found minor differences between reef benthic communities immediately at the outfall compared to communities occurring within five meters of the outfall. In addition, wide natural variability in infauna communities was observed and no obvious differences were observed between the infauna community at the outfall and those distant from the outfall. No state-listed species (</w:t>
      </w:r>
      <w:r w:rsidRPr="004C1BC4">
        <w:rPr>
          <w:rFonts w:cs="Arial"/>
          <w:i/>
          <w:iCs/>
        </w:rPr>
        <w:t>Flora and Fauna Guarantee Act</w:t>
      </w:r>
      <w:r w:rsidRPr="004C1BC4">
        <w:rPr>
          <w:rFonts w:cs="Arial"/>
        </w:rPr>
        <w:t xml:space="preserve"> </w:t>
      </w:r>
      <w:r w:rsidRPr="004C1BC4">
        <w:rPr>
          <w:rFonts w:cs="Arial"/>
          <w:i/>
          <w:iCs/>
        </w:rPr>
        <w:t>1988</w:t>
      </w:r>
      <w:r w:rsidRPr="004C1BC4">
        <w:rPr>
          <w:rFonts w:cs="Arial"/>
        </w:rPr>
        <w:t>) were found to likely occur in the discharge region. It was noted that several nationally listed species (</w:t>
      </w:r>
      <w:bookmarkStart w:id="117" w:name="top"/>
      <w:r w:rsidRPr="004C1BC4">
        <w:rPr>
          <w:rFonts w:cs="Arial"/>
          <w:i/>
          <w:iCs/>
        </w:rPr>
        <w:t xml:space="preserve">Environment Protection and Biodiversity Conservation </w:t>
      </w:r>
      <w:bookmarkEnd w:id="117"/>
      <w:r w:rsidRPr="004C1BC4">
        <w:rPr>
          <w:rFonts w:cs="Arial"/>
          <w:i/>
          <w:iCs/>
        </w:rPr>
        <w:t>Act</w:t>
      </w:r>
      <w:r w:rsidRPr="004C1BC4">
        <w:rPr>
          <w:rFonts w:cs="Arial"/>
        </w:rPr>
        <w:t xml:space="preserve"> </w:t>
      </w:r>
      <w:r w:rsidRPr="004C1BC4">
        <w:rPr>
          <w:rFonts w:cs="Arial"/>
          <w:i/>
          <w:iCs/>
        </w:rPr>
        <w:t>1999</w:t>
      </w:r>
      <w:r w:rsidRPr="004C1BC4">
        <w:rPr>
          <w:rFonts w:cs="Arial"/>
        </w:rPr>
        <w:t>) may</w:t>
      </w:r>
      <w:r w:rsidRPr="00711ADE">
        <w:rPr>
          <w:rFonts w:cs="Arial"/>
        </w:rPr>
        <w:t xml:space="preserve"> </w:t>
      </w:r>
      <w:r w:rsidRPr="004C1BC4">
        <w:rPr>
          <w:rFonts w:cs="Arial"/>
        </w:rPr>
        <w:t>occur in the region at times. However, the area of concern is not a known significant breeding, feeding, calving or aggregation area for any of these listed species</w:t>
      </w:r>
      <w:r w:rsidR="00615730">
        <w:rPr>
          <w:rFonts w:cs="Arial"/>
        </w:rPr>
        <w:t>,</w:t>
      </w:r>
      <w:r w:rsidRPr="004C1BC4">
        <w:rPr>
          <w:rFonts w:cs="Arial"/>
        </w:rPr>
        <w:t xml:space="preserve"> and the discharge is not a threatening process for any of the species defined under the </w:t>
      </w:r>
      <w:r w:rsidRPr="004B788D">
        <w:rPr>
          <w:rFonts w:cs="Arial"/>
          <w:i/>
          <w:iCs/>
        </w:rPr>
        <w:t>Environment Protection and Biodiversity Conservation Act</w:t>
      </w:r>
      <w:r w:rsidR="00615730">
        <w:rPr>
          <w:rFonts w:cs="Arial"/>
        </w:rPr>
        <w:t xml:space="preserve"> (1999)</w:t>
      </w:r>
      <w:r w:rsidRPr="004C1BC4">
        <w:rPr>
          <w:rFonts w:cs="Arial"/>
        </w:rPr>
        <w:t>.</w:t>
      </w:r>
    </w:p>
    <w:p w14:paraId="4BDFC57E" w14:textId="1BE8874C" w:rsidR="00116A7E" w:rsidRPr="008D6529" w:rsidRDefault="00116A7E" w:rsidP="008D6529">
      <w:pPr>
        <w:spacing w:after="0"/>
        <w:rPr>
          <w:rFonts w:cs="Arial"/>
        </w:rPr>
      </w:pPr>
      <w:r w:rsidRPr="004C1BC4">
        <w:rPr>
          <w:rFonts w:cs="Arial"/>
        </w:rPr>
        <w:t>When examining ecotoxicological endpoints, test results revealed that the discharge water was not acutely toxic to test-organisms and has no- to very-mild chronic effects. Where a chronic response was detected, it was deemed to be very low and varied between test organisms and between the years tested.</w:t>
      </w:r>
    </w:p>
    <w:p w14:paraId="20099D38" w14:textId="1289F99D" w:rsidR="00D27B46" w:rsidRPr="00C01F65" w:rsidRDefault="00D27B46" w:rsidP="00D27B46">
      <w:pPr>
        <w:spacing w:line="259" w:lineRule="auto"/>
        <w:rPr>
          <w:rFonts w:cs="Arial"/>
        </w:rPr>
      </w:pPr>
      <w:r w:rsidRPr="073E3263">
        <w:rPr>
          <w:rFonts w:cs="Arial"/>
          <w:b/>
          <w:bCs/>
          <w:i/>
          <w:iCs/>
        </w:rPr>
        <w:t>Water</w:t>
      </w:r>
      <w:r w:rsidR="008F156B">
        <w:rPr>
          <w:rFonts w:cs="Arial"/>
          <w:b/>
          <w:bCs/>
          <w:i/>
          <w:iCs/>
        </w:rPr>
        <w:t>-</w:t>
      </w:r>
      <w:r w:rsidRPr="073E3263">
        <w:rPr>
          <w:rFonts w:cs="Arial"/>
          <w:b/>
          <w:bCs/>
          <w:i/>
          <w:iCs/>
        </w:rPr>
        <w:t>based recreation (aesthetic enjoyment) and Traditional Owner cultural values</w:t>
      </w:r>
      <w:r w:rsidRPr="073E3263">
        <w:rPr>
          <w:rFonts w:cs="Arial"/>
          <w:b/>
          <w:bCs/>
        </w:rPr>
        <w:t>:</w:t>
      </w:r>
      <w:r w:rsidRPr="073E3263">
        <w:rPr>
          <w:rFonts w:cs="Arial"/>
        </w:rPr>
        <w:t xml:space="preserve"> The Black Rock treatment outfall is situated about 1.1</w:t>
      </w:r>
      <w:r w:rsidR="008D0BE8" w:rsidRPr="073E3263">
        <w:rPr>
          <w:rFonts w:cs="Arial"/>
        </w:rPr>
        <w:t xml:space="preserve"> </w:t>
      </w:r>
      <w:r w:rsidRPr="073E3263">
        <w:rPr>
          <w:rFonts w:cs="Arial"/>
        </w:rPr>
        <w:t xml:space="preserve">km offshore and has a diffuser that was designed to direct the discharge away from the shoreline and produce a high initial dilution. </w:t>
      </w:r>
      <w:r w:rsidRPr="073E3263">
        <w:rPr>
          <w:rFonts w:cs="Arial"/>
        </w:rPr>
        <w:lastRenderedPageBreak/>
        <w:t>Source control and high treatment levels have reduced the nuisance constituents of the discharge to very low levels</w:t>
      </w:r>
      <w:r w:rsidR="6DB47B58" w:rsidRPr="073E3263">
        <w:rPr>
          <w:rFonts w:cs="Arial"/>
        </w:rPr>
        <w:t>,</w:t>
      </w:r>
      <w:r w:rsidRPr="073E3263">
        <w:rPr>
          <w:rFonts w:cs="Arial"/>
        </w:rPr>
        <w:t xml:space="preserve"> and monitoring at Bancoora beach has reported no foams or slicks.</w:t>
      </w:r>
    </w:p>
    <w:p w14:paraId="547134F5" w14:textId="6CBD5586" w:rsidR="005C71C3" w:rsidRPr="00E76BC5" w:rsidRDefault="005C71C3" w:rsidP="00AA7232">
      <w:pPr>
        <w:pStyle w:val="Heading4"/>
        <w:rPr>
          <w:rFonts w:cs="Arial"/>
        </w:rPr>
      </w:pPr>
      <w:r w:rsidRPr="00E76BC5">
        <w:t xml:space="preserve">Risk </w:t>
      </w:r>
      <w:r w:rsidR="003628C4" w:rsidRPr="00E76BC5">
        <w:t>characterisation and management</w:t>
      </w:r>
    </w:p>
    <w:p w14:paraId="5F79CDAE" w14:textId="77777777" w:rsidR="00D27B46" w:rsidRPr="00C01F65" w:rsidRDefault="00D27B46" w:rsidP="00D27B46">
      <w:pPr>
        <w:spacing w:line="259" w:lineRule="auto"/>
        <w:rPr>
          <w:rFonts w:cs="Arial"/>
        </w:rPr>
      </w:pPr>
      <w:r w:rsidRPr="00C01F65">
        <w:rPr>
          <w:rFonts w:cs="Arial"/>
        </w:rPr>
        <w:t>The risk characterisation involved:</w:t>
      </w:r>
    </w:p>
    <w:p w14:paraId="1658C704" w14:textId="77777777" w:rsidR="00D27B46" w:rsidRPr="00C01F65" w:rsidRDefault="00D27B46" w:rsidP="003E2AB1">
      <w:pPr>
        <w:pStyle w:val="ListBullet"/>
      </w:pPr>
      <w:r w:rsidRPr="00C01F65">
        <w:t>clearly defining the level of risk posed to the different environmental values</w:t>
      </w:r>
    </w:p>
    <w:p w14:paraId="66D7AC75" w14:textId="77777777" w:rsidR="00D27B46" w:rsidRPr="00C01F65" w:rsidRDefault="00D27B46" w:rsidP="003E2AB1">
      <w:pPr>
        <w:pStyle w:val="ListBullet"/>
      </w:pPr>
      <w:r w:rsidRPr="00C01F65">
        <w:t>identifying management responses for addressing the above risks</w:t>
      </w:r>
    </w:p>
    <w:p w14:paraId="7AFFF3B2" w14:textId="77777777" w:rsidR="00D27B46" w:rsidRPr="00C01F65" w:rsidRDefault="00D27B46" w:rsidP="003E2AB1">
      <w:pPr>
        <w:pStyle w:val="ListBullet"/>
      </w:pPr>
      <w:r w:rsidRPr="00C01F65">
        <w:t>documentation of the risk assessment</w:t>
      </w:r>
    </w:p>
    <w:p w14:paraId="3A568120" w14:textId="4616FA79" w:rsidR="00357A0E" w:rsidRPr="008D6529" w:rsidRDefault="00D27B46" w:rsidP="003E2AB1">
      <w:pPr>
        <w:pStyle w:val="ListBullet"/>
      </w:pPr>
      <w:r w:rsidRPr="00C01F65">
        <w:t>Barwon Water defined the management actions they would implement for different levels of risk (</w:t>
      </w:r>
      <w:r w:rsidR="000D69DF" w:rsidRPr="000D69DF">
        <w:fldChar w:fldCharType="begin"/>
      </w:r>
      <w:r w:rsidR="000D69DF" w:rsidRPr="000D69DF">
        <w:instrText xml:space="preserve"> REF _Ref88223117 \h  \* MERGEFORMAT </w:instrText>
      </w:r>
      <w:r w:rsidR="000D69DF" w:rsidRPr="000D69DF">
        <w:fldChar w:fldCharType="separate"/>
      </w:r>
      <w:r w:rsidR="00FD64B0" w:rsidRPr="00FD64B0">
        <w:rPr>
          <w:rFonts w:asciiTheme="majorHAnsi" w:hAnsiTheme="majorHAnsi"/>
        </w:rPr>
        <w:t>Table B6</w:t>
      </w:r>
      <w:r w:rsidR="000D69DF" w:rsidRPr="000D69DF">
        <w:fldChar w:fldCharType="end"/>
      </w:r>
      <w:r w:rsidRPr="00C01F65">
        <w:t>). This provided a consistent and transparent approach for dealing with the risks identified in the assessment.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624"/>
      </w:tblGrid>
      <w:tr w:rsidR="00357A0E" w:rsidRPr="00774010" w14:paraId="41DD11B1" w14:textId="77777777" w:rsidTr="001D78C8">
        <w:trPr>
          <w:jc w:val="center"/>
        </w:trPr>
        <w:tc>
          <w:tcPr>
            <w:tcW w:w="5000" w:type="pct"/>
            <w:gridSpan w:val="2"/>
            <w:tcBorders>
              <w:top w:val="nil"/>
              <w:left w:val="nil"/>
              <w:right w:val="nil"/>
            </w:tcBorders>
            <w:shd w:val="clear" w:color="auto" w:fill="auto"/>
          </w:tcPr>
          <w:p w14:paraId="7196D101" w14:textId="6C98CD0D" w:rsidR="00357A0E" w:rsidRPr="00774010" w:rsidRDefault="00357A0E" w:rsidP="00A4665C">
            <w:pPr>
              <w:pStyle w:val="Caption"/>
            </w:pPr>
            <w:bookmarkStart w:id="118" w:name="_Ref88223117"/>
            <w:r w:rsidRPr="00774010">
              <w:t>Table B</w:t>
            </w:r>
            <w:fldSimple w:instr=" SEQ Table_B \* ARABIC ">
              <w:r w:rsidR="00FD64B0">
                <w:rPr>
                  <w:noProof/>
                </w:rPr>
                <w:t>6</w:t>
              </w:r>
            </w:fldSimple>
            <w:bookmarkEnd w:id="118"/>
            <w:r>
              <w:t xml:space="preserve"> </w:t>
            </w:r>
            <w:r w:rsidR="009575B6" w:rsidRPr="00841850">
              <w:rPr>
                <w:rFonts w:cs="Arial"/>
              </w:rPr>
              <w:t>–</w:t>
            </w:r>
            <w:r w:rsidRPr="00774010">
              <w:t xml:space="preserve"> Management response to risk levels</w:t>
            </w:r>
          </w:p>
        </w:tc>
      </w:tr>
      <w:tr w:rsidR="00357A0E" w:rsidRPr="002477B5" w14:paraId="4D63E425" w14:textId="77777777" w:rsidTr="004B788D">
        <w:trPr>
          <w:jc w:val="center"/>
        </w:trPr>
        <w:tc>
          <w:tcPr>
            <w:tcW w:w="1254" w:type="pct"/>
            <w:shd w:val="clear" w:color="auto" w:fill="003F72"/>
          </w:tcPr>
          <w:p w14:paraId="58FC96BB" w14:textId="77777777" w:rsidR="00357A0E" w:rsidRPr="002477B5" w:rsidRDefault="00357A0E" w:rsidP="00292C86">
            <w:pPr>
              <w:pStyle w:val="Tabletext0"/>
            </w:pPr>
            <w:r w:rsidRPr="002477B5">
              <w:t>Risk level</w:t>
            </w:r>
          </w:p>
        </w:tc>
        <w:tc>
          <w:tcPr>
            <w:tcW w:w="3746" w:type="pct"/>
            <w:shd w:val="clear" w:color="auto" w:fill="003F72"/>
          </w:tcPr>
          <w:p w14:paraId="6D2F5F32" w14:textId="77777777" w:rsidR="00357A0E" w:rsidRPr="002477B5" w:rsidRDefault="00357A0E" w:rsidP="00292C86">
            <w:pPr>
              <w:pStyle w:val="Tabletext0"/>
            </w:pPr>
            <w:r w:rsidRPr="002477B5">
              <w:t>Management response</w:t>
            </w:r>
          </w:p>
        </w:tc>
      </w:tr>
      <w:tr w:rsidR="00357A0E" w:rsidRPr="00774010" w14:paraId="6AB0ED3F" w14:textId="77777777" w:rsidTr="004B788D">
        <w:trPr>
          <w:jc w:val="center"/>
        </w:trPr>
        <w:tc>
          <w:tcPr>
            <w:tcW w:w="1254" w:type="pct"/>
            <w:shd w:val="clear" w:color="auto" w:fill="auto"/>
            <w:vAlign w:val="center"/>
          </w:tcPr>
          <w:p w14:paraId="0C343756" w14:textId="77777777" w:rsidR="00357A0E" w:rsidRPr="00774010" w:rsidRDefault="00357A0E" w:rsidP="00292C86">
            <w:pPr>
              <w:pStyle w:val="Tabletext0"/>
            </w:pPr>
            <w:r w:rsidRPr="00774010">
              <w:t>Extreme risk</w:t>
            </w:r>
          </w:p>
        </w:tc>
        <w:tc>
          <w:tcPr>
            <w:tcW w:w="3746" w:type="pct"/>
            <w:shd w:val="clear" w:color="auto" w:fill="auto"/>
          </w:tcPr>
          <w:p w14:paraId="4A3B9431" w14:textId="77777777" w:rsidR="00357A0E" w:rsidRPr="00774010" w:rsidRDefault="00357A0E" w:rsidP="00292C86">
            <w:pPr>
              <w:pStyle w:val="Tabletext0"/>
            </w:pPr>
            <w:r w:rsidRPr="00774010">
              <w:t>Immediate action required</w:t>
            </w:r>
          </w:p>
        </w:tc>
      </w:tr>
      <w:tr w:rsidR="00357A0E" w:rsidRPr="00774010" w14:paraId="60531117" w14:textId="77777777" w:rsidTr="004B788D">
        <w:trPr>
          <w:jc w:val="center"/>
        </w:trPr>
        <w:tc>
          <w:tcPr>
            <w:tcW w:w="1254" w:type="pct"/>
            <w:shd w:val="clear" w:color="auto" w:fill="auto"/>
            <w:vAlign w:val="center"/>
          </w:tcPr>
          <w:p w14:paraId="208A74BD" w14:textId="77777777" w:rsidR="00357A0E" w:rsidRPr="00774010" w:rsidRDefault="00357A0E" w:rsidP="00292C86">
            <w:pPr>
              <w:pStyle w:val="Tabletext0"/>
            </w:pPr>
            <w:r w:rsidRPr="00774010">
              <w:t>High risk</w:t>
            </w:r>
          </w:p>
        </w:tc>
        <w:tc>
          <w:tcPr>
            <w:tcW w:w="3746" w:type="pct"/>
            <w:shd w:val="clear" w:color="auto" w:fill="auto"/>
          </w:tcPr>
          <w:p w14:paraId="7AAD2AE2" w14:textId="77777777" w:rsidR="00357A0E" w:rsidRPr="00774010" w:rsidRDefault="00357A0E" w:rsidP="00292C86">
            <w:pPr>
              <w:pStyle w:val="Tabletext0"/>
            </w:pPr>
            <w:r w:rsidRPr="00774010">
              <w:t>Senior management attention needed</w:t>
            </w:r>
          </w:p>
        </w:tc>
      </w:tr>
      <w:tr w:rsidR="00357A0E" w:rsidRPr="00774010" w14:paraId="53D0341C" w14:textId="77777777" w:rsidTr="004B788D">
        <w:trPr>
          <w:jc w:val="center"/>
        </w:trPr>
        <w:tc>
          <w:tcPr>
            <w:tcW w:w="1254" w:type="pct"/>
            <w:shd w:val="clear" w:color="auto" w:fill="auto"/>
            <w:vAlign w:val="center"/>
          </w:tcPr>
          <w:p w14:paraId="6DC39C42" w14:textId="77777777" w:rsidR="00357A0E" w:rsidRPr="00774010" w:rsidRDefault="00357A0E" w:rsidP="00292C86">
            <w:pPr>
              <w:pStyle w:val="Tabletext0"/>
            </w:pPr>
            <w:r w:rsidRPr="00774010">
              <w:t>Moderate risk</w:t>
            </w:r>
          </w:p>
        </w:tc>
        <w:tc>
          <w:tcPr>
            <w:tcW w:w="3746" w:type="pct"/>
            <w:shd w:val="clear" w:color="auto" w:fill="auto"/>
          </w:tcPr>
          <w:p w14:paraId="044E8851" w14:textId="77777777" w:rsidR="00357A0E" w:rsidRPr="00774010" w:rsidRDefault="00357A0E" w:rsidP="00292C86">
            <w:pPr>
              <w:pStyle w:val="Tabletext0"/>
            </w:pPr>
            <w:r w:rsidRPr="00774010">
              <w:t>Investigate cause, mitigation measures and mixing zone considerations</w:t>
            </w:r>
          </w:p>
        </w:tc>
      </w:tr>
      <w:tr w:rsidR="00357A0E" w:rsidRPr="00774010" w14:paraId="7BDAD0FC" w14:textId="77777777" w:rsidTr="004B788D">
        <w:trPr>
          <w:jc w:val="center"/>
        </w:trPr>
        <w:tc>
          <w:tcPr>
            <w:tcW w:w="1254" w:type="pct"/>
            <w:shd w:val="clear" w:color="auto" w:fill="auto"/>
            <w:vAlign w:val="center"/>
          </w:tcPr>
          <w:p w14:paraId="756C0836" w14:textId="77777777" w:rsidR="00357A0E" w:rsidRPr="00774010" w:rsidRDefault="00357A0E" w:rsidP="00292C86">
            <w:pPr>
              <w:pStyle w:val="Tabletext0"/>
            </w:pPr>
            <w:r w:rsidRPr="00774010">
              <w:t>Low risk</w:t>
            </w:r>
          </w:p>
        </w:tc>
        <w:tc>
          <w:tcPr>
            <w:tcW w:w="3746" w:type="pct"/>
            <w:shd w:val="clear" w:color="auto" w:fill="auto"/>
          </w:tcPr>
          <w:p w14:paraId="4C83EAFD" w14:textId="77777777" w:rsidR="00357A0E" w:rsidRPr="00774010" w:rsidRDefault="00357A0E" w:rsidP="00292C86">
            <w:pPr>
              <w:pStyle w:val="Tabletext0"/>
            </w:pPr>
            <w:r w:rsidRPr="00774010">
              <w:t>Monitor and report</w:t>
            </w:r>
          </w:p>
        </w:tc>
      </w:tr>
      <w:tr w:rsidR="00357A0E" w:rsidRPr="00774010" w14:paraId="17E816C5" w14:textId="77777777" w:rsidTr="004B788D">
        <w:trPr>
          <w:jc w:val="center"/>
        </w:trPr>
        <w:tc>
          <w:tcPr>
            <w:tcW w:w="1254" w:type="pct"/>
            <w:shd w:val="clear" w:color="auto" w:fill="auto"/>
            <w:vAlign w:val="center"/>
          </w:tcPr>
          <w:p w14:paraId="14905507" w14:textId="77777777" w:rsidR="00357A0E" w:rsidRPr="00774010" w:rsidRDefault="00357A0E" w:rsidP="00292C86">
            <w:pPr>
              <w:pStyle w:val="Tabletext0"/>
            </w:pPr>
            <w:r w:rsidRPr="00774010">
              <w:t>Negligible risk</w:t>
            </w:r>
          </w:p>
        </w:tc>
        <w:tc>
          <w:tcPr>
            <w:tcW w:w="3746" w:type="pct"/>
            <w:shd w:val="clear" w:color="auto" w:fill="auto"/>
          </w:tcPr>
          <w:p w14:paraId="001A9C3A" w14:textId="77777777" w:rsidR="00357A0E" w:rsidRPr="00774010" w:rsidRDefault="00357A0E" w:rsidP="00292C86">
            <w:pPr>
              <w:pStyle w:val="Tabletext0"/>
            </w:pPr>
            <w:r w:rsidRPr="00774010">
              <w:t>Short justification only</w:t>
            </w:r>
          </w:p>
        </w:tc>
      </w:tr>
    </w:tbl>
    <w:p w14:paraId="31617CFB" w14:textId="06620F5D" w:rsidR="00D27B46" w:rsidRPr="00C01F65" w:rsidRDefault="00D27B46" w:rsidP="00D27B46">
      <w:pPr>
        <w:spacing w:line="259" w:lineRule="auto"/>
        <w:rPr>
          <w:rFonts w:cs="Arial"/>
        </w:rPr>
      </w:pPr>
      <w:r w:rsidRPr="00C01F65">
        <w:rPr>
          <w:rFonts w:cs="Arial"/>
        </w:rPr>
        <w:t>The final risk characterisation and management actions are summarised below</w:t>
      </w:r>
      <w:r w:rsidR="00615730">
        <w:rPr>
          <w:rFonts w:cs="Arial"/>
        </w:rPr>
        <w:t>.</w:t>
      </w:r>
    </w:p>
    <w:p w14:paraId="387A3903" w14:textId="50537316" w:rsidR="00D27B46" w:rsidRPr="00C01F65" w:rsidRDefault="00D27B46" w:rsidP="008D6529">
      <w:pPr>
        <w:keepNext/>
        <w:keepLines/>
        <w:spacing w:line="259" w:lineRule="auto"/>
        <w:rPr>
          <w:rFonts w:cs="Arial"/>
          <w:i/>
        </w:rPr>
      </w:pPr>
      <w:r w:rsidRPr="00C01F65">
        <w:rPr>
          <w:rFonts w:cs="Arial"/>
          <w:i/>
        </w:rPr>
        <w:t>Water dependent ecosystems and species</w:t>
      </w:r>
      <w:r w:rsidR="00615730">
        <w:rPr>
          <w:rFonts w:cs="Arial"/>
          <w:i/>
        </w:rPr>
        <w:t>:</w:t>
      </w:r>
    </w:p>
    <w:p w14:paraId="43EA023B" w14:textId="77777777" w:rsidR="00D27B46" w:rsidRPr="00C01F65" w:rsidRDefault="00D27B46" w:rsidP="003E2AB1">
      <w:pPr>
        <w:pStyle w:val="ListBullet"/>
      </w:pPr>
      <w:r w:rsidRPr="00C01F65">
        <w:t>Risk: low</w:t>
      </w:r>
      <w:r>
        <w:t>.</w:t>
      </w:r>
    </w:p>
    <w:p w14:paraId="25DDC7D4" w14:textId="66E384DA" w:rsidR="004E0E1D" w:rsidRPr="00F21050" w:rsidRDefault="00D27B46" w:rsidP="003E2AB1">
      <w:pPr>
        <w:pStyle w:val="ListBullet"/>
      </w:pPr>
      <w:r w:rsidRPr="00C01F65">
        <w:t>Management action: continue monitoring the marine ecosystem and effluent toxicity testing.</w:t>
      </w:r>
    </w:p>
    <w:p w14:paraId="479C760F" w14:textId="6E525E3F" w:rsidR="00D27B46" w:rsidRPr="00C01F65" w:rsidRDefault="00D27B46" w:rsidP="00D27B46">
      <w:pPr>
        <w:spacing w:line="259" w:lineRule="auto"/>
        <w:rPr>
          <w:rFonts w:cs="Arial"/>
          <w:i/>
        </w:rPr>
      </w:pPr>
      <w:r w:rsidRPr="00C01F65">
        <w:rPr>
          <w:rFonts w:cs="Arial"/>
          <w:i/>
        </w:rPr>
        <w:t>Water-based recreation (aesthetic enjoyment)</w:t>
      </w:r>
      <w:r w:rsidR="00615730">
        <w:rPr>
          <w:rFonts w:cs="Arial"/>
          <w:i/>
        </w:rPr>
        <w:t>:</w:t>
      </w:r>
    </w:p>
    <w:p w14:paraId="586A017A" w14:textId="77777777" w:rsidR="00D27B46" w:rsidRPr="00C01F65" w:rsidRDefault="00D27B46" w:rsidP="003E2AB1">
      <w:pPr>
        <w:pStyle w:val="ListBullet"/>
      </w:pPr>
      <w:r w:rsidRPr="00C01F65">
        <w:t>Risk: negligible</w:t>
      </w:r>
      <w:r>
        <w:t>.</w:t>
      </w:r>
    </w:p>
    <w:p w14:paraId="0437991C" w14:textId="5FBA9C57" w:rsidR="00D27B46" w:rsidRPr="00F21050" w:rsidRDefault="00D27B46" w:rsidP="003E2AB1">
      <w:pPr>
        <w:pStyle w:val="ListBullet"/>
      </w:pPr>
      <w:r w:rsidRPr="00C01F65">
        <w:t>Management action: continue monitoring aesthetic indicators at high value beaches.</w:t>
      </w:r>
    </w:p>
    <w:p w14:paraId="66B25796" w14:textId="7A03B000" w:rsidR="009D507B" w:rsidRPr="00C01F65" w:rsidRDefault="00D27B46" w:rsidP="009D507B">
      <w:pPr>
        <w:spacing w:line="259" w:lineRule="auto"/>
        <w:rPr>
          <w:rFonts w:cs="Arial"/>
        </w:rPr>
      </w:pPr>
      <w:r w:rsidRPr="00C01F65">
        <w:rPr>
          <w:rFonts w:cs="Arial"/>
        </w:rPr>
        <w:t>A further management action being implemented by Barwon Water for all environmental values is an investigation of the mixing zone using water quality or dye indicators to confirm dilution</w:t>
      </w:r>
      <w:r w:rsidR="009D507B" w:rsidRPr="009D507B">
        <w:rPr>
          <w:rFonts w:cs="Arial"/>
        </w:rPr>
        <w:t xml:space="preserve"> </w:t>
      </w:r>
      <w:r w:rsidR="009D507B" w:rsidRPr="00C01F65">
        <w:rPr>
          <w:rFonts w:cs="Arial"/>
        </w:rPr>
        <w:t>gradients and dispersion pathways. Barwon Water has previously conducted a number of dilution/dispersion investigations in the mixing zone</w:t>
      </w:r>
    </w:p>
    <w:p w14:paraId="6E2EF8F1" w14:textId="0A817BA8" w:rsidR="009D507B" w:rsidRDefault="009D507B" w:rsidP="009D507B">
      <w:pPr>
        <w:spacing w:line="259" w:lineRule="auto"/>
        <w:rPr>
          <w:rFonts w:cs="Arial"/>
        </w:rPr>
      </w:pPr>
      <w:r w:rsidRPr="00C01F65">
        <w:rPr>
          <w:rFonts w:cs="Arial"/>
        </w:rPr>
        <w:t xml:space="preserve">The risk assessment was extensively documented in a risk characterisation report. This report includes a detailed presentation of background material, information and monitoring data, </w:t>
      </w:r>
      <w:r w:rsidRPr="00C01F65">
        <w:rPr>
          <w:rFonts w:cs="Arial"/>
        </w:rPr>
        <w:lastRenderedPageBreak/>
        <w:t>analysis methods and results, the assumptions made throughout the risk assessment, the results of the risk posed to the environmental values and management actions for these.</w:t>
      </w:r>
    </w:p>
    <w:p w14:paraId="49F09867" w14:textId="1DA0B6A9" w:rsidR="00EF387C" w:rsidRPr="00DA5551" w:rsidRDefault="397B8315" w:rsidP="00F46C15">
      <w:pPr>
        <w:pStyle w:val="AppendixA1"/>
      </w:pPr>
      <w:bookmarkStart w:id="119" w:name="_Toc51929033"/>
      <w:bookmarkStart w:id="120" w:name="_Toc87369294"/>
      <w:bookmarkStart w:id="121" w:name="_Toc133938161"/>
      <w:r w:rsidRPr="3FD28289">
        <w:t>Goulburn Valley Water – Shepparton, Alexandra and Eildon treatment plants</w:t>
      </w:r>
      <w:bookmarkEnd w:id="119"/>
      <w:bookmarkEnd w:id="120"/>
      <w:bookmarkEnd w:id="121"/>
    </w:p>
    <w:p w14:paraId="2E1379B1" w14:textId="77777777" w:rsidR="00EF387C" w:rsidRPr="00C01F65" w:rsidRDefault="00EF387C" w:rsidP="00EF387C">
      <w:pPr>
        <w:spacing w:line="259" w:lineRule="auto"/>
        <w:rPr>
          <w:rFonts w:cs="Arial"/>
        </w:rPr>
      </w:pPr>
      <w:r w:rsidRPr="00C01F65">
        <w:rPr>
          <w:rFonts w:cs="Arial"/>
        </w:rPr>
        <w:t>Goulburn Valley Water (GV</w:t>
      </w:r>
      <w:r>
        <w:rPr>
          <w:rFonts w:cs="Arial"/>
        </w:rPr>
        <w:t xml:space="preserve"> </w:t>
      </w:r>
      <w:r w:rsidRPr="00C01F65">
        <w:rPr>
          <w:rFonts w:cs="Arial"/>
        </w:rPr>
        <w:t>W</w:t>
      </w:r>
      <w:r>
        <w:rPr>
          <w:rFonts w:cs="Arial"/>
        </w:rPr>
        <w:t>ater</w:t>
      </w:r>
      <w:r w:rsidRPr="00C01F65">
        <w:rPr>
          <w:rFonts w:cs="Arial"/>
        </w:rPr>
        <w:t>) manage three wastewater treatment plants (WWTPs) in north</w:t>
      </w:r>
      <w:r>
        <w:rPr>
          <w:rFonts w:cs="Arial"/>
        </w:rPr>
        <w:t>-</w:t>
      </w:r>
      <w:r w:rsidRPr="00C01F65">
        <w:rPr>
          <w:rFonts w:cs="Arial"/>
        </w:rPr>
        <w:t xml:space="preserve">eastern Victoria. The WWTPs are at Shepparton, Alexandra and Eildon. </w:t>
      </w:r>
    </w:p>
    <w:p w14:paraId="2208FCBD" w14:textId="6F975F11" w:rsidR="00EF387C" w:rsidRPr="00C01F65" w:rsidRDefault="00EF387C" w:rsidP="00EF387C">
      <w:pPr>
        <w:spacing w:line="259" w:lineRule="auto"/>
        <w:rPr>
          <w:rFonts w:cs="Arial"/>
        </w:rPr>
      </w:pPr>
      <w:r w:rsidRPr="10077A7C">
        <w:rPr>
          <w:rFonts w:cs="Arial"/>
        </w:rPr>
        <w:t>The Shepparton WWTP treats domestic and trade waste from Shepparton. The trade waste is from food processing industries, with no heavy industrial inputs. About 60% of the treated water is recycled and used for irrigated agricultural production. The remaining treated water, about 3,000</w:t>
      </w:r>
      <w:r w:rsidR="00E76BC5" w:rsidRPr="10077A7C">
        <w:rPr>
          <w:rFonts w:cs="Arial"/>
        </w:rPr>
        <w:t xml:space="preserve"> </w:t>
      </w:r>
      <w:r w:rsidRPr="10077A7C">
        <w:rPr>
          <w:rFonts w:cs="Arial"/>
        </w:rPr>
        <w:t xml:space="preserve">ML per year, is discharged to the Goulburn River downstream of Shepparton between late autumn and early spring. The plant treatment process includes pre-treatment that involves screening and then a </w:t>
      </w:r>
      <w:bookmarkStart w:id="122" w:name="_Int_IWWklyqK"/>
      <w:r w:rsidRPr="10077A7C">
        <w:rPr>
          <w:rFonts w:cs="Arial"/>
        </w:rPr>
        <w:t>High Rate</w:t>
      </w:r>
      <w:bookmarkEnd w:id="122"/>
      <w:r w:rsidRPr="10077A7C">
        <w:rPr>
          <w:rFonts w:cs="Arial"/>
        </w:rPr>
        <w:t xml:space="preserve"> Anaerobic Lagoon process, followed by tertiary treatment involving phosphorus removal. </w:t>
      </w:r>
    </w:p>
    <w:p w14:paraId="730D6B4F" w14:textId="33E37D9A" w:rsidR="00EF387C" w:rsidRPr="00C01F65" w:rsidRDefault="00EF387C" w:rsidP="00EF387C">
      <w:pPr>
        <w:spacing w:line="259" w:lineRule="auto"/>
        <w:rPr>
          <w:rFonts w:cs="Arial"/>
        </w:rPr>
      </w:pPr>
      <w:r w:rsidRPr="00C01F65">
        <w:rPr>
          <w:rFonts w:cs="Arial"/>
        </w:rPr>
        <w:t>The Alexandra WWTP mainly treats domestic waste and has minor trade waste inputs from retail enterprises. About 50</w:t>
      </w:r>
      <w:r>
        <w:rPr>
          <w:rFonts w:cs="Arial"/>
        </w:rPr>
        <w:t>%</w:t>
      </w:r>
      <w:r w:rsidRPr="00C01F65">
        <w:rPr>
          <w:rFonts w:cs="Arial"/>
        </w:rPr>
        <w:t xml:space="preserve"> of the treated water is recycled and used for irrigated agricultural production. The remaining treated water, about 180</w:t>
      </w:r>
      <w:r w:rsidR="0049565E">
        <w:rPr>
          <w:rFonts w:cs="Arial"/>
        </w:rPr>
        <w:t xml:space="preserve"> </w:t>
      </w:r>
      <w:r w:rsidRPr="00C01F65">
        <w:rPr>
          <w:rFonts w:cs="Arial"/>
        </w:rPr>
        <w:t>ML per year, is discharged to the Goulburn River downstream of Alexandra between late autumn and early spring. The plant treatment process includes coarse manual screening, aerated lagoons, winter storage, chemically assisted clarification and rapid sand filtration plant.</w:t>
      </w:r>
    </w:p>
    <w:p w14:paraId="34DA782B" w14:textId="7AF6970E" w:rsidR="00EF387C" w:rsidRPr="00C01F65" w:rsidRDefault="00EF387C" w:rsidP="00EF387C">
      <w:pPr>
        <w:spacing w:line="259" w:lineRule="auto"/>
        <w:rPr>
          <w:rFonts w:cs="Arial"/>
        </w:rPr>
      </w:pPr>
      <w:r w:rsidRPr="00C01F65">
        <w:rPr>
          <w:rFonts w:cs="Arial"/>
        </w:rPr>
        <w:t>The Eildon WWTP mainly treats domestic waste and has minor trade waste inputs from retail enterprises. It discharges about 116</w:t>
      </w:r>
      <w:r w:rsidR="00E76BC5">
        <w:rPr>
          <w:rFonts w:cs="Arial"/>
        </w:rPr>
        <w:t xml:space="preserve"> </w:t>
      </w:r>
      <w:r w:rsidRPr="00C01F65">
        <w:rPr>
          <w:rFonts w:cs="Arial"/>
        </w:rPr>
        <w:t xml:space="preserve">ML per year to the Goulburn River downstream of Eildon. The discharge is continual throughout the year. The plant treatment process includes screening and grit removal, primary sedimentation, trickling filter, humus tank, lagoon detention, and </w:t>
      </w:r>
      <w:r w:rsidRPr="00C01F65">
        <w:rPr>
          <w:rFonts w:cs="Arial"/>
          <w:color w:val="000000"/>
        </w:rPr>
        <w:t>Dissolved Air Flotation and Filtration (</w:t>
      </w:r>
      <w:r w:rsidRPr="00C01F65">
        <w:rPr>
          <w:rFonts w:cs="Arial"/>
        </w:rPr>
        <w:t xml:space="preserve">DAFF) tertiary treatment. </w:t>
      </w:r>
    </w:p>
    <w:p w14:paraId="688078E2" w14:textId="723C6A97" w:rsidR="003628C4" w:rsidRPr="00E76BC5" w:rsidRDefault="003628C4" w:rsidP="00AA7232">
      <w:pPr>
        <w:pStyle w:val="Heading4"/>
        <w:rPr>
          <w:rFonts w:cs="Arial"/>
        </w:rPr>
      </w:pPr>
      <w:r w:rsidRPr="00E76BC5">
        <w:t>Problem formulation</w:t>
      </w:r>
    </w:p>
    <w:p w14:paraId="469CE70C" w14:textId="77777777" w:rsidR="00615730" w:rsidRDefault="004C6C62" w:rsidP="00615730">
      <w:pPr>
        <w:spacing w:line="259" w:lineRule="auto"/>
      </w:pPr>
      <w:r w:rsidRPr="00C01F65">
        <w:t xml:space="preserve">The focus of the risk assessment was to investigate the potential risks posed by the Shepparton, Alexandra and Eildon discharges to the environmental values of the Goulburn River. This also </w:t>
      </w:r>
      <w:r w:rsidR="00EF387C" w:rsidRPr="00C01F65">
        <w:t xml:space="preserve">included assessing the extent of </w:t>
      </w:r>
    </w:p>
    <w:p w14:paraId="5C034B0B" w14:textId="1731C502" w:rsidR="00EF387C" w:rsidRPr="00C01F65" w:rsidRDefault="00EF387C" w:rsidP="00615730">
      <w:pPr>
        <w:spacing w:line="259" w:lineRule="auto"/>
      </w:pPr>
      <w:r w:rsidRPr="00C01F65">
        <w:t>the mixing zones for all three WWTP discharges. GV</w:t>
      </w:r>
      <w:r>
        <w:t xml:space="preserve"> </w:t>
      </w:r>
      <w:r w:rsidRPr="00C01F65">
        <w:t>W</w:t>
      </w:r>
      <w:r>
        <w:t>ater</w:t>
      </w:r>
      <w:r w:rsidRPr="00C01F65">
        <w:t xml:space="preserve">’s key management goals in conducting the risk assessment were to: </w:t>
      </w:r>
    </w:p>
    <w:p w14:paraId="3C369BC3" w14:textId="77777777" w:rsidR="00EF387C" w:rsidRPr="00C01F65" w:rsidRDefault="00EF387C" w:rsidP="003E2AB1">
      <w:pPr>
        <w:pStyle w:val="ListBullet"/>
      </w:pPr>
      <w:r w:rsidRPr="00C01F65">
        <w:t>determine the mixing zones and level of impact to environmental values for each of the WWTPs</w:t>
      </w:r>
    </w:p>
    <w:p w14:paraId="1602644E" w14:textId="77777777" w:rsidR="00EF387C" w:rsidRPr="00C01F65" w:rsidRDefault="00EF387C" w:rsidP="003E2AB1">
      <w:pPr>
        <w:pStyle w:val="ListBullet"/>
      </w:pPr>
      <w:r w:rsidRPr="00C01F65">
        <w:t>protect the environmental values outside the mixing zones</w:t>
      </w:r>
    </w:p>
    <w:p w14:paraId="74CEBD5A" w14:textId="77777777" w:rsidR="00EF387C" w:rsidRPr="00C01F65" w:rsidRDefault="00EF387C" w:rsidP="003E2AB1">
      <w:pPr>
        <w:pStyle w:val="ListBullet"/>
      </w:pPr>
      <w:r w:rsidRPr="00C01F65">
        <w:t>develop appropriate monitoring programs</w:t>
      </w:r>
    </w:p>
    <w:p w14:paraId="3A432EAA" w14:textId="77777777" w:rsidR="00EF387C" w:rsidRPr="00C01F65" w:rsidRDefault="00EF387C" w:rsidP="003E2AB1">
      <w:pPr>
        <w:pStyle w:val="ListBullet"/>
      </w:pPr>
      <w:r w:rsidRPr="00C01F65">
        <w:t>support decision-making on where to invest resources for the most desirable environmental, economic and social outcomes</w:t>
      </w:r>
    </w:p>
    <w:p w14:paraId="23550ABC" w14:textId="627AC34E" w:rsidR="009F7143" w:rsidRDefault="00EF387C" w:rsidP="003E2AB1">
      <w:pPr>
        <w:pStyle w:val="ListBullet"/>
      </w:pPr>
      <w:r w:rsidRPr="00C01F65">
        <w:t>ensure continuous improvement in management of WWTP facilities.</w:t>
      </w:r>
    </w:p>
    <w:p w14:paraId="098E635E" w14:textId="180F7918" w:rsidR="00B91A14" w:rsidRPr="00C01F65" w:rsidRDefault="00B91A14" w:rsidP="00B91A14">
      <w:pPr>
        <w:spacing w:line="259" w:lineRule="auto"/>
      </w:pPr>
      <w:r w:rsidRPr="00C01F65">
        <w:lastRenderedPageBreak/>
        <w:t>GV</w:t>
      </w:r>
      <w:r>
        <w:t xml:space="preserve"> </w:t>
      </w:r>
      <w:r w:rsidRPr="00C01F65">
        <w:t>W</w:t>
      </w:r>
      <w:r>
        <w:t>ater</w:t>
      </w:r>
      <w:r w:rsidRPr="00C01F65">
        <w:t xml:space="preserve"> held a problem formulation stakeholder workshop in August 2008. The workshop involved a wide range of stakeholders including representatives from GV</w:t>
      </w:r>
      <w:r>
        <w:t xml:space="preserve"> </w:t>
      </w:r>
      <w:r w:rsidRPr="00C01F65">
        <w:t>W</w:t>
      </w:r>
      <w:r>
        <w:t>ater</w:t>
      </w:r>
      <w:r w:rsidRPr="00C01F65">
        <w:t>, the appointed consulting firm, EPA Victoria, Department of Sustainability and Environment (Water and Sustainability group), Goulburn Broken C</w:t>
      </w:r>
      <w:r w:rsidR="008628CE">
        <w:t xml:space="preserve">atchment Management </w:t>
      </w:r>
      <w:r w:rsidRPr="00C01F65">
        <w:t>A</w:t>
      </w:r>
      <w:r w:rsidR="008628CE">
        <w:t>uthority (CMA)</w:t>
      </w:r>
      <w:r w:rsidRPr="00C01F65">
        <w:t xml:space="preserve"> and the Shepparton and Murrindindi Councils. Prior to the workshop, GV</w:t>
      </w:r>
      <w:r>
        <w:t xml:space="preserve"> </w:t>
      </w:r>
      <w:r w:rsidRPr="00C01F65">
        <w:t>W</w:t>
      </w:r>
      <w:r>
        <w:t>ater</w:t>
      </w:r>
      <w:r w:rsidRPr="00C01F65">
        <w:t xml:space="preserve"> and their consultant compiled and summarised all available information and data on the discharge effluents and receiving waters. This was made available to participants at the workshop.</w:t>
      </w:r>
    </w:p>
    <w:p w14:paraId="6A818CD4" w14:textId="77777777" w:rsidR="00B91A14" w:rsidRPr="00C01F65" w:rsidRDefault="00B91A14" w:rsidP="00B91A14">
      <w:pPr>
        <w:spacing w:line="259" w:lineRule="auto"/>
      </w:pPr>
      <w:r w:rsidRPr="00C01F65">
        <w:t>At the problem formulation workshop</w:t>
      </w:r>
      <w:r>
        <w:t>,</w:t>
      </w:r>
      <w:r w:rsidRPr="00C01F65">
        <w:t xml:space="preserve"> stakeholders and experts:</w:t>
      </w:r>
    </w:p>
    <w:p w14:paraId="56C97D1A" w14:textId="5E2EDF9C" w:rsidR="00B91A14" w:rsidRPr="00C01F65" w:rsidRDefault="00B91A14" w:rsidP="003E2AB1">
      <w:pPr>
        <w:pStyle w:val="ListBullet"/>
      </w:pPr>
      <w:r w:rsidRPr="00C01F65">
        <w:t>identified the environmental values to be protected for each site based on existing regional strategies and local/expert knowledge (</w:t>
      </w:r>
      <w:r w:rsidR="009575B6" w:rsidRPr="009575B6">
        <w:fldChar w:fldCharType="begin"/>
      </w:r>
      <w:r w:rsidR="009575B6" w:rsidRPr="009575B6">
        <w:instrText xml:space="preserve"> REF _Ref88223290 \h  \* MERGEFORMAT </w:instrText>
      </w:r>
      <w:r w:rsidR="009575B6" w:rsidRPr="009575B6">
        <w:fldChar w:fldCharType="separate"/>
      </w:r>
      <w:r w:rsidR="00FD64B0" w:rsidRPr="00FD64B0">
        <w:rPr>
          <w:rFonts w:asciiTheme="majorHAnsi" w:hAnsiTheme="majorHAnsi"/>
        </w:rPr>
        <w:t>Table B7</w:t>
      </w:r>
      <w:r w:rsidR="009575B6" w:rsidRPr="009575B6">
        <w:fldChar w:fldCharType="end"/>
      </w:r>
      <w:r w:rsidRPr="00C01F65">
        <w:t>)</w:t>
      </w:r>
    </w:p>
    <w:p w14:paraId="0AD13660" w14:textId="0DF49743" w:rsidR="00B91A14" w:rsidRPr="00C01F65" w:rsidRDefault="00B91A14" w:rsidP="003E2AB1">
      <w:pPr>
        <w:pStyle w:val="ListBullet"/>
      </w:pPr>
      <w:r w:rsidRPr="00C01F65">
        <w:t xml:space="preserve">identified the potential </w:t>
      </w:r>
      <w:r w:rsidR="007372BA">
        <w:t>hazard</w:t>
      </w:r>
      <w:r w:rsidRPr="00C01F65">
        <w:t>s from the discharges and potential environmental effects from these (</w:t>
      </w:r>
      <w:r w:rsidR="00F90281">
        <w:fldChar w:fldCharType="begin"/>
      </w:r>
      <w:r w:rsidR="00F90281">
        <w:instrText xml:space="preserve"> REF _Ref88223315 \h </w:instrText>
      </w:r>
      <w:r w:rsidR="00F90281">
        <w:fldChar w:fldCharType="separate"/>
      </w:r>
      <w:r w:rsidR="00FD64B0" w:rsidRPr="007132FA">
        <w:t>Table B</w:t>
      </w:r>
      <w:r w:rsidR="00FD64B0">
        <w:rPr>
          <w:noProof/>
        </w:rPr>
        <w:t>8</w:t>
      </w:r>
      <w:r w:rsidR="00F90281">
        <w:fldChar w:fldCharType="end"/>
      </w:r>
      <w:r w:rsidR="00F90281">
        <w:t xml:space="preserve"> and </w:t>
      </w:r>
      <w:r w:rsidR="00F90281">
        <w:fldChar w:fldCharType="begin"/>
      </w:r>
      <w:r w:rsidR="00F90281">
        <w:instrText xml:space="preserve"> REF _Ref88223327 \h </w:instrText>
      </w:r>
      <w:r w:rsidR="00F90281">
        <w:fldChar w:fldCharType="separate"/>
      </w:r>
      <w:r w:rsidR="00FD64B0" w:rsidRPr="00253D8D">
        <w:t>Table B</w:t>
      </w:r>
      <w:r w:rsidR="00FD64B0">
        <w:rPr>
          <w:noProof/>
        </w:rPr>
        <w:t>9</w:t>
      </w:r>
      <w:r w:rsidR="00F90281">
        <w:fldChar w:fldCharType="end"/>
      </w:r>
      <w:r w:rsidR="00F44FA9">
        <w:t>)</w:t>
      </w:r>
    </w:p>
    <w:p w14:paraId="531C32D5" w14:textId="4A8FC955" w:rsidR="00B91A14" w:rsidRDefault="00B91A14" w:rsidP="003E2AB1">
      <w:pPr>
        <w:pStyle w:val="ListBullet"/>
      </w:pPr>
      <w:r>
        <w:t xml:space="preserve">developed conceptual models showing the key interactions between </w:t>
      </w:r>
      <w:bookmarkStart w:id="123" w:name="_Int_f5cO7XvR"/>
      <w:r>
        <w:t>the environmental</w:t>
      </w:r>
      <w:bookmarkEnd w:id="123"/>
      <w:r>
        <w:t xml:space="preserve"> values and </w:t>
      </w:r>
      <w:r w:rsidR="007372BA">
        <w:t>hazard</w:t>
      </w:r>
      <w:r>
        <w:t xml:space="preserve">s to be investigated in </w:t>
      </w:r>
      <w:bookmarkStart w:id="124" w:name="_Int_9RvmEjRi"/>
      <w:r>
        <w:t>the risk</w:t>
      </w:r>
      <w:bookmarkEnd w:id="124"/>
      <w:r>
        <w:t xml:space="preserve"> analysis. Conceptual models are presented in this</w:t>
      </w:r>
      <w:r w:rsidR="009575B6">
        <w:t xml:space="preserve"> </w:t>
      </w:r>
      <w:r>
        <w:t>guidance for biodiversity (</w:t>
      </w:r>
      <w:r w:rsidR="00F90281">
        <w:fldChar w:fldCharType="begin"/>
      </w:r>
      <w:r w:rsidR="00F90281">
        <w:instrText xml:space="preserve"> REF _Ref132747929 \h </w:instrText>
      </w:r>
      <w:r w:rsidR="00F90281">
        <w:fldChar w:fldCharType="separate"/>
      </w:r>
      <w:r w:rsidR="00FD64B0">
        <w:t>Figure B</w:t>
      </w:r>
      <w:r w:rsidR="00FD64B0">
        <w:rPr>
          <w:noProof/>
        </w:rPr>
        <w:t>3</w:t>
      </w:r>
      <w:r w:rsidR="00F90281">
        <w:fldChar w:fldCharType="end"/>
      </w:r>
      <w:r>
        <w:t>), recreational values (</w:t>
      </w:r>
      <w:r w:rsidR="00F90281">
        <w:fldChar w:fldCharType="begin"/>
      </w:r>
      <w:r w:rsidR="00F90281">
        <w:instrText xml:space="preserve"> REF _Ref132747915 \h </w:instrText>
      </w:r>
      <w:r w:rsidR="00F90281">
        <w:fldChar w:fldCharType="separate"/>
      </w:r>
      <w:r w:rsidR="00FD64B0">
        <w:t>Figure B</w:t>
      </w:r>
      <w:r w:rsidR="00FD64B0">
        <w:rPr>
          <w:noProof/>
        </w:rPr>
        <w:t>4</w:t>
      </w:r>
      <w:r w:rsidR="00F90281">
        <w:fldChar w:fldCharType="end"/>
      </w:r>
      <w:r>
        <w:t>), heritage values (</w:t>
      </w:r>
      <w:r w:rsidR="00F90281">
        <w:fldChar w:fldCharType="begin"/>
      </w:r>
      <w:r w:rsidR="00F90281">
        <w:instrText xml:space="preserve"> REF _Ref132747901 \h </w:instrText>
      </w:r>
      <w:r w:rsidR="00F90281">
        <w:fldChar w:fldCharType="separate"/>
      </w:r>
      <w:r w:rsidR="00FD64B0">
        <w:t>Figure B</w:t>
      </w:r>
      <w:r w:rsidR="00FD64B0">
        <w:rPr>
          <w:noProof/>
        </w:rPr>
        <w:t>5</w:t>
      </w:r>
      <w:r w:rsidR="00F90281">
        <w:fldChar w:fldCharType="end"/>
      </w:r>
      <w:r>
        <w:t xml:space="preserve">) </w:t>
      </w:r>
      <w:bookmarkStart w:id="125" w:name="_Int_ByZe7pCk"/>
      <w:r>
        <w:t>and</w:t>
      </w:r>
      <w:bookmarkEnd w:id="125"/>
      <w:r>
        <w:t xml:space="preserve"> economic values (</w:t>
      </w:r>
      <w:r w:rsidR="00F90281">
        <w:fldChar w:fldCharType="begin"/>
      </w:r>
      <w:r w:rsidR="00F90281">
        <w:instrText xml:space="preserve"> REF _Ref132747888 \h </w:instrText>
      </w:r>
      <w:r w:rsidR="00F90281">
        <w:fldChar w:fldCharType="separate"/>
      </w:r>
      <w:r w:rsidR="00FD64B0">
        <w:t>Figure B</w:t>
      </w:r>
      <w:r w:rsidR="00FD64B0">
        <w:rPr>
          <w:noProof/>
        </w:rPr>
        <w:t>6</w:t>
      </w:r>
      <w:r w:rsidR="00F90281">
        <w:fldChar w:fldCharType="end"/>
      </w:r>
      <w:r>
        <w:t>)</w:t>
      </w:r>
      <w:r w:rsidR="00791DF8">
        <w:t>.</w:t>
      </w:r>
    </w:p>
    <w:p w14:paraId="254EED8B" w14:textId="77777777" w:rsidR="003E2AB1" w:rsidRDefault="00B91A14" w:rsidP="003E2AB1">
      <w:pPr>
        <w:pStyle w:val="ListBullet"/>
      </w:pPr>
      <w:r w:rsidRPr="00C01F65">
        <w:t>determined the mixing zone for the Shepparton wastewater discharge using available data on the Goulburn River receiving waters.</w:t>
      </w:r>
    </w:p>
    <w:p w14:paraId="194FD9A5" w14:textId="703B12D8" w:rsidR="00DA7DB5" w:rsidRPr="00DA7DB5" w:rsidRDefault="00B91A14" w:rsidP="003E2AB1">
      <w:r w:rsidRPr="00C01F65">
        <w:t xml:space="preserve"> </w:t>
      </w:r>
      <w:r w:rsidR="009F7143">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1909"/>
        <w:gridCol w:w="1909"/>
        <w:gridCol w:w="1899"/>
      </w:tblGrid>
      <w:tr w:rsidR="00DA7DB5" w:rsidRPr="00DA7DB5" w14:paraId="1799E1C2" w14:textId="77777777" w:rsidTr="073E3263">
        <w:trPr>
          <w:trHeight w:val="284"/>
        </w:trPr>
        <w:tc>
          <w:tcPr>
            <w:tcW w:w="5000" w:type="pct"/>
            <w:gridSpan w:val="4"/>
            <w:tcBorders>
              <w:top w:val="nil"/>
              <w:left w:val="nil"/>
              <w:bottom w:val="single" w:sz="4" w:space="0" w:color="auto"/>
              <w:right w:val="nil"/>
            </w:tcBorders>
            <w:shd w:val="clear" w:color="auto" w:fill="auto"/>
            <w:vAlign w:val="center"/>
          </w:tcPr>
          <w:p w14:paraId="47E78303" w14:textId="36B2C557" w:rsidR="00DA7DB5" w:rsidRPr="00DA7DB5" w:rsidRDefault="00DA7DB5" w:rsidP="00A4665C">
            <w:pPr>
              <w:pStyle w:val="Caption"/>
            </w:pPr>
            <w:bookmarkStart w:id="126" w:name="_Ref88223290"/>
            <w:r w:rsidRPr="00DA7DB5">
              <w:lastRenderedPageBreak/>
              <w:t>Table B</w:t>
            </w:r>
            <w:fldSimple w:instr=" SEQ Table_B \* ARABIC ">
              <w:r w:rsidR="00FD64B0">
                <w:rPr>
                  <w:noProof/>
                </w:rPr>
                <w:t>7</w:t>
              </w:r>
            </w:fldSimple>
            <w:bookmarkEnd w:id="126"/>
            <w:r w:rsidR="009575B6">
              <w:t xml:space="preserve"> </w:t>
            </w:r>
            <w:r w:rsidR="009575B6" w:rsidRPr="00841850">
              <w:rPr>
                <w:rFonts w:cs="Arial"/>
              </w:rPr>
              <w:t>–</w:t>
            </w:r>
            <w:r w:rsidRPr="00DA7DB5">
              <w:t xml:space="preserve"> Environmental values of the Goulburn River identified by stakeholders</w:t>
            </w:r>
          </w:p>
        </w:tc>
      </w:tr>
      <w:tr w:rsidR="00DA7DB5" w:rsidRPr="00DA7DB5" w14:paraId="3D60692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003F72"/>
            <w:vAlign w:val="center"/>
          </w:tcPr>
          <w:p w14:paraId="275D5214" w14:textId="77777777" w:rsidR="00DA7DB5" w:rsidRPr="00DA7DB5" w:rsidRDefault="00DA7DB5" w:rsidP="00222236">
            <w:pPr>
              <w:pStyle w:val="Tabletext0"/>
              <w:spacing w:after="0"/>
            </w:pPr>
            <w:r w:rsidRPr="00DA7DB5">
              <w:t>Environmental value</w:t>
            </w:r>
          </w:p>
        </w:tc>
        <w:tc>
          <w:tcPr>
            <w:tcW w:w="938" w:type="pct"/>
            <w:tcBorders>
              <w:top w:val="single" w:sz="4" w:space="0" w:color="auto"/>
              <w:left w:val="single" w:sz="4" w:space="0" w:color="auto"/>
              <w:bottom w:val="single" w:sz="4" w:space="0" w:color="auto"/>
              <w:right w:val="single" w:sz="4" w:space="0" w:color="auto"/>
            </w:tcBorders>
            <w:shd w:val="clear" w:color="auto" w:fill="003F72"/>
            <w:vAlign w:val="center"/>
          </w:tcPr>
          <w:p w14:paraId="42229984" w14:textId="77777777" w:rsidR="00DA7DB5" w:rsidRPr="00DA7DB5" w:rsidRDefault="00DA7DB5" w:rsidP="00222236">
            <w:pPr>
              <w:pStyle w:val="Tabletext0"/>
              <w:spacing w:after="0"/>
            </w:pPr>
            <w:r w:rsidRPr="00DA7DB5">
              <w:t>Shepparton</w:t>
            </w:r>
          </w:p>
        </w:tc>
        <w:tc>
          <w:tcPr>
            <w:tcW w:w="938" w:type="pct"/>
            <w:tcBorders>
              <w:top w:val="single" w:sz="4" w:space="0" w:color="auto"/>
              <w:left w:val="single" w:sz="4" w:space="0" w:color="auto"/>
              <w:bottom w:val="single" w:sz="4" w:space="0" w:color="auto"/>
              <w:right w:val="single" w:sz="4" w:space="0" w:color="auto"/>
            </w:tcBorders>
            <w:shd w:val="clear" w:color="auto" w:fill="003F72"/>
            <w:vAlign w:val="center"/>
          </w:tcPr>
          <w:p w14:paraId="44682509" w14:textId="77777777" w:rsidR="00DA7DB5" w:rsidRPr="00DA7DB5" w:rsidRDefault="00DA7DB5" w:rsidP="00222236">
            <w:pPr>
              <w:pStyle w:val="Tabletext0"/>
              <w:spacing w:after="0"/>
            </w:pPr>
            <w:r w:rsidRPr="00DA7DB5">
              <w:t>Alexandra</w:t>
            </w:r>
          </w:p>
        </w:tc>
        <w:tc>
          <w:tcPr>
            <w:tcW w:w="934" w:type="pct"/>
            <w:tcBorders>
              <w:top w:val="single" w:sz="4" w:space="0" w:color="auto"/>
              <w:left w:val="single" w:sz="4" w:space="0" w:color="auto"/>
              <w:bottom w:val="single" w:sz="4" w:space="0" w:color="auto"/>
              <w:right w:val="single" w:sz="4" w:space="0" w:color="auto"/>
            </w:tcBorders>
            <w:shd w:val="clear" w:color="auto" w:fill="003F72"/>
            <w:vAlign w:val="center"/>
          </w:tcPr>
          <w:p w14:paraId="6A619A11" w14:textId="77777777" w:rsidR="00DA7DB5" w:rsidRPr="00DA7DB5" w:rsidRDefault="00DA7DB5" w:rsidP="00222236">
            <w:pPr>
              <w:pStyle w:val="Tabletext0"/>
              <w:spacing w:after="0"/>
            </w:pPr>
            <w:r w:rsidRPr="00DA7DB5">
              <w:t>Eildon</w:t>
            </w:r>
          </w:p>
        </w:tc>
      </w:tr>
      <w:tr w:rsidR="00DA7DB5" w:rsidRPr="00DA7DB5" w14:paraId="0B6D54FB"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AFA583" w14:textId="77777777" w:rsidR="00DA7DB5" w:rsidRPr="00DA7DB5" w:rsidRDefault="00DA7DB5" w:rsidP="00222236">
            <w:pPr>
              <w:pStyle w:val="Tabletext0"/>
              <w:spacing w:after="0"/>
            </w:pPr>
            <w:r w:rsidRPr="00DA7DB5">
              <w:t>Biodiversity values</w:t>
            </w:r>
          </w:p>
        </w:tc>
      </w:tr>
      <w:tr w:rsidR="00DA7DB5" w:rsidRPr="00DA7DB5" w14:paraId="6906511F"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C61D21C" w14:textId="77777777" w:rsidR="00DA7DB5" w:rsidRPr="00DA7DB5" w:rsidRDefault="00DA7DB5" w:rsidP="00222236">
            <w:pPr>
              <w:pStyle w:val="Tabletext0"/>
              <w:spacing w:after="0"/>
            </w:pPr>
            <w:r w:rsidRPr="00DA7DB5">
              <w:t xml:space="preserve">Macroinvertebrates </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FC66D76" w14:textId="3FDA798B" w:rsidR="00DA7DB5" w:rsidRPr="00DA7DB5" w:rsidRDefault="1D76E7D2"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A623A49" w14:textId="52BE1FC3" w:rsidR="00DA7DB5" w:rsidRPr="00DA7DB5" w:rsidRDefault="1FE7DCAB"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562C401" w14:textId="168A0F7F" w:rsidR="00DA7DB5" w:rsidRPr="00DA7DB5" w:rsidRDefault="1FE7DCAB"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069A326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2630EB8" w14:textId="77777777" w:rsidR="00DA7DB5" w:rsidRPr="00DA7DB5" w:rsidRDefault="00DA7DB5" w:rsidP="00222236">
            <w:pPr>
              <w:pStyle w:val="Tabletext0"/>
              <w:spacing w:after="0"/>
            </w:pPr>
            <w:r w:rsidRPr="00DA7DB5">
              <w:t>Native fish (including rare and threatened)</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D38775F" w14:textId="1FEC0FE7" w:rsidR="00DA7DB5" w:rsidRPr="00DA7DB5" w:rsidRDefault="1981464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A4838C7" w14:textId="7098A3D6" w:rsidR="00DA7DB5" w:rsidRPr="00DA7DB5" w:rsidRDefault="1D60B948" w:rsidP="00222236">
            <w:pPr>
              <w:pStyle w:val="Tabletext0"/>
              <w:spacing w:after="0"/>
              <w:rPr>
                <w:lang w:val="en-US"/>
              </w:rPr>
            </w:pPr>
            <w:r w:rsidRPr="073E3263">
              <w:rPr>
                <w:rFonts w:eastAsia="Wingdings" w:cs="Wingdings"/>
                <w:lang w:val="en-US"/>
              </w:rPr>
              <w:t>x</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FB6E5C9" w14:textId="5C0CAB53" w:rsidR="00DA7DB5" w:rsidRPr="00DA7DB5" w:rsidRDefault="1D60B948" w:rsidP="00222236">
            <w:pPr>
              <w:pStyle w:val="Tabletext0"/>
              <w:spacing w:after="0"/>
              <w:rPr>
                <w:lang w:val="en-US"/>
              </w:rPr>
            </w:pPr>
            <w:r w:rsidRPr="073E3263">
              <w:rPr>
                <w:rFonts w:eastAsia="Wingdings" w:cs="Wingdings"/>
                <w:lang w:val="en-US"/>
              </w:rPr>
              <w:t>x</w:t>
            </w:r>
          </w:p>
        </w:tc>
      </w:tr>
      <w:tr w:rsidR="00DA7DB5" w:rsidRPr="00DA7DB5" w14:paraId="3DE9D0C1"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48C5FD9" w14:textId="77777777" w:rsidR="00DA7DB5" w:rsidRPr="00DA7DB5" w:rsidRDefault="00DA7DB5" w:rsidP="00222236">
            <w:pPr>
              <w:pStyle w:val="Tabletext0"/>
              <w:spacing w:after="0"/>
            </w:pPr>
            <w:r w:rsidRPr="00DA7DB5">
              <w:t>Introduced fish (target recreational species)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845FE24" w14:textId="065DAA28" w:rsidR="00DA7DB5" w:rsidRPr="00DA7DB5" w:rsidRDefault="7264DC4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033A404" w14:textId="3D215808" w:rsidR="00DA7DB5" w:rsidRPr="00DA7DB5" w:rsidRDefault="55ECF79F"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7E786" w14:textId="0D50E0D4" w:rsidR="00DA7DB5" w:rsidRPr="00DA7DB5" w:rsidRDefault="55ECF79F"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1416D14"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DFA441E" w14:textId="77777777" w:rsidR="00DA7DB5" w:rsidRPr="00DA7DB5" w:rsidRDefault="00DA7DB5" w:rsidP="00222236">
            <w:pPr>
              <w:pStyle w:val="Tabletext0"/>
              <w:spacing w:after="0"/>
            </w:pPr>
            <w:r w:rsidRPr="00DA7DB5">
              <w:t>Amphibians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5142218" w14:textId="11E5DDE6" w:rsidR="00DA7DB5" w:rsidRPr="00DA7DB5" w:rsidRDefault="3C836B53"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06CBB79" w14:textId="184F3D12" w:rsidR="00DA7DB5" w:rsidRPr="00DA7DB5" w:rsidRDefault="0FB2695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660F91C" w14:textId="6EC047E6" w:rsidR="00DA7DB5" w:rsidRPr="00DA7DB5" w:rsidRDefault="0FB2695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8CD7D8E"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6028429" w14:textId="77777777" w:rsidR="00DA7DB5" w:rsidRPr="00DA7DB5" w:rsidRDefault="00DA7DB5" w:rsidP="00222236">
            <w:pPr>
              <w:pStyle w:val="Tabletext0"/>
              <w:spacing w:after="0"/>
            </w:pPr>
            <w:r w:rsidRPr="00DA7DB5">
              <w:t>Other aquatic fauna (turtles, birds, platypus)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9950850" w14:textId="3F346882"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6CC2CC" w14:textId="4143EC9D"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879EEDD" w14:textId="7C2F6441"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44A7D0D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E56B8BA" w14:textId="77777777" w:rsidR="00DA7DB5" w:rsidRPr="00DA7DB5" w:rsidRDefault="00DA7DB5" w:rsidP="00222236">
            <w:pPr>
              <w:pStyle w:val="Tabletext0"/>
              <w:spacing w:after="0"/>
            </w:pPr>
            <w:r w:rsidRPr="00DA7DB5">
              <w:t>Algae (phytoplankton)</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9B96B" w14:textId="12079CB0" w:rsidR="00DA7DB5" w:rsidRPr="00DA7DB5" w:rsidRDefault="632FD439"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A4B35D6" w14:textId="0AE16184" w:rsidR="00DA7DB5" w:rsidRPr="00DA7DB5" w:rsidRDefault="69392E32"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25CFECE" w14:textId="326BE0DF" w:rsidR="00DA7DB5" w:rsidRPr="00DA7DB5" w:rsidRDefault="69392E32"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28C02AC"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502D3AB" w14:textId="77777777" w:rsidR="00DA7DB5" w:rsidRPr="00DA7DB5" w:rsidRDefault="00DA7DB5" w:rsidP="00222236">
            <w:pPr>
              <w:pStyle w:val="Tabletext0"/>
              <w:spacing w:after="0"/>
            </w:pPr>
            <w:r w:rsidRPr="00DA7DB5">
              <w:t>Aquatic macrophytes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87F2DA0" w14:textId="110A7EB7" w:rsidR="00DA7DB5" w:rsidRPr="00DA7DB5" w:rsidRDefault="632FD439"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2061930" w14:textId="43066D0A"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F00F38C" w14:textId="454D0AF6"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EA7C2F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04F5EE5" w14:textId="77777777" w:rsidR="00DA7DB5" w:rsidRPr="00DA7DB5" w:rsidRDefault="00DA7DB5" w:rsidP="00222236">
            <w:pPr>
              <w:pStyle w:val="Tabletext0"/>
              <w:spacing w:after="0"/>
            </w:pPr>
            <w:r w:rsidRPr="00DA7DB5">
              <w:t>Riparian vegetation (river red gums)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FF84BF0" w14:textId="357227AF" w:rsidR="00DA7DB5" w:rsidRPr="00DA7DB5" w:rsidRDefault="604038E0"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385FA60" w14:textId="33B1FEA1"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5E2F397" w14:textId="1D24A82D"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20713C6"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EF7923" w14:textId="77777777" w:rsidR="00DA7DB5" w:rsidRPr="00DA7DB5" w:rsidRDefault="00DA7DB5" w:rsidP="00222236">
            <w:pPr>
              <w:pStyle w:val="Tabletext0"/>
              <w:spacing w:after="0"/>
            </w:pPr>
            <w:r w:rsidRPr="00DA7DB5">
              <w:t>Recreational values</w:t>
            </w:r>
          </w:p>
        </w:tc>
      </w:tr>
      <w:tr w:rsidR="00DA7DB5" w:rsidRPr="00DA7DB5" w14:paraId="39837AB3"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48E6785" w14:textId="77777777" w:rsidR="00DA7DB5" w:rsidRPr="00DA7DB5" w:rsidRDefault="00DA7DB5" w:rsidP="00222236">
            <w:pPr>
              <w:pStyle w:val="Tabletext0"/>
              <w:spacing w:after="0"/>
            </w:pPr>
            <w:r w:rsidRPr="00DA7DB5">
              <w:t>Boating/canoeing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6265C4B" w14:textId="297F1A72" w:rsidR="00DA7DB5" w:rsidRPr="00DA7DB5" w:rsidRDefault="28F66F92"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F7034" w14:textId="7E03CBC2"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D705541" w14:textId="548A055F"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75B7F96"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40707F0" w14:textId="77777777" w:rsidR="00DA7DB5" w:rsidRPr="00DA7DB5" w:rsidRDefault="00DA7DB5" w:rsidP="00222236">
            <w:pPr>
              <w:pStyle w:val="Tabletext0"/>
              <w:spacing w:after="0"/>
            </w:pPr>
            <w:r w:rsidRPr="00DA7DB5">
              <w:t>Camping</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82CAD" w14:textId="504EE1A9" w:rsidR="00DA7DB5" w:rsidRPr="00DA7DB5" w:rsidRDefault="22F0FD7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69BF3" w14:textId="3FD25308"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9798E78" w14:textId="661801AB"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4B168CC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C3A9036" w14:textId="77777777" w:rsidR="00DA7DB5" w:rsidRPr="00DA7DB5" w:rsidRDefault="00DA7DB5" w:rsidP="00222236">
            <w:pPr>
              <w:pStyle w:val="Tabletext0"/>
              <w:spacing w:after="0"/>
            </w:pPr>
            <w:r w:rsidRPr="00DA7DB5">
              <w:t>Recreational fishing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DBB1EB1" w14:textId="424A58C3" w:rsidR="00DA7DB5" w:rsidRPr="00DA7DB5" w:rsidRDefault="22F0FD7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5332F" w14:textId="0610E649" w:rsidR="00DA7DB5" w:rsidRPr="00DA7DB5" w:rsidRDefault="4C1A77A4"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96578" w14:textId="21A74CC7" w:rsidR="00DA7DB5" w:rsidRPr="00DA7DB5" w:rsidRDefault="5C879AE8"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04563051"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B247701" w14:textId="77777777" w:rsidR="00DA7DB5" w:rsidRPr="00DA7DB5" w:rsidRDefault="00DA7DB5" w:rsidP="00222236">
            <w:pPr>
              <w:pStyle w:val="Tabletext0"/>
              <w:spacing w:after="0"/>
            </w:pPr>
            <w:r w:rsidRPr="00DA7DB5">
              <w:t>Swimming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0F635BD" w14:textId="166F31A3"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83502" w14:textId="172D27BC"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E963AB0" w14:textId="30453530"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CBFE5E4"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884B5B" w14:textId="77777777" w:rsidR="00DA7DB5" w:rsidRPr="00DA7DB5" w:rsidRDefault="00DA7DB5" w:rsidP="00222236">
            <w:pPr>
              <w:pStyle w:val="Tabletext0"/>
              <w:spacing w:after="0"/>
            </w:pPr>
            <w:r w:rsidRPr="00DA7DB5">
              <w:t>Heritage values</w:t>
            </w:r>
          </w:p>
        </w:tc>
      </w:tr>
      <w:tr w:rsidR="00DA7DB5" w:rsidRPr="00DA7DB5" w14:paraId="4FB009E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8E35FC6" w14:textId="77777777" w:rsidR="00DA7DB5" w:rsidRPr="00DA7DB5" w:rsidRDefault="00DA7DB5" w:rsidP="00222236">
            <w:pPr>
              <w:pStyle w:val="Tabletext0"/>
              <w:spacing w:after="0"/>
            </w:pPr>
            <w:r w:rsidRPr="00DA7DB5">
              <w:t>Landscape and aesthetics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5DE2A2F" w14:textId="6EC2F888"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6705458F" w14:textId="5C0D5A89"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A5BC9" w14:textId="7707EF16"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F69DA2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2F77F11A" w14:textId="77777777" w:rsidR="00DA7DB5" w:rsidRPr="00DA7DB5" w:rsidRDefault="00DA7DB5" w:rsidP="00222236">
            <w:pPr>
              <w:pStyle w:val="Tabletext0"/>
              <w:spacing w:after="0"/>
            </w:pPr>
            <w:r w:rsidRPr="00DA7DB5">
              <w:t>Indigenous values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7694FA8" w14:textId="04EA225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E21B860" w14:textId="0C1EB021"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EAAF445" w14:textId="3CDBF5B0"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456BB3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5AE2D0E6" w14:textId="77777777" w:rsidR="00DA7DB5" w:rsidRPr="00DA7DB5" w:rsidRDefault="00DA7DB5" w:rsidP="00222236">
            <w:pPr>
              <w:pStyle w:val="Tabletext0"/>
              <w:spacing w:after="0"/>
            </w:pPr>
            <w:r w:rsidRPr="00DA7DB5">
              <w:t>Icon species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A74F360" w14:textId="0E97899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3A99254" w14:textId="02EAAB95"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5F5BF0" w14:textId="6FD9AB5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2A7B0035"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E59DDB6" w14:textId="77777777" w:rsidR="00DA7DB5" w:rsidRPr="00DA7DB5" w:rsidRDefault="00DA7DB5" w:rsidP="00222236">
            <w:pPr>
              <w:pStyle w:val="Tabletext0"/>
              <w:spacing w:after="0"/>
            </w:pPr>
            <w:r w:rsidRPr="00DA7DB5">
              <w:t>Trout fishery</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89B850E" w14:textId="3CFF4065" w:rsidR="00DA7DB5" w:rsidRPr="00DA7DB5" w:rsidRDefault="4F095F77"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614C4054" w14:textId="5E579D09" w:rsidR="00DA7DB5" w:rsidRPr="00DA7DB5" w:rsidRDefault="499D6661"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54CB2FA" w14:textId="76E0727E" w:rsidR="00DA7DB5" w:rsidRPr="00DA7DB5" w:rsidRDefault="499D6661"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6B7768A"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BC3AD7F" w14:textId="77777777" w:rsidR="00DA7DB5" w:rsidRPr="00DA7DB5" w:rsidRDefault="00DA7DB5" w:rsidP="00222236">
            <w:pPr>
              <w:pStyle w:val="Tabletext0"/>
              <w:spacing w:after="0"/>
            </w:pPr>
            <w:r w:rsidRPr="00DA7DB5">
              <w:t>Aquaculture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CE3BC7A" w14:textId="1BE9E0A0" w:rsidR="00DA7DB5" w:rsidRPr="00DA7DB5" w:rsidRDefault="567A451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7C257E8" w14:textId="02F99EA5" w:rsidR="00DA7DB5" w:rsidRPr="00DA7DB5" w:rsidRDefault="3CAADF0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32FA" w14:textId="47AF9EB7" w:rsidR="00DA7DB5" w:rsidRPr="00DA7DB5" w:rsidRDefault="3CAADF0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6168E094"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4B5E2E" w14:textId="77777777" w:rsidR="00DA7DB5" w:rsidRPr="00DA7DB5" w:rsidRDefault="00DA7DB5" w:rsidP="00222236">
            <w:pPr>
              <w:pStyle w:val="Tabletext0"/>
              <w:spacing w:after="0"/>
            </w:pPr>
            <w:r w:rsidRPr="00DA7DB5">
              <w:t>Economic values</w:t>
            </w:r>
          </w:p>
        </w:tc>
      </w:tr>
      <w:tr w:rsidR="00DA7DB5" w:rsidRPr="00DA7DB5" w14:paraId="3AF93DA6"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F7C6DC1" w14:textId="77777777" w:rsidR="00DA7DB5" w:rsidRPr="00DA7DB5" w:rsidRDefault="00DA7DB5" w:rsidP="00222236">
            <w:pPr>
              <w:pStyle w:val="Tabletext0"/>
              <w:spacing w:after="0"/>
            </w:pPr>
            <w:r w:rsidRPr="00DA7DB5">
              <w:t>Aquaculture</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38B2C60" w14:textId="3D9D9AE0" w:rsidR="00DA7DB5" w:rsidRPr="00DA7DB5" w:rsidRDefault="3B167725"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23F9B" w14:textId="11D9B413" w:rsidR="00DA7DB5" w:rsidRPr="00DA7DB5" w:rsidRDefault="6E01EB2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F0A42" w14:textId="77809EEF" w:rsidR="00DA7DB5" w:rsidRPr="00DA7DB5" w:rsidRDefault="6E01EB2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37DF828"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6BEE193" w14:textId="77777777" w:rsidR="00DA7DB5" w:rsidRPr="00DA7DB5" w:rsidRDefault="00DA7DB5" w:rsidP="00222236">
            <w:pPr>
              <w:pStyle w:val="Tabletext0"/>
              <w:spacing w:after="0"/>
            </w:pPr>
            <w:r w:rsidRPr="00DA7DB5">
              <w:t>Irrigation</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076D4" w14:textId="3BBE3455"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53B8639" w14:textId="5A80FFFF"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798FF11" w14:textId="37544F4E"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A806FC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22A5ED3A" w14:textId="77777777" w:rsidR="00DA7DB5" w:rsidRPr="00DA7DB5" w:rsidRDefault="00DA7DB5" w:rsidP="00222236">
            <w:pPr>
              <w:pStyle w:val="Tabletext0"/>
              <w:spacing w:after="0"/>
            </w:pPr>
            <w:r w:rsidRPr="00DA7DB5">
              <w:t>Caravan parks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28A839D" w14:textId="64272312" w:rsidR="00DA7DB5" w:rsidRPr="00DA7DB5" w:rsidRDefault="2ED1304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6E80B0F" w14:textId="339AFB34" w:rsidR="00DA7DB5" w:rsidRPr="00DA7DB5" w:rsidRDefault="01395A95"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CFCF1" w14:textId="165A53A0" w:rsidR="00DA7DB5" w:rsidRPr="00DA7DB5" w:rsidRDefault="01395A95"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6E68F92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C4C46E2" w14:textId="77777777" w:rsidR="00DA7DB5" w:rsidRPr="00DA7DB5" w:rsidRDefault="00DA7DB5" w:rsidP="00222236">
            <w:pPr>
              <w:pStyle w:val="Tabletext0"/>
              <w:spacing w:after="0"/>
            </w:pPr>
            <w:r w:rsidRPr="00DA7DB5">
              <w:t>Tourism</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5482B09" w14:textId="749087BE" w:rsidR="00DA7DB5" w:rsidRPr="00DA7DB5" w:rsidRDefault="2ED1304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7D780" w14:textId="451C292A" w:rsidR="00DA7DB5" w:rsidRPr="00DA7DB5" w:rsidRDefault="546C634F"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E034488" w14:textId="5D99D10B" w:rsidR="00DA7DB5" w:rsidRPr="00DA7DB5" w:rsidRDefault="546C634F"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1B58D663"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C2A847D" w14:textId="77777777" w:rsidR="00DA7DB5" w:rsidRPr="00DA7DB5" w:rsidRDefault="00DA7DB5" w:rsidP="00222236">
            <w:pPr>
              <w:pStyle w:val="Tabletext0"/>
              <w:spacing w:after="0"/>
            </w:pPr>
            <w:r w:rsidRPr="00DA7DB5">
              <w:t>Turf farms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629820F" w14:textId="5456DF81" w:rsidR="00DA7DB5" w:rsidRPr="00DA7DB5" w:rsidRDefault="60243074"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6F3A56" w14:textId="5E280C0B" w:rsidR="00DA7DB5" w:rsidRPr="00DA7DB5" w:rsidRDefault="3D18FF2E"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31DDA9F" w14:textId="6236CC9D" w:rsidR="00DA7DB5" w:rsidRPr="00DA7DB5" w:rsidRDefault="5097421D" w:rsidP="00222236">
            <w:pPr>
              <w:pStyle w:val="Tabletext0"/>
              <w:spacing w:after="0"/>
              <w:rPr>
                <w:rFonts w:eastAsia="Wingdings" w:cs="Wingdings"/>
                <w:lang w:val="en-US"/>
              </w:rPr>
            </w:pPr>
            <w:r w:rsidRPr="073E3263">
              <w:rPr>
                <w:rFonts w:eastAsia="Wingdings" w:cs="Wingdings"/>
                <w:lang w:val="en-US"/>
              </w:rPr>
              <w:t>x</w:t>
            </w:r>
          </w:p>
        </w:tc>
      </w:tr>
      <w:tr w:rsidR="00DA7DB5" w:rsidRPr="00DA7DB5" w14:paraId="3E61E915"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A255886" w14:textId="77777777" w:rsidR="00DA7DB5" w:rsidRPr="00DA7DB5" w:rsidRDefault="00DA7DB5" w:rsidP="00222236">
            <w:pPr>
              <w:pStyle w:val="Tabletext0"/>
              <w:spacing w:after="0"/>
            </w:pPr>
            <w:r w:rsidRPr="00DA7DB5">
              <w:t>Domestic consumption (indirect)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C1EE3C" w14:textId="291F2305"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BDD60AB" w14:textId="12B5A0C6"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6D2570A" w14:textId="3D4FC04C"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r>
      <w:tr w:rsidR="00327EA6" w:rsidRPr="00DA7DB5" w14:paraId="38E75FCD" w14:textId="77777777" w:rsidTr="073E3263">
        <w:trPr>
          <w:trHeight w:val="284"/>
        </w:trPr>
        <w:tc>
          <w:tcPr>
            <w:tcW w:w="5000" w:type="pct"/>
            <w:gridSpan w:val="4"/>
            <w:tcBorders>
              <w:top w:val="single" w:sz="4" w:space="0" w:color="auto"/>
              <w:left w:val="nil"/>
              <w:bottom w:val="nil"/>
              <w:right w:val="nil"/>
            </w:tcBorders>
            <w:shd w:val="clear" w:color="auto" w:fill="auto"/>
            <w:vAlign w:val="center"/>
          </w:tcPr>
          <w:p w14:paraId="53492A44" w14:textId="4D8B9743" w:rsidR="00327EA6" w:rsidRPr="00327EA6" w:rsidRDefault="00327EA6" w:rsidP="00F21050">
            <w:pPr>
              <w:pStyle w:val="Tablenotes"/>
              <w:rPr>
                <w:sz w:val="22"/>
                <w:szCs w:val="22"/>
                <w:lang w:val="en-US"/>
              </w:rPr>
            </w:pPr>
            <w:r w:rsidRPr="00327EA6">
              <w:t>Shading indicates that stakeholders considered the value as particularly significant at the location.</w:t>
            </w:r>
          </w:p>
        </w:tc>
      </w:tr>
      <w:tr w:rsidR="00327EA6" w:rsidRPr="00DA7DB5" w14:paraId="536643EA" w14:textId="77777777" w:rsidTr="073E3263">
        <w:trPr>
          <w:trHeight w:val="284"/>
        </w:trPr>
        <w:tc>
          <w:tcPr>
            <w:tcW w:w="5000" w:type="pct"/>
            <w:gridSpan w:val="4"/>
            <w:tcBorders>
              <w:top w:val="nil"/>
              <w:left w:val="nil"/>
              <w:bottom w:val="nil"/>
              <w:right w:val="nil"/>
            </w:tcBorders>
            <w:shd w:val="clear" w:color="auto" w:fill="auto"/>
            <w:vAlign w:val="center"/>
          </w:tcPr>
          <w:p w14:paraId="358BE894" w14:textId="1A526EFF" w:rsidR="00327EA6" w:rsidRPr="00DA7DB5" w:rsidRDefault="00327EA6" w:rsidP="00327EA6">
            <w:pPr>
              <w:pStyle w:val="NoSpacing"/>
              <w:rPr>
                <w:rFonts w:asciiTheme="majorHAnsi" w:hAnsiTheme="majorHAnsi"/>
                <w:sz w:val="22"/>
                <w:szCs w:val="22"/>
                <w:lang w:val="en-US"/>
              </w:rPr>
            </w:pPr>
          </w:p>
        </w:tc>
      </w:tr>
    </w:tbl>
    <w:p w14:paraId="4D37AB49" w14:textId="538BA4FA" w:rsidR="00DA7DB5" w:rsidRPr="00DA7DB5" w:rsidRDefault="00DA7DB5" w:rsidP="003E2AB1">
      <w:pPr>
        <w:rPr>
          <w:sz w:val="20"/>
          <w:szCs w:val="20"/>
        </w:rPr>
      </w:pPr>
    </w:p>
    <w:p w14:paraId="0CAF4015" w14:textId="192BF0A5" w:rsidR="007132FA" w:rsidRPr="00C01F65" w:rsidRDefault="00DA7DB5" w:rsidP="00071B66">
      <w:pPr>
        <w:rPr>
          <w:rFonts w:ascii="Arial" w:hAnsi="Arial" w:cs="Arial"/>
        </w:rPr>
      </w:pPr>
      <w:r w:rsidRPr="00C01F6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869"/>
        <w:gridCol w:w="1203"/>
        <w:gridCol w:w="562"/>
        <w:gridCol w:w="1500"/>
        <w:gridCol w:w="265"/>
        <w:gridCol w:w="1779"/>
      </w:tblGrid>
      <w:tr w:rsidR="007132FA" w:rsidRPr="007132FA" w14:paraId="615FD050" w14:textId="77777777" w:rsidTr="073E3263">
        <w:trPr>
          <w:trHeight w:val="284"/>
        </w:trPr>
        <w:tc>
          <w:tcPr>
            <w:tcW w:w="5000" w:type="pct"/>
            <w:gridSpan w:val="7"/>
            <w:tcBorders>
              <w:top w:val="nil"/>
              <w:left w:val="nil"/>
              <w:right w:val="nil"/>
            </w:tcBorders>
            <w:shd w:val="clear" w:color="auto" w:fill="auto"/>
            <w:vAlign w:val="center"/>
          </w:tcPr>
          <w:p w14:paraId="2B39BEF7" w14:textId="435110E0" w:rsidR="007132FA" w:rsidRPr="007132FA" w:rsidRDefault="007132FA" w:rsidP="00A4665C">
            <w:pPr>
              <w:pStyle w:val="Caption"/>
            </w:pPr>
            <w:bookmarkStart w:id="127" w:name="_Ref88223315"/>
            <w:bookmarkStart w:id="128" w:name="_Ref57141498"/>
            <w:r w:rsidRPr="007132FA">
              <w:lastRenderedPageBreak/>
              <w:t>Table B</w:t>
            </w:r>
            <w:fldSimple w:instr=" SEQ Table_B \* ARABIC ">
              <w:r w:rsidR="00FD64B0">
                <w:rPr>
                  <w:noProof/>
                </w:rPr>
                <w:t>8</w:t>
              </w:r>
            </w:fldSimple>
            <w:bookmarkEnd w:id="127"/>
            <w:r>
              <w:t xml:space="preserve"> </w:t>
            </w:r>
            <w:r w:rsidR="009575B6" w:rsidRPr="00841850">
              <w:t>–</w:t>
            </w:r>
            <w:r w:rsidRPr="007132FA">
              <w:t xml:space="preserve"> Potential </w:t>
            </w:r>
            <w:r w:rsidR="007372BA">
              <w:t>hazard</w:t>
            </w:r>
            <w:r w:rsidRPr="007132FA">
              <w:t>s identified for GV Water WWTP discharges</w:t>
            </w:r>
            <w:bookmarkEnd w:id="128"/>
          </w:p>
        </w:tc>
      </w:tr>
      <w:tr w:rsidR="007132FA" w:rsidRPr="007132FA" w14:paraId="1409F0C7" w14:textId="77777777" w:rsidTr="003E2AB1">
        <w:trPr>
          <w:trHeight w:val="284"/>
        </w:trPr>
        <w:tc>
          <w:tcPr>
            <w:tcW w:w="1965" w:type="pct"/>
            <w:shd w:val="clear" w:color="auto" w:fill="003F72"/>
            <w:vAlign w:val="center"/>
          </w:tcPr>
          <w:p w14:paraId="3A3A2B63" w14:textId="77777777" w:rsidR="007132FA" w:rsidRPr="007132FA" w:rsidRDefault="007132FA" w:rsidP="003E2AB1">
            <w:pPr>
              <w:pStyle w:val="Tabletext0"/>
            </w:pPr>
            <w:r w:rsidRPr="007132FA">
              <w:t>Stressors</w:t>
            </w:r>
          </w:p>
        </w:tc>
        <w:tc>
          <w:tcPr>
            <w:tcW w:w="1018" w:type="pct"/>
            <w:gridSpan w:val="2"/>
            <w:shd w:val="clear" w:color="auto" w:fill="003F72"/>
            <w:vAlign w:val="center"/>
          </w:tcPr>
          <w:p w14:paraId="649F52EC" w14:textId="77777777" w:rsidR="007132FA" w:rsidRPr="007132FA" w:rsidRDefault="007132FA" w:rsidP="003E2AB1">
            <w:pPr>
              <w:pStyle w:val="Tabletext0"/>
            </w:pPr>
            <w:r w:rsidRPr="007132FA">
              <w:t>Shepparton</w:t>
            </w:r>
          </w:p>
        </w:tc>
        <w:tc>
          <w:tcPr>
            <w:tcW w:w="1013" w:type="pct"/>
            <w:gridSpan w:val="2"/>
            <w:shd w:val="clear" w:color="auto" w:fill="003F72"/>
            <w:vAlign w:val="center"/>
          </w:tcPr>
          <w:p w14:paraId="4F3D1F65" w14:textId="77777777" w:rsidR="007132FA" w:rsidRPr="007132FA" w:rsidRDefault="007132FA" w:rsidP="003E2AB1">
            <w:pPr>
              <w:pStyle w:val="Tabletext0"/>
            </w:pPr>
            <w:r w:rsidRPr="007132FA">
              <w:t>Alexandra</w:t>
            </w:r>
          </w:p>
        </w:tc>
        <w:tc>
          <w:tcPr>
            <w:tcW w:w="1003" w:type="pct"/>
            <w:gridSpan w:val="2"/>
            <w:shd w:val="clear" w:color="auto" w:fill="003F72"/>
            <w:vAlign w:val="center"/>
          </w:tcPr>
          <w:p w14:paraId="76EA4299" w14:textId="77777777" w:rsidR="007132FA" w:rsidRPr="007132FA" w:rsidRDefault="007132FA" w:rsidP="003E2AB1">
            <w:pPr>
              <w:pStyle w:val="Tabletext0"/>
            </w:pPr>
            <w:r w:rsidRPr="007132FA">
              <w:t>Eildon</w:t>
            </w:r>
          </w:p>
        </w:tc>
      </w:tr>
      <w:tr w:rsidR="007132FA" w:rsidRPr="007132FA" w14:paraId="3AF03A1A" w14:textId="77777777" w:rsidTr="003E2AB1">
        <w:trPr>
          <w:trHeight w:val="284"/>
        </w:trPr>
        <w:tc>
          <w:tcPr>
            <w:tcW w:w="1965" w:type="pct"/>
            <w:shd w:val="clear" w:color="auto" w:fill="auto"/>
            <w:vAlign w:val="center"/>
          </w:tcPr>
          <w:p w14:paraId="5C66CC3F" w14:textId="77777777" w:rsidR="007132FA" w:rsidRPr="007132FA" w:rsidRDefault="007132FA" w:rsidP="003E2AB1">
            <w:pPr>
              <w:pStyle w:val="Tabletext0"/>
            </w:pPr>
            <w:r w:rsidRPr="007132FA">
              <w:t>Nutrients</w:t>
            </w:r>
          </w:p>
        </w:tc>
        <w:tc>
          <w:tcPr>
            <w:tcW w:w="1018" w:type="pct"/>
            <w:gridSpan w:val="2"/>
            <w:shd w:val="clear" w:color="auto" w:fill="auto"/>
            <w:vAlign w:val="center"/>
          </w:tcPr>
          <w:p w14:paraId="6EB67170" w14:textId="022EC00C" w:rsidR="007132FA" w:rsidRPr="007132FA" w:rsidRDefault="34C26874"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682ACCBF" w14:textId="398642D5" w:rsidR="007132FA" w:rsidRPr="007132FA" w:rsidRDefault="77107E0E"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CFDAD5A" w14:textId="7D0DED17" w:rsidR="007132FA" w:rsidRPr="007132FA" w:rsidRDefault="0BE04AD9" w:rsidP="003E2AB1">
            <w:pPr>
              <w:pStyle w:val="Tabletext0"/>
              <w:rPr>
                <w:lang w:val="en-US"/>
              </w:rPr>
            </w:pPr>
            <w:r w:rsidRPr="073E3263">
              <w:rPr>
                <w:rFonts w:ascii="Wingdings 2" w:eastAsia="Wingdings 2" w:hAnsi="Wingdings 2" w:cs="Wingdings 2"/>
                <w:lang w:val="en-US"/>
              </w:rPr>
              <w:t>P</w:t>
            </w:r>
          </w:p>
        </w:tc>
      </w:tr>
      <w:tr w:rsidR="007132FA" w:rsidRPr="007132FA" w14:paraId="49116CA5" w14:textId="77777777" w:rsidTr="003E2AB1">
        <w:trPr>
          <w:trHeight w:val="284"/>
        </w:trPr>
        <w:tc>
          <w:tcPr>
            <w:tcW w:w="1965" w:type="pct"/>
            <w:shd w:val="clear" w:color="auto" w:fill="auto"/>
            <w:vAlign w:val="center"/>
          </w:tcPr>
          <w:p w14:paraId="2CF1BA35" w14:textId="77777777" w:rsidR="007132FA" w:rsidRPr="007132FA" w:rsidRDefault="007132FA" w:rsidP="003E2AB1">
            <w:pPr>
              <w:pStyle w:val="Tabletext0"/>
            </w:pPr>
            <w:r w:rsidRPr="007132FA">
              <w:t>Toxicants</w:t>
            </w:r>
          </w:p>
        </w:tc>
        <w:tc>
          <w:tcPr>
            <w:tcW w:w="1018" w:type="pct"/>
            <w:gridSpan w:val="2"/>
            <w:shd w:val="clear" w:color="auto" w:fill="auto"/>
            <w:vAlign w:val="center"/>
          </w:tcPr>
          <w:p w14:paraId="50815706" w14:textId="3AE69C2D" w:rsidR="007132FA" w:rsidRPr="007132FA" w:rsidRDefault="43F90310"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CF45DDF" w14:textId="6DD81001" w:rsidR="007132FA" w:rsidRPr="007132FA" w:rsidRDefault="40FA83D6"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15C1DB94" w14:textId="25A60931" w:rsidR="007132FA" w:rsidRPr="007132FA" w:rsidRDefault="7AACCD6A" w:rsidP="003E2AB1">
            <w:pPr>
              <w:pStyle w:val="Tabletext0"/>
              <w:rPr>
                <w:lang w:val="en-US"/>
              </w:rPr>
            </w:pPr>
            <w:r w:rsidRPr="073E3263">
              <w:rPr>
                <w:rFonts w:ascii="Wingdings 2" w:eastAsia="Wingdings 2" w:hAnsi="Wingdings 2" w:cs="Wingdings 2"/>
                <w:lang w:val="en-US"/>
              </w:rPr>
              <w:t>P</w:t>
            </w:r>
          </w:p>
        </w:tc>
      </w:tr>
      <w:tr w:rsidR="007132FA" w:rsidRPr="007132FA" w14:paraId="45E5DAE5" w14:textId="77777777" w:rsidTr="003E2AB1">
        <w:trPr>
          <w:trHeight w:val="284"/>
        </w:trPr>
        <w:tc>
          <w:tcPr>
            <w:tcW w:w="1965" w:type="pct"/>
            <w:shd w:val="clear" w:color="auto" w:fill="auto"/>
            <w:vAlign w:val="center"/>
          </w:tcPr>
          <w:p w14:paraId="3C81D267" w14:textId="77777777" w:rsidR="007132FA" w:rsidRPr="007132FA" w:rsidRDefault="007132FA" w:rsidP="003E2AB1">
            <w:pPr>
              <w:pStyle w:val="Tabletext0"/>
            </w:pPr>
            <w:r w:rsidRPr="007132FA">
              <w:t>Electrical conductivity</w:t>
            </w:r>
          </w:p>
        </w:tc>
        <w:tc>
          <w:tcPr>
            <w:tcW w:w="1018" w:type="pct"/>
            <w:gridSpan w:val="2"/>
            <w:shd w:val="clear" w:color="auto" w:fill="auto"/>
            <w:vAlign w:val="center"/>
          </w:tcPr>
          <w:p w14:paraId="5B7198CD" w14:textId="7745F598" w:rsidR="007132FA" w:rsidRPr="007132FA" w:rsidRDefault="43F90310"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2FFFD314" w14:textId="1ED388B9" w:rsidR="007132FA" w:rsidRPr="007132FA" w:rsidRDefault="4C5329DA" w:rsidP="003E2AB1">
            <w:pPr>
              <w:pStyle w:val="Tabletext0"/>
              <w:rPr>
                <w:rFonts w:eastAsia="Wingdings" w:cs="Wingdings"/>
                <w:lang w:val="en-US"/>
              </w:rPr>
            </w:pPr>
            <w:r w:rsidRPr="073E3263">
              <w:rPr>
                <w:rFonts w:eastAsia="Wingdings" w:cs="Wingdings"/>
                <w:lang w:val="en-US"/>
              </w:rPr>
              <w:t>x</w:t>
            </w:r>
          </w:p>
        </w:tc>
        <w:tc>
          <w:tcPr>
            <w:tcW w:w="1003" w:type="pct"/>
            <w:gridSpan w:val="2"/>
            <w:shd w:val="clear" w:color="auto" w:fill="auto"/>
            <w:vAlign w:val="center"/>
          </w:tcPr>
          <w:p w14:paraId="0451819B" w14:textId="750A9ECB" w:rsidR="007132FA" w:rsidRPr="007132FA" w:rsidRDefault="39606136" w:rsidP="003E2AB1">
            <w:pPr>
              <w:pStyle w:val="Tabletext0"/>
              <w:rPr>
                <w:rFonts w:eastAsia="Wingdings" w:cs="Wingdings"/>
                <w:lang w:val="en-US"/>
              </w:rPr>
            </w:pPr>
            <w:r w:rsidRPr="073E3263">
              <w:rPr>
                <w:rFonts w:eastAsia="Wingdings" w:cs="Wingdings"/>
                <w:lang w:val="en-US"/>
              </w:rPr>
              <w:t>x</w:t>
            </w:r>
          </w:p>
        </w:tc>
      </w:tr>
      <w:tr w:rsidR="007132FA" w:rsidRPr="007132FA" w14:paraId="7F847DF8" w14:textId="77777777" w:rsidTr="003E2AB1">
        <w:trPr>
          <w:trHeight w:val="284"/>
        </w:trPr>
        <w:tc>
          <w:tcPr>
            <w:tcW w:w="1965" w:type="pct"/>
            <w:shd w:val="clear" w:color="auto" w:fill="auto"/>
            <w:vAlign w:val="center"/>
          </w:tcPr>
          <w:p w14:paraId="1E0B56E4" w14:textId="77777777" w:rsidR="007132FA" w:rsidRPr="007132FA" w:rsidRDefault="007132FA" w:rsidP="003E2AB1">
            <w:pPr>
              <w:pStyle w:val="Tabletext0"/>
            </w:pPr>
            <w:r w:rsidRPr="007132FA">
              <w:t>Endocrine disruptors (EDCs)</w:t>
            </w:r>
          </w:p>
        </w:tc>
        <w:tc>
          <w:tcPr>
            <w:tcW w:w="1018" w:type="pct"/>
            <w:gridSpan w:val="2"/>
            <w:shd w:val="clear" w:color="auto" w:fill="auto"/>
            <w:vAlign w:val="center"/>
          </w:tcPr>
          <w:p w14:paraId="3411182F" w14:textId="3680DFA5" w:rsidR="007132FA" w:rsidRPr="007132FA" w:rsidRDefault="24313D6E"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ED99520" w14:textId="2FF5B7E7" w:rsidR="007132FA" w:rsidRPr="007132FA" w:rsidRDefault="605BC1C0"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C3A9C21" w14:textId="4606FAC9" w:rsidR="007132FA" w:rsidRPr="007132FA" w:rsidRDefault="30D9F811" w:rsidP="003E2AB1">
            <w:pPr>
              <w:pStyle w:val="Tabletext0"/>
              <w:rPr>
                <w:lang w:val="en-US"/>
              </w:rPr>
            </w:pPr>
            <w:r w:rsidRPr="073E3263">
              <w:rPr>
                <w:rFonts w:ascii="Wingdings 2" w:eastAsia="Wingdings 2" w:hAnsi="Wingdings 2" w:cs="Wingdings 2"/>
                <w:lang w:val="en-US"/>
              </w:rPr>
              <w:t>P</w:t>
            </w:r>
          </w:p>
        </w:tc>
      </w:tr>
      <w:tr w:rsidR="007132FA" w:rsidRPr="007132FA" w14:paraId="29D8029A" w14:textId="77777777" w:rsidTr="003E2AB1">
        <w:trPr>
          <w:trHeight w:val="284"/>
        </w:trPr>
        <w:tc>
          <w:tcPr>
            <w:tcW w:w="1965" w:type="pct"/>
            <w:shd w:val="clear" w:color="auto" w:fill="auto"/>
            <w:vAlign w:val="center"/>
          </w:tcPr>
          <w:p w14:paraId="18E18716" w14:textId="77777777" w:rsidR="007132FA" w:rsidRPr="007132FA" w:rsidRDefault="007132FA" w:rsidP="003E2AB1">
            <w:pPr>
              <w:pStyle w:val="Tabletext0"/>
            </w:pPr>
            <w:r w:rsidRPr="007132FA">
              <w:t>Nuisance organisms (algae)</w:t>
            </w:r>
          </w:p>
        </w:tc>
        <w:tc>
          <w:tcPr>
            <w:tcW w:w="1018" w:type="pct"/>
            <w:gridSpan w:val="2"/>
            <w:shd w:val="clear" w:color="auto" w:fill="auto"/>
            <w:vAlign w:val="center"/>
          </w:tcPr>
          <w:p w14:paraId="1F08115D" w14:textId="2D24FFF5" w:rsidR="007132FA" w:rsidRPr="007132FA" w:rsidRDefault="24313D6E"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138EE35F" w14:textId="54393249"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6BB56B08" w14:textId="0047CDEB" w:rsidR="007132FA" w:rsidRPr="007132FA" w:rsidRDefault="30D9F811" w:rsidP="003E2AB1">
            <w:pPr>
              <w:pStyle w:val="Tabletext0"/>
              <w:rPr>
                <w:lang w:val="en-US"/>
              </w:rPr>
            </w:pPr>
            <w:r w:rsidRPr="073E3263">
              <w:rPr>
                <w:rFonts w:ascii="Wingdings 2" w:eastAsia="Wingdings 2" w:hAnsi="Wingdings 2" w:cs="Wingdings 2"/>
                <w:lang w:val="en-US"/>
              </w:rPr>
              <w:t>P</w:t>
            </w:r>
          </w:p>
        </w:tc>
      </w:tr>
      <w:tr w:rsidR="007132FA" w:rsidRPr="007132FA" w14:paraId="28092F4C" w14:textId="77777777" w:rsidTr="003E2AB1">
        <w:trPr>
          <w:trHeight w:val="284"/>
        </w:trPr>
        <w:tc>
          <w:tcPr>
            <w:tcW w:w="1965" w:type="pct"/>
            <w:shd w:val="clear" w:color="auto" w:fill="auto"/>
            <w:vAlign w:val="center"/>
          </w:tcPr>
          <w:p w14:paraId="5EE8889D" w14:textId="77777777" w:rsidR="007132FA" w:rsidRPr="007132FA" w:rsidRDefault="007132FA" w:rsidP="003E2AB1">
            <w:pPr>
              <w:pStyle w:val="Tabletext0"/>
            </w:pPr>
            <w:r w:rsidRPr="007132FA">
              <w:t>Pathogens</w:t>
            </w:r>
          </w:p>
        </w:tc>
        <w:tc>
          <w:tcPr>
            <w:tcW w:w="1018" w:type="pct"/>
            <w:gridSpan w:val="2"/>
            <w:shd w:val="clear" w:color="auto" w:fill="auto"/>
            <w:vAlign w:val="center"/>
          </w:tcPr>
          <w:p w14:paraId="19CDD17E" w14:textId="12048D8E" w:rsidR="007132FA" w:rsidRPr="007132FA" w:rsidRDefault="0F27D4A3"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7EA9C2E" w14:textId="1CDB394B"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E76362D" w14:textId="2C0A9E09" w:rsidR="007132FA" w:rsidRPr="007132FA" w:rsidRDefault="6085C8FA" w:rsidP="003E2AB1">
            <w:pPr>
              <w:pStyle w:val="Tabletext0"/>
              <w:rPr>
                <w:lang w:val="en-US"/>
              </w:rPr>
            </w:pPr>
            <w:r w:rsidRPr="073E3263">
              <w:rPr>
                <w:rFonts w:ascii="Wingdings 2" w:eastAsia="Wingdings 2" w:hAnsi="Wingdings 2" w:cs="Wingdings 2"/>
                <w:lang w:val="en-US"/>
              </w:rPr>
              <w:t>P</w:t>
            </w:r>
          </w:p>
        </w:tc>
      </w:tr>
      <w:tr w:rsidR="007132FA" w:rsidRPr="007132FA" w14:paraId="318E540D" w14:textId="77777777" w:rsidTr="003E2AB1">
        <w:trPr>
          <w:trHeight w:val="284"/>
        </w:trPr>
        <w:tc>
          <w:tcPr>
            <w:tcW w:w="1965" w:type="pct"/>
            <w:shd w:val="clear" w:color="auto" w:fill="auto"/>
            <w:vAlign w:val="center"/>
          </w:tcPr>
          <w:p w14:paraId="03682D03" w14:textId="77777777" w:rsidR="007132FA" w:rsidRPr="007132FA" w:rsidRDefault="007132FA" w:rsidP="003E2AB1">
            <w:pPr>
              <w:pStyle w:val="Tabletext0"/>
            </w:pPr>
            <w:r w:rsidRPr="007132FA">
              <w:t>Whirling disease*</w:t>
            </w:r>
          </w:p>
        </w:tc>
        <w:tc>
          <w:tcPr>
            <w:tcW w:w="1018" w:type="pct"/>
            <w:gridSpan w:val="2"/>
            <w:shd w:val="clear" w:color="auto" w:fill="auto"/>
            <w:vAlign w:val="center"/>
          </w:tcPr>
          <w:p w14:paraId="4E937A9F" w14:textId="1116DD14" w:rsidR="007132FA" w:rsidRPr="007132FA" w:rsidRDefault="0F27D4A3"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AD3F7E3" w14:textId="2EC0EA30"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00D975F1" w14:textId="630DB845" w:rsidR="007132FA" w:rsidRPr="007132FA" w:rsidRDefault="6085C8FA" w:rsidP="003E2AB1">
            <w:pPr>
              <w:pStyle w:val="Tabletext0"/>
              <w:rPr>
                <w:lang w:val="en-US"/>
              </w:rPr>
            </w:pPr>
            <w:r w:rsidRPr="073E3263">
              <w:rPr>
                <w:rFonts w:ascii="Wingdings 2" w:eastAsia="Wingdings 2" w:hAnsi="Wingdings 2" w:cs="Wingdings 2"/>
                <w:lang w:val="en-US"/>
              </w:rPr>
              <w:t>P</w:t>
            </w:r>
          </w:p>
        </w:tc>
      </w:tr>
      <w:tr w:rsidR="007132FA" w:rsidRPr="007132FA" w14:paraId="7004FA23" w14:textId="77777777" w:rsidTr="003E2AB1">
        <w:trPr>
          <w:trHeight w:val="284"/>
        </w:trPr>
        <w:tc>
          <w:tcPr>
            <w:tcW w:w="1965" w:type="pct"/>
            <w:shd w:val="clear" w:color="auto" w:fill="auto"/>
            <w:vAlign w:val="center"/>
          </w:tcPr>
          <w:p w14:paraId="3C3B44BA" w14:textId="77777777" w:rsidR="007132FA" w:rsidRPr="007132FA" w:rsidRDefault="007132FA" w:rsidP="003E2AB1">
            <w:pPr>
              <w:pStyle w:val="Tabletext0"/>
            </w:pPr>
            <w:r w:rsidRPr="007132FA">
              <w:t>Discharge volume</w:t>
            </w:r>
          </w:p>
        </w:tc>
        <w:tc>
          <w:tcPr>
            <w:tcW w:w="1018" w:type="pct"/>
            <w:gridSpan w:val="2"/>
            <w:shd w:val="clear" w:color="auto" w:fill="auto"/>
            <w:vAlign w:val="center"/>
          </w:tcPr>
          <w:p w14:paraId="48C855EB" w14:textId="4359B1E7" w:rsidR="007132FA" w:rsidRPr="007132FA" w:rsidRDefault="7171C3E6"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4894FF53" w14:textId="58157351" w:rsidR="007132FA" w:rsidRPr="007132FA" w:rsidRDefault="4797C0E1"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1713DCA9" w14:textId="56AB74A9" w:rsidR="007132FA" w:rsidRPr="007132FA" w:rsidRDefault="2BE2C76E" w:rsidP="003E2AB1">
            <w:pPr>
              <w:pStyle w:val="Tabletext0"/>
              <w:rPr>
                <w:lang w:val="en-US"/>
              </w:rPr>
            </w:pPr>
            <w:r w:rsidRPr="073E3263">
              <w:rPr>
                <w:rFonts w:ascii="Wingdings 2" w:eastAsia="Wingdings 2" w:hAnsi="Wingdings 2" w:cs="Wingdings 2"/>
                <w:lang w:val="en-US"/>
              </w:rPr>
              <w:t>P</w:t>
            </w:r>
          </w:p>
        </w:tc>
      </w:tr>
      <w:tr w:rsidR="007132FA" w:rsidRPr="007132FA" w14:paraId="58EA3B95" w14:textId="77777777" w:rsidTr="003E2AB1">
        <w:trPr>
          <w:trHeight w:val="284"/>
        </w:trPr>
        <w:tc>
          <w:tcPr>
            <w:tcW w:w="1965" w:type="pct"/>
            <w:shd w:val="clear" w:color="auto" w:fill="auto"/>
            <w:vAlign w:val="center"/>
          </w:tcPr>
          <w:p w14:paraId="09FCFA25" w14:textId="77777777" w:rsidR="007132FA" w:rsidRPr="007132FA" w:rsidRDefault="007132FA" w:rsidP="003E2AB1">
            <w:pPr>
              <w:pStyle w:val="Tabletext0"/>
            </w:pPr>
            <w:r w:rsidRPr="007132FA">
              <w:t>Total suspended solids</w:t>
            </w:r>
          </w:p>
        </w:tc>
        <w:tc>
          <w:tcPr>
            <w:tcW w:w="1018" w:type="pct"/>
            <w:gridSpan w:val="2"/>
            <w:shd w:val="clear" w:color="auto" w:fill="auto"/>
            <w:vAlign w:val="center"/>
          </w:tcPr>
          <w:p w14:paraId="4915006F" w14:textId="39F9A08B" w:rsidR="007132FA" w:rsidRPr="007132FA" w:rsidRDefault="7171C3E6"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45BE757F" w14:textId="259882D0" w:rsidR="007132FA" w:rsidRPr="007132FA" w:rsidRDefault="76B6DC71"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36AE5471" w14:textId="3137B671" w:rsidR="007132FA" w:rsidRPr="007132FA" w:rsidRDefault="2BE2C76E" w:rsidP="003E2AB1">
            <w:pPr>
              <w:pStyle w:val="Tabletext0"/>
              <w:rPr>
                <w:lang w:val="en-US"/>
              </w:rPr>
            </w:pPr>
            <w:r w:rsidRPr="073E3263">
              <w:rPr>
                <w:rFonts w:ascii="Wingdings 2" w:eastAsia="Wingdings 2" w:hAnsi="Wingdings 2" w:cs="Wingdings 2"/>
                <w:lang w:val="en-US"/>
              </w:rPr>
              <w:t>P</w:t>
            </w:r>
          </w:p>
        </w:tc>
      </w:tr>
      <w:tr w:rsidR="007132FA" w:rsidRPr="007132FA" w14:paraId="11711492" w14:textId="77777777" w:rsidTr="003E2AB1">
        <w:trPr>
          <w:trHeight w:val="284"/>
        </w:trPr>
        <w:tc>
          <w:tcPr>
            <w:tcW w:w="1965" w:type="pct"/>
            <w:tcBorders>
              <w:bottom w:val="single" w:sz="4" w:space="0" w:color="auto"/>
            </w:tcBorders>
            <w:shd w:val="clear" w:color="auto" w:fill="auto"/>
            <w:vAlign w:val="center"/>
          </w:tcPr>
          <w:p w14:paraId="2CFC9660" w14:textId="77777777" w:rsidR="007132FA" w:rsidRPr="007132FA" w:rsidRDefault="007132FA" w:rsidP="003E2AB1">
            <w:pPr>
              <w:pStyle w:val="Tabletext0"/>
            </w:pPr>
            <w:r w:rsidRPr="007132FA">
              <w:t>pH</w:t>
            </w:r>
          </w:p>
        </w:tc>
        <w:tc>
          <w:tcPr>
            <w:tcW w:w="1018" w:type="pct"/>
            <w:gridSpan w:val="2"/>
            <w:tcBorders>
              <w:bottom w:val="single" w:sz="4" w:space="0" w:color="auto"/>
            </w:tcBorders>
            <w:shd w:val="clear" w:color="auto" w:fill="auto"/>
            <w:vAlign w:val="center"/>
          </w:tcPr>
          <w:p w14:paraId="7121B325" w14:textId="6E56A577" w:rsidR="007132FA" w:rsidRPr="007132FA" w:rsidRDefault="1377C725" w:rsidP="003E2AB1">
            <w:pPr>
              <w:pStyle w:val="Tabletext0"/>
              <w:rPr>
                <w:lang w:val="en-US"/>
              </w:rPr>
            </w:pPr>
            <w:r w:rsidRPr="073E3263">
              <w:rPr>
                <w:rFonts w:ascii="Wingdings 2" w:eastAsia="Wingdings 2" w:hAnsi="Wingdings 2" w:cs="Wingdings 2"/>
                <w:lang w:val="en-US"/>
              </w:rPr>
              <w:t>P</w:t>
            </w:r>
          </w:p>
        </w:tc>
        <w:tc>
          <w:tcPr>
            <w:tcW w:w="1013" w:type="pct"/>
            <w:gridSpan w:val="2"/>
            <w:tcBorders>
              <w:bottom w:val="single" w:sz="4" w:space="0" w:color="auto"/>
            </w:tcBorders>
            <w:shd w:val="clear" w:color="auto" w:fill="auto"/>
            <w:vAlign w:val="center"/>
          </w:tcPr>
          <w:p w14:paraId="34E27D37" w14:textId="7E202356" w:rsidR="007132FA" w:rsidRPr="007132FA" w:rsidRDefault="76B6DC71" w:rsidP="003E2AB1">
            <w:pPr>
              <w:pStyle w:val="Tabletext0"/>
              <w:rPr>
                <w:lang w:val="en-US"/>
              </w:rPr>
            </w:pPr>
            <w:r w:rsidRPr="073E3263">
              <w:rPr>
                <w:rFonts w:ascii="Wingdings 2" w:eastAsia="Wingdings 2" w:hAnsi="Wingdings 2" w:cs="Wingdings 2"/>
                <w:lang w:val="en-US"/>
              </w:rPr>
              <w:t>P</w:t>
            </w:r>
          </w:p>
        </w:tc>
        <w:tc>
          <w:tcPr>
            <w:tcW w:w="1003" w:type="pct"/>
            <w:gridSpan w:val="2"/>
            <w:tcBorders>
              <w:bottom w:val="single" w:sz="4" w:space="0" w:color="auto"/>
            </w:tcBorders>
            <w:shd w:val="clear" w:color="auto" w:fill="auto"/>
            <w:vAlign w:val="center"/>
          </w:tcPr>
          <w:p w14:paraId="6FEA7AAC" w14:textId="71A1AB6E" w:rsidR="007132FA" w:rsidRPr="007132FA" w:rsidRDefault="1709C453" w:rsidP="003E2AB1">
            <w:pPr>
              <w:pStyle w:val="Tabletext0"/>
              <w:rPr>
                <w:lang w:val="en-US"/>
              </w:rPr>
            </w:pPr>
            <w:r w:rsidRPr="073E3263">
              <w:rPr>
                <w:rFonts w:ascii="Wingdings 2" w:eastAsia="Wingdings 2" w:hAnsi="Wingdings 2" w:cs="Wingdings 2"/>
                <w:lang w:val="en-US"/>
              </w:rPr>
              <w:t>P</w:t>
            </w:r>
          </w:p>
        </w:tc>
      </w:tr>
      <w:tr w:rsidR="00D82D2D" w:rsidRPr="007132FA" w14:paraId="73220D89" w14:textId="77777777" w:rsidTr="073E3263">
        <w:trPr>
          <w:trHeight w:val="284"/>
        </w:trPr>
        <w:tc>
          <w:tcPr>
            <w:tcW w:w="5000" w:type="pct"/>
            <w:gridSpan w:val="7"/>
            <w:tcBorders>
              <w:left w:val="nil"/>
              <w:bottom w:val="nil"/>
              <w:right w:val="nil"/>
            </w:tcBorders>
            <w:shd w:val="clear" w:color="auto" w:fill="auto"/>
            <w:vAlign w:val="center"/>
          </w:tcPr>
          <w:p w14:paraId="22869CD6" w14:textId="44EF1EDE" w:rsidR="00D82D2D" w:rsidRPr="00D82D2D" w:rsidRDefault="00D82D2D" w:rsidP="00F21050">
            <w:pPr>
              <w:pStyle w:val="Tablenotes"/>
            </w:pPr>
            <w:r w:rsidRPr="00D82D2D">
              <w:t xml:space="preserve">*Literature reviewed </w:t>
            </w:r>
            <w:r w:rsidR="00011E47" w:rsidRPr="00D82D2D">
              <w:t>after</w:t>
            </w:r>
            <w:r w:rsidRPr="00D82D2D">
              <w:t xml:space="preserve"> the workshop suggested that whirling disease is not known to occur in Australia. It was therefore not considered further in the risk assessment.</w:t>
            </w:r>
          </w:p>
          <w:p w14:paraId="31FA8737" w14:textId="77777777" w:rsidR="00D82D2D" w:rsidRPr="007132FA" w:rsidRDefault="00D82D2D" w:rsidP="007132FA">
            <w:pPr>
              <w:pStyle w:val="NoSpacing"/>
              <w:rPr>
                <w:rFonts w:asciiTheme="majorHAnsi" w:hAnsiTheme="majorHAnsi"/>
                <w:sz w:val="22"/>
                <w:szCs w:val="22"/>
                <w:lang w:val="en-US"/>
              </w:rPr>
            </w:pPr>
          </w:p>
        </w:tc>
      </w:tr>
      <w:tr w:rsidR="00253D8D" w:rsidRPr="007132FA" w14:paraId="61379775" w14:textId="77777777" w:rsidTr="073E3263">
        <w:trPr>
          <w:trHeight w:val="284"/>
        </w:trPr>
        <w:tc>
          <w:tcPr>
            <w:tcW w:w="5000" w:type="pct"/>
            <w:gridSpan w:val="7"/>
            <w:tcBorders>
              <w:top w:val="nil"/>
              <w:left w:val="nil"/>
              <w:right w:val="nil"/>
            </w:tcBorders>
            <w:shd w:val="clear" w:color="auto" w:fill="auto"/>
            <w:vAlign w:val="center"/>
          </w:tcPr>
          <w:p w14:paraId="7AC135BD" w14:textId="250847F7" w:rsidR="00253D8D" w:rsidRPr="00253D8D" w:rsidRDefault="00253D8D" w:rsidP="00A4665C">
            <w:pPr>
              <w:pStyle w:val="Caption"/>
            </w:pPr>
            <w:bookmarkStart w:id="129" w:name="_Ref213745400"/>
            <w:bookmarkStart w:id="130" w:name="_Ref88223327"/>
            <w:bookmarkStart w:id="131" w:name="_Toc83949723"/>
            <w:bookmarkStart w:id="132" w:name="_Toc221014768"/>
            <w:bookmarkStart w:id="133" w:name="_Ref57141512"/>
            <w:r w:rsidRPr="00253D8D">
              <w:t xml:space="preserve">Table </w:t>
            </w:r>
            <w:bookmarkEnd w:id="129"/>
            <w:r w:rsidRPr="00253D8D">
              <w:t>B</w:t>
            </w:r>
            <w:fldSimple w:instr=" SEQ Table_B \* ARABIC ">
              <w:r w:rsidR="00FD64B0">
                <w:rPr>
                  <w:noProof/>
                </w:rPr>
                <w:t>9</w:t>
              </w:r>
            </w:fldSimple>
            <w:bookmarkEnd w:id="130"/>
            <w:r>
              <w:t xml:space="preserve"> </w:t>
            </w:r>
            <w:r w:rsidR="009575B6" w:rsidRPr="00841850">
              <w:t>–</w:t>
            </w:r>
            <w:r w:rsidRPr="00253D8D">
              <w:t xml:space="preserve"> Potential environmental effects of GV Water WWTP discharges</w:t>
            </w:r>
            <w:bookmarkEnd w:id="131"/>
            <w:bookmarkEnd w:id="132"/>
            <w:bookmarkEnd w:id="133"/>
          </w:p>
        </w:tc>
      </w:tr>
      <w:tr w:rsidR="007132FA" w:rsidRPr="007132FA" w14:paraId="7C402BF8" w14:textId="77777777" w:rsidTr="003E2AB1">
        <w:trPr>
          <w:trHeight w:val="284"/>
        </w:trPr>
        <w:tc>
          <w:tcPr>
            <w:tcW w:w="2392" w:type="pct"/>
            <w:gridSpan w:val="2"/>
            <w:shd w:val="clear" w:color="auto" w:fill="003F72"/>
            <w:vAlign w:val="center"/>
          </w:tcPr>
          <w:p w14:paraId="600A0117" w14:textId="77777777" w:rsidR="007132FA" w:rsidRPr="007A7571" w:rsidRDefault="007132FA" w:rsidP="007A7571">
            <w:pPr>
              <w:pStyle w:val="Tabletext0"/>
            </w:pPr>
            <w:r w:rsidRPr="007A7571">
              <w:t>Effects</w:t>
            </w:r>
          </w:p>
        </w:tc>
        <w:tc>
          <w:tcPr>
            <w:tcW w:w="867" w:type="pct"/>
            <w:gridSpan w:val="2"/>
            <w:shd w:val="clear" w:color="auto" w:fill="003F72"/>
            <w:vAlign w:val="center"/>
          </w:tcPr>
          <w:p w14:paraId="7AD8B016" w14:textId="77777777" w:rsidR="007132FA" w:rsidRPr="007A7571" w:rsidRDefault="007132FA" w:rsidP="007A7571">
            <w:pPr>
              <w:pStyle w:val="Tabletext0"/>
            </w:pPr>
            <w:r w:rsidRPr="007A7571">
              <w:t>Shepparton</w:t>
            </w:r>
          </w:p>
        </w:tc>
        <w:tc>
          <w:tcPr>
            <w:tcW w:w="867" w:type="pct"/>
            <w:gridSpan w:val="2"/>
            <w:shd w:val="clear" w:color="auto" w:fill="003F72"/>
            <w:vAlign w:val="center"/>
          </w:tcPr>
          <w:p w14:paraId="65E828F0" w14:textId="77777777" w:rsidR="007132FA" w:rsidRPr="007A7571" w:rsidRDefault="007132FA" w:rsidP="007A7571">
            <w:pPr>
              <w:pStyle w:val="Tabletext0"/>
            </w:pPr>
            <w:r w:rsidRPr="007A7571">
              <w:t>Alexandra</w:t>
            </w:r>
          </w:p>
        </w:tc>
        <w:tc>
          <w:tcPr>
            <w:tcW w:w="873" w:type="pct"/>
            <w:shd w:val="clear" w:color="auto" w:fill="003F72"/>
            <w:vAlign w:val="center"/>
          </w:tcPr>
          <w:p w14:paraId="16775D3A" w14:textId="77777777" w:rsidR="007132FA" w:rsidRPr="007A7571" w:rsidRDefault="007132FA" w:rsidP="007A7571">
            <w:pPr>
              <w:pStyle w:val="Tabletext0"/>
            </w:pPr>
            <w:r w:rsidRPr="007A7571">
              <w:t>Eildon</w:t>
            </w:r>
          </w:p>
        </w:tc>
      </w:tr>
      <w:tr w:rsidR="007132FA" w:rsidRPr="007132FA" w14:paraId="1A49C2C9" w14:textId="77777777" w:rsidTr="003E2AB1">
        <w:trPr>
          <w:trHeight w:val="284"/>
        </w:trPr>
        <w:tc>
          <w:tcPr>
            <w:tcW w:w="2392" w:type="pct"/>
            <w:gridSpan w:val="2"/>
            <w:shd w:val="clear" w:color="auto" w:fill="auto"/>
            <w:vAlign w:val="center"/>
          </w:tcPr>
          <w:p w14:paraId="44E3C83F" w14:textId="77777777" w:rsidR="007132FA" w:rsidRPr="007A7571" w:rsidRDefault="007132FA" w:rsidP="007A7571">
            <w:pPr>
              <w:pStyle w:val="Tabletext0"/>
            </w:pPr>
            <w:r w:rsidRPr="007A7571">
              <w:t>Increased macrophyte growth</w:t>
            </w:r>
          </w:p>
        </w:tc>
        <w:tc>
          <w:tcPr>
            <w:tcW w:w="867" w:type="pct"/>
            <w:gridSpan w:val="2"/>
            <w:shd w:val="clear" w:color="auto" w:fill="auto"/>
            <w:vAlign w:val="center"/>
          </w:tcPr>
          <w:p w14:paraId="7185FC2A" w14:textId="36A94DE7" w:rsidR="007132FA" w:rsidRPr="007132FA" w:rsidRDefault="6B4BB58A"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3C27CAF3" w14:textId="7E013E68" w:rsidR="007132FA" w:rsidRPr="007132FA" w:rsidRDefault="36ACD56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5DA19123" w14:textId="23014F12" w:rsidR="007132FA" w:rsidRPr="007132FA" w:rsidRDefault="0AF80F0C"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3E787614" w14:textId="77777777" w:rsidTr="003E2AB1">
        <w:trPr>
          <w:trHeight w:val="284"/>
        </w:trPr>
        <w:tc>
          <w:tcPr>
            <w:tcW w:w="2392" w:type="pct"/>
            <w:gridSpan w:val="2"/>
            <w:shd w:val="clear" w:color="auto" w:fill="auto"/>
            <w:vAlign w:val="center"/>
          </w:tcPr>
          <w:p w14:paraId="1AC24F0C" w14:textId="77777777" w:rsidR="007132FA" w:rsidRPr="007A7571" w:rsidRDefault="007132FA" w:rsidP="007A7571">
            <w:pPr>
              <w:pStyle w:val="Tabletext0"/>
            </w:pPr>
            <w:r w:rsidRPr="007A7571">
              <w:t>Algal blooms</w:t>
            </w:r>
          </w:p>
        </w:tc>
        <w:tc>
          <w:tcPr>
            <w:tcW w:w="867" w:type="pct"/>
            <w:gridSpan w:val="2"/>
            <w:shd w:val="clear" w:color="auto" w:fill="auto"/>
            <w:vAlign w:val="center"/>
          </w:tcPr>
          <w:p w14:paraId="2B5F316A" w14:textId="65EE0223" w:rsidR="007132FA" w:rsidRPr="007132FA" w:rsidRDefault="707142FB"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7DF76FDE" w14:textId="769E95DD" w:rsidR="007132FA" w:rsidRPr="007132FA" w:rsidRDefault="36ACD56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188B98FA" w14:textId="3BD629B1" w:rsidR="007132FA" w:rsidRPr="007132FA" w:rsidRDefault="0AF80F0C"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01BC4AA" w14:textId="77777777" w:rsidTr="003E2AB1">
        <w:trPr>
          <w:trHeight w:val="284"/>
        </w:trPr>
        <w:tc>
          <w:tcPr>
            <w:tcW w:w="2392" w:type="pct"/>
            <w:gridSpan w:val="2"/>
            <w:shd w:val="clear" w:color="auto" w:fill="auto"/>
            <w:vAlign w:val="center"/>
          </w:tcPr>
          <w:p w14:paraId="2E56AD24" w14:textId="77777777" w:rsidR="007132FA" w:rsidRPr="007A7571" w:rsidRDefault="007132FA" w:rsidP="007A7571">
            <w:pPr>
              <w:pStyle w:val="Tabletext0"/>
            </w:pPr>
            <w:r w:rsidRPr="007A7571">
              <w:t>Loss of species</w:t>
            </w:r>
          </w:p>
        </w:tc>
        <w:tc>
          <w:tcPr>
            <w:tcW w:w="867" w:type="pct"/>
            <w:gridSpan w:val="2"/>
            <w:shd w:val="clear" w:color="auto" w:fill="auto"/>
            <w:vAlign w:val="center"/>
          </w:tcPr>
          <w:p w14:paraId="4E3D09AE" w14:textId="48CF3897" w:rsidR="007132FA" w:rsidRPr="007132FA" w:rsidRDefault="707142FB"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16A93C9E" w14:textId="57E431D0" w:rsidR="007132FA" w:rsidRPr="007132FA" w:rsidRDefault="305FB07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75873C28" w14:textId="0DEE09EA" w:rsidR="007132FA" w:rsidRPr="007132FA" w:rsidRDefault="658B8AE9"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CA7385E" w14:textId="77777777" w:rsidTr="003E2AB1">
        <w:trPr>
          <w:trHeight w:val="284"/>
        </w:trPr>
        <w:tc>
          <w:tcPr>
            <w:tcW w:w="2392" w:type="pct"/>
            <w:gridSpan w:val="2"/>
            <w:shd w:val="clear" w:color="auto" w:fill="auto"/>
            <w:vAlign w:val="center"/>
          </w:tcPr>
          <w:p w14:paraId="24548A99" w14:textId="77777777" w:rsidR="007132FA" w:rsidRPr="007A7571" w:rsidRDefault="007132FA" w:rsidP="007A7571">
            <w:pPr>
              <w:pStyle w:val="Tabletext0"/>
            </w:pPr>
            <w:r w:rsidRPr="007A7571">
              <w:t>Reduced health of individual organisms (condition)</w:t>
            </w:r>
          </w:p>
        </w:tc>
        <w:tc>
          <w:tcPr>
            <w:tcW w:w="867" w:type="pct"/>
            <w:gridSpan w:val="2"/>
            <w:shd w:val="clear" w:color="auto" w:fill="auto"/>
            <w:vAlign w:val="center"/>
          </w:tcPr>
          <w:p w14:paraId="5A55C514" w14:textId="1A5D42CB" w:rsidR="007132FA" w:rsidRPr="007132FA" w:rsidRDefault="102DB25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277684A2" w14:textId="4A71E955" w:rsidR="007132FA" w:rsidRPr="007132FA" w:rsidRDefault="305FB07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8CAF1B4" w14:textId="38453D36" w:rsidR="007132FA" w:rsidRPr="007132FA" w:rsidRDefault="658B8AE9"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5430B59F" w14:textId="77777777" w:rsidTr="003E2AB1">
        <w:trPr>
          <w:trHeight w:val="284"/>
        </w:trPr>
        <w:tc>
          <w:tcPr>
            <w:tcW w:w="2392" w:type="pct"/>
            <w:gridSpan w:val="2"/>
            <w:shd w:val="clear" w:color="auto" w:fill="auto"/>
            <w:vAlign w:val="center"/>
          </w:tcPr>
          <w:p w14:paraId="662A4DE8" w14:textId="77777777" w:rsidR="007132FA" w:rsidRPr="007A7571" w:rsidRDefault="007132FA" w:rsidP="007A7571">
            <w:pPr>
              <w:pStyle w:val="Tabletext0"/>
            </w:pPr>
            <w:r w:rsidRPr="007A7571">
              <w:t>Water quality as a barrier to fish movement</w:t>
            </w:r>
          </w:p>
        </w:tc>
        <w:tc>
          <w:tcPr>
            <w:tcW w:w="867" w:type="pct"/>
            <w:gridSpan w:val="2"/>
            <w:shd w:val="clear" w:color="auto" w:fill="auto"/>
            <w:vAlign w:val="center"/>
          </w:tcPr>
          <w:p w14:paraId="7FFB9C83" w14:textId="1F49A367" w:rsidR="007132FA" w:rsidRPr="007132FA" w:rsidRDefault="102DB25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72B0489F" w14:textId="0200D1AB" w:rsidR="007132FA" w:rsidRPr="007132FA" w:rsidRDefault="59C1E926"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6FDEDF7D" w14:textId="398155CD" w:rsidR="007132FA" w:rsidRPr="007132FA" w:rsidRDefault="637EBBA1"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96C06BA" w14:textId="77777777" w:rsidTr="003E2AB1">
        <w:trPr>
          <w:trHeight w:val="284"/>
        </w:trPr>
        <w:tc>
          <w:tcPr>
            <w:tcW w:w="2392" w:type="pct"/>
            <w:gridSpan w:val="2"/>
            <w:shd w:val="clear" w:color="auto" w:fill="auto"/>
            <w:vAlign w:val="center"/>
          </w:tcPr>
          <w:p w14:paraId="6BB46E4C" w14:textId="77777777" w:rsidR="007132FA" w:rsidRPr="007A7571" w:rsidRDefault="007132FA" w:rsidP="007A7571">
            <w:pPr>
              <w:pStyle w:val="Tabletext0"/>
            </w:pPr>
            <w:r w:rsidRPr="007A7571">
              <w:t>Community composition changes</w:t>
            </w:r>
          </w:p>
        </w:tc>
        <w:tc>
          <w:tcPr>
            <w:tcW w:w="867" w:type="pct"/>
            <w:gridSpan w:val="2"/>
            <w:shd w:val="clear" w:color="auto" w:fill="auto"/>
            <w:vAlign w:val="center"/>
          </w:tcPr>
          <w:p w14:paraId="03F85C23" w14:textId="68E3B2FC" w:rsidR="007132FA" w:rsidRPr="007132FA" w:rsidRDefault="2C60634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69F36E5F" w14:textId="6EEEC6D3" w:rsidR="007132FA" w:rsidRPr="007132FA" w:rsidRDefault="0B4DE95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3ADE338A" w14:textId="7ED05E39" w:rsidR="007132FA" w:rsidRPr="007132FA" w:rsidRDefault="637EBBA1"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BB1EDD0" w14:textId="77777777" w:rsidTr="003E2AB1">
        <w:trPr>
          <w:trHeight w:val="284"/>
        </w:trPr>
        <w:tc>
          <w:tcPr>
            <w:tcW w:w="2392" w:type="pct"/>
            <w:gridSpan w:val="2"/>
            <w:shd w:val="clear" w:color="auto" w:fill="auto"/>
            <w:vAlign w:val="center"/>
          </w:tcPr>
          <w:p w14:paraId="404B065B" w14:textId="77777777" w:rsidR="007132FA" w:rsidRPr="007A7571" w:rsidRDefault="007132FA" w:rsidP="007A7571">
            <w:pPr>
              <w:pStyle w:val="Tabletext0"/>
            </w:pPr>
            <w:r w:rsidRPr="007A7571">
              <w:t>Human health impacts*</w:t>
            </w:r>
          </w:p>
        </w:tc>
        <w:tc>
          <w:tcPr>
            <w:tcW w:w="867" w:type="pct"/>
            <w:gridSpan w:val="2"/>
            <w:shd w:val="clear" w:color="auto" w:fill="auto"/>
            <w:vAlign w:val="center"/>
          </w:tcPr>
          <w:p w14:paraId="193FA368" w14:textId="03C53E34" w:rsidR="007132FA" w:rsidRPr="007132FA" w:rsidRDefault="2C60634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396C9829" w14:textId="3DCB2823" w:rsidR="007132FA" w:rsidRPr="007132FA" w:rsidRDefault="0B4DE95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16162C65" w14:textId="5675075A" w:rsidR="007132FA" w:rsidRPr="007132FA" w:rsidRDefault="05036AEA"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4A3FDB7E" w14:textId="77777777" w:rsidTr="003E2AB1">
        <w:trPr>
          <w:trHeight w:val="284"/>
        </w:trPr>
        <w:tc>
          <w:tcPr>
            <w:tcW w:w="2392" w:type="pct"/>
            <w:gridSpan w:val="2"/>
            <w:shd w:val="clear" w:color="auto" w:fill="auto"/>
            <w:vAlign w:val="center"/>
          </w:tcPr>
          <w:p w14:paraId="23FD3D93" w14:textId="340FD959" w:rsidR="007132FA" w:rsidRPr="007A7571" w:rsidRDefault="007132FA" w:rsidP="007A7571">
            <w:pPr>
              <w:pStyle w:val="Tabletext0"/>
            </w:pPr>
            <w:r w:rsidRPr="007A7571">
              <w:t>Reduced recreational potential</w:t>
            </w:r>
          </w:p>
        </w:tc>
        <w:tc>
          <w:tcPr>
            <w:tcW w:w="867" w:type="pct"/>
            <w:gridSpan w:val="2"/>
            <w:shd w:val="clear" w:color="auto" w:fill="auto"/>
            <w:vAlign w:val="center"/>
          </w:tcPr>
          <w:p w14:paraId="452FF15D" w14:textId="21556C08" w:rsidR="007132FA" w:rsidRPr="007132FA" w:rsidRDefault="5392B582"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5B4B6921" w14:textId="421697F5" w:rsidR="007132FA" w:rsidRPr="007132FA" w:rsidRDefault="276B84E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770D09DA" w14:textId="2ACC76CD" w:rsidR="007132FA" w:rsidRPr="007132FA" w:rsidRDefault="05036AEA"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2F9978A" w14:textId="77777777" w:rsidTr="003E2AB1">
        <w:trPr>
          <w:trHeight w:val="284"/>
        </w:trPr>
        <w:tc>
          <w:tcPr>
            <w:tcW w:w="2392" w:type="pct"/>
            <w:gridSpan w:val="2"/>
            <w:shd w:val="clear" w:color="auto" w:fill="auto"/>
            <w:vAlign w:val="center"/>
          </w:tcPr>
          <w:p w14:paraId="0ED44ED0" w14:textId="18DC48E2" w:rsidR="007132FA" w:rsidRPr="007A7571" w:rsidRDefault="007132FA" w:rsidP="007A7571">
            <w:pPr>
              <w:pStyle w:val="Tabletext0"/>
            </w:pPr>
            <w:r w:rsidRPr="007A7571">
              <w:t>Livestock health (agriculture)</w:t>
            </w:r>
          </w:p>
        </w:tc>
        <w:tc>
          <w:tcPr>
            <w:tcW w:w="867" w:type="pct"/>
            <w:gridSpan w:val="2"/>
            <w:shd w:val="clear" w:color="auto" w:fill="auto"/>
            <w:vAlign w:val="center"/>
          </w:tcPr>
          <w:p w14:paraId="01E03378" w14:textId="1CAEE8BA" w:rsidR="007132FA" w:rsidRPr="007132FA" w:rsidRDefault="5392B582"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11233506" w14:textId="110DB8F8" w:rsidR="007132FA" w:rsidRPr="007132FA" w:rsidRDefault="276B84E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EB5E407" w14:textId="57256C36" w:rsidR="007132FA" w:rsidRPr="007132FA" w:rsidRDefault="6B703D13"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33DCAC55" w14:textId="77777777" w:rsidTr="003E2AB1">
        <w:trPr>
          <w:trHeight w:val="284"/>
        </w:trPr>
        <w:tc>
          <w:tcPr>
            <w:tcW w:w="2392" w:type="pct"/>
            <w:gridSpan w:val="2"/>
            <w:shd w:val="clear" w:color="auto" w:fill="auto"/>
            <w:vAlign w:val="center"/>
          </w:tcPr>
          <w:p w14:paraId="6C376F68" w14:textId="59EDF4FC" w:rsidR="007132FA" w:rsidRPr="007A7571" w:rsidRDefault="007132FA" w:rsidP="007A7571">
            <w:pPr>
              <w:pStyle w:val="Tabletext0"/>
            </w:pPr>
            <w:r w:rsidRPr="007A7571">
              <w:t>Fish health (aquaculture)</w:t>
            </w:r>
          </w:p>
        </w:tc>
        <w:tc>
          <w:tcPr>
            <w:tcW w:w="867" w:type="pct"/>
            <w:gridSpan w:val="2"/>
            <w:shd w:val="clear" w:color="auto" w:fill="auto"/>
            <w:vAlign w:val="center"/>
          </w:tcPr>
          <w:p w14:paraId="25B9E6BD" w14:textId="7FABDA95" w:rsidR="007132FA" w:rsidRPr="007132FA" w:rsidRDefault="53CE8C76"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c>
          <w:tcPr>
            <w:tcW w:w="867" w:type="pct"/>
            <w:gridSpan w:val="2"/>
            <w:shd w:val="clear" w:color="auto" w:fill="auto"/>
            <w:vAlign w:val="center"/>
          </w:tcPr>
          <w:p w14:paraId="67D5A12C" w14:textId="4C08BE61" w:rsidR="007132FA" w:rsidRPr="007132FA" w:rsidRDefault="2DE42B02"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994FDE3" w14:textId="055485C8" w:rsidR="007132FA" w:rsidRPr="007132FA" w:rsidRDefault="6B703D13"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853A9E5" w14:textId="77777777" w:rsidTr="003E2AB1">
        <w:trPr>
          <w:trHeight w:val="284"/>
        </w:trPr>
        <w:tc>
          <w:tcPr>
            <w:tcW w:w="2392" w:type="pct"/>
            <w:gridSpan w:val="2"/>
            <w:tcBorders>
              <w:bottom w:val="single" w:sz="4" w:space="0" w:color="auto"/>
            </w:tcBorders>
            <w:shd w:val="clear" w:color="auto" w:fill="auto"/>
            <w:vAlign w:val="center"/>
          </w:tcPr>
          <w:p w14:paraId="33CBFB91" w14:textId="77777777" w:rsidR="007132FA" w:rsidRPr="007A7571" w:rsidRDefault="007132FA" w:rsidP="007A7571">
            <w:pPr>
              <w:pStyle w:val="Tabletext0"/>
            </w:pPr>
            <w:r w:rsidRPr="007A7571">
              <w:t>Altered hydrological regime</w:t>
            </w:r>
          </w:p>
        </w:tc>
        <w:tc>
          <w:tcPr>
            <w:tcW w:w="867" w:type="pct"/>
            <w:gridSpan w:val="2"/>
            <w:tcBorders>
              <w:bottom w:val="single" w:sz="4" w:space="0" w:color="auto"/>
            </w:tcBorders>
            <w:shd w:val="clear" w:color="auto" w:fill="auto"/>
            <w:vAlign w:val="center"/>
          </w:tcPr>
          <w:p w14:paraId="337EB67A" w14:textId="76A83433" w:rsidR="007132FA" w:rsidRPr="007132FA" w:rsidRDefault="030638B9"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tcBorders>
              <w:bottom w:val="single" w:sz="4" w:space="0" w:color="auto"/>
            </w:tcBorders>
            <w:shd w:val="clear" w:color="auto" w:fill="auto"/>
            <w:vAlign w:val="center"/>
          </w:tcPr>
          <w:p w14:paraId="1F2B4721" w14:textId="4411AAB4" w:rsidR="007132FA" w:rsidRPr="007132FA" w:rsidRDefault="38F5CA3B"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c>
          <w:tcPr>
            <w:tcW w:w="873" w:type="pct"/>
            <w:tcBorders>
              <w:bottom w:val="single" w:sz="4" w:space="0" w:color="auto"/>
            </w:tcBorders>
            <w:shd w:val="clear" w:color="auto" w:fill="auto"/>
            <w:vAlign w:val="center"/>
          </w:tcPr>
          <w:p w14:paraId="5A548A8A" w14:textId="5CDF8F8A" w:rsidR="007132FA" w:rsidRPr="007132FA" w:rsidRDefault="38F5CA3B"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r>
    </w:tbl>
    <w:p w14:paraId="7CA56ECE" w14:textId="349B2FBD" w:rsidR="009F7143" w:rsidRDefault="003E2AB1" w:rsidP="003E2AB1">
      <w:pPr>
        <w:pStyle w:val="Tablenotes"/>
      </w:pPr>
      <w:r>
        <w:t>*</w:t>
      </w:r>
      <w:r w:rsidRPr="00253D8D">
        <w:t>Would require an independent human health risk assessment (</w:t>
      </w:r>
      <w:r w:rsidRPr="00563114">
        <w:t>see</w:t>
      </w:r>
      <w:r>
        <w:t xml:space="preserve"> Appendix C</w:t>
      </w:r>
      <w:r w:rsidRPr="00253D8D">
        <w:t>).</w:t>
      </w:r>
    </w:p>
    <w:p w14:paraId="5DDD0BE8" w14:textId="02852379" w:rsidR="00E35CAC" w:rsidRDefault="00E35CAC" w:rsidP="00E35CAC">
      <w:pPr>
        <w:pStyle w:val="NoSpacing"/>
        <w:keepNext/>
      </w:pPr>
      <w:r>
        <w:rPr>
          <w:noProof/>
        </w:rPr>
        <w:lastRenderedPageBreak/>
        <w:drawing>
          <wp:inline distT="0" distB="0" distL="0" distR="0" wp14:anchorId="48AE8072" wp14:editId="76DDC01E">
            <wp:extent cx="6406378" cy="42291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58"/>
                    <a:srcRect/>
                    <a:stretch>
                      <a:fillRect/>
                    </a:stretch>
                  </pic:blipFill>
                  <pic:spPr bwMode="auto">
                    <a:xfrm>
                      <a:off x="0" y="0"/>
                      <a:ext cx="6428921" cy="4243981"/>
                    </a:xfrm>
                    <a:prstGeom prst="rect">
                      <a:avLst/>
                    </a:prstGeom>
                    <a:noFill/>
                  </pic:spPr>
                </pic:pic>
              </a:graphicData>
            </a:graphic>
          </wp:inline>
        </w:drawing>
      </w:r>
    </w:p>
    <w:p w14:paraId="083C339A" w14:textId="6E1A3CC4" w:rsidR="00E35CAC" w:rsidRDefault="00E35CAC" w:rsidP="00E35CAC">
      <w:pPr>
        <w:pStyle w:val="Caption"/>
      </w:pPr>
      <w:bookmarkStart w:id="134" w:name="_Ref132747929"/>
      <w:r>
        <w:t>Figure B</w:t>
      </w:r>
      <w:fldSimple w:instr=" SEQ Figure_B \* ARABIC ">
        <w:r w:rsidR="00FD64B0">
          <w:rPr>
            <w:noProof/>
          </w:rPr>
          <w:t>3</w:t>
        </w:r>
      </w:fldSimple>
      <w:bookmarkEnd w:id="134"/>
      <w:r>
        <w:t xml:space="preserve"> – </w:t>
      </w:r>
      <w:r w:rsidRPr="008F20DC">
        <w:t xml:space="preserve">Conceptual model of the relationship between a wastewater treatment plant (WWTP) discharge and the biodiversity values of the Goulburn River. </w:t>
      </w:r>
      <w:r w:rsidRPr="00E33966">
        <w:t>Notes: EC = electrical conductivity</w:t>
      </w:r>
      <w:r>
        <w:rPr>
          <w:noProof/>
        </w:rPr>
        <w:t xml:space="preserve">, </w:t>
      </w:r>
      <w:r w:rsidRPr="00E33966">
        <w:t>EDC = endocrine disruptive chemicals, NH</w:t>
      </w:r>
      <w:r w:rsidRPr="00E33966">
        <w:rPr>
          <w:vertAlign w:val="subscript"/>
        </w:rPr>
        <w:t>3</w:t>
      </w:r>
      <w:r w:rsidRPr="00E33966">
        <w:t xml:space="preserve"> = ammonia, NH</w:t>
      </w:r>
      <w:r w:rsidRPr="00E33966">
        <w:rPr>
          <w:vertAlign w:val="subscript"/>
        </w:rPr>
        <w:t>4</w:t>
      </w:r>
      <w:r w:rsidRPr="00E33966">
        <w:t xml:space="preserve"> = ammonium, NO</w:t>
      </w:r>
      <w:r w:rsidRPr="00E33966">
        <w:rPr>
          <w:vertAlign w:val="subscript"/>
        </w:rPr>
        <w:t>3</w:t>
      </w:r>
      <w:r w:rsidRPr="00E33966">
        <w:t xml:space="preserve"> = nitrate, NO</w:t>
      </w:r>
      <w:r w:rsidRPr="00E33966">
        <w:rPr>
          <w:vertAlign w:val="subscript"/>
        </w:rPr>
        <w:t>x</w:t>
      </w:r>
      <w:r w:rsidRPr="00E33966">
        <w:t xml:space="preserve"> = nitrogen oxide, TP = total phosphorus</w:t>
      </w:r>
    </w:p>
    <w:p w14:paraId="00760D47" w14:textId="089452FF" w:rsidR="00E35CAC" w:rsidRDefault="00E35CAC" w:rsidP="00E35CAC">
      <w:pPr>
        <w:pStyle w:val="Tablenotes"/>
      </w:pPr>
    </w:p>
    <w:p w14:paraId="642D4D28" w14:textId="77777777" w:rsidR="00E35CAC" w:rsidRDefault="00E35CAC" w:rsidP="00E35CAC">
      <w:pPr>
        <w:keepNext/>
        <w:spacing w:after="0"/>
      </w:pPr>
      <w:r>
        <w:rPr>
          <w:noProof/>
        </w:rPr>
        <w:lastRenderedPageBreak/>
        <w:drawing>
          <wp:inline distT="0" distB="0" distL="0" distR="0" wp14:anchorId="1FE1E2F5" wp14:editId="7A7B397D">
            <wp:extent cx="6476310" cy="386541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9"/>
                    <a:srcRect/>
                    <a:stretch>
                      <a:fillRect/>
                    </a:stretch>
                  </pic:blipFill>
                  <pic:spPr bwMode="auto">
                    <a:xfrm>
                      <a:off x="0" y="0"/>
                      <a:ext cx="6495773" cy="3877034"/>
                    </a:xfrm>
                    <a:prstGeom prst="rect">
                      <a:avLst/>
                    </a:prstGeom>
                    <a:noFill/>
                  </pic:spPr>
                </pic:pic>
              </a:graphicData>
            </a:graphic>
          </wp:inline>
        </w:drawing>
      </w:r>
    </w:p>
    <w:p w14:paraId="38F5ED05" w14:textId="691A367D" w:rsidR="00E35CAC" w:rsidRDefault="00E35CAC" w:rsidP="00E35CAC">
      <w:pPr>
        <w:pStyle w:val="Caption"/>
      </w:pPr>
      <w:bookmarkStart w:id="135" w:name="_Ref132747915"/>
      <w:r>
        <w:t>Figure B</w:t>
      </w:r>
      <w:fldSimple w:instr=" SEQ Figure_B \* ARABIC ">
        <w:r w:rsidR="00FD64B0">
          <w:rPr>
            <w:noProof/>
          </w:rPr>
          <w:t>4</w:t>
        </w:r>
      </w:fldSimple>
      <w:bookmarkEnd w:id="135"/>
      <w:r>
        <w:t xml:space="preserve"> – </w:t>
      </w:r>
      <w:r w:rsidRPr="00C069AB">
        <w:t>Conceptual model of the relationship between a wastewater treatment plant (WWTP) discharge and the recreational values of the Goulburn River. Notes: EC = electrical conductivity, TSS = total suspended solids</w:t>
      </w:r>
    </w:p>
    <w:p w14:paraId="0EECB57D" w14:textId="451C27BD" w:rsidR="009F7143" w:rsidRDefault="009F7143">
      <w:pPr>
        <w:spacing w:after="0"/>
      </w:pPr>
      <w:r>
        <w:br w:type="page"/>
      </w:r>
    </w:p>
    <w:p w14:paraId="5CFED0D5" w14:textId="77777777" w:rsidR="00E35CAC" w:rsidRDefault="00E35CAC" w:rsidP="00E35CAC">
      <w:pPr>
        <w:keepNext/>
        <w:spacing w:after="0"/>
      </w:pPr>
      <w:r>
        <w:rPr>
          <w:noProof/>
        </w:rPr>
        <w:lastRenderedPageBreak/>
        <w:drawing>
          <wp:inline distT="0" distB="0" distL="0" distR="0" wp14:anchorId="675629CB" wp14:editId="115B3C4C">
            <wp:extent cx="6378609" cy="362642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0"/>
                    <a:srcRect/>
                    <a:stretch>
                      <a:fillRect/>
                    </a:stretch>
                  </pic:blipFill>
                  <pic:spPr bwMode="auto">
                    <a:xfrm>
                      <a:off x="0" y="0"/>
                      <a:ext cx="6395638" cy="3636109"/>
                    </a:xfrm>
                    <a:prstGeom prst="rect">
                      <a:avLst/>
                    </a:prstGeom>
                    <a:noFill/>
                  </pic:spPr>
                </pic:pic>
              </a:graphicData>
            </a:graphic>
          </wp:inline>
        </w:drawing>
      </w:r>
    </w:p>
    <w:p w14:paraId="369E71B1" w14:textId="2DDAF52B" w:rsidR="00E35CAC" w:rsidRDefault="00E35CAC" w:rsidP="00E35CAC">
      <w:pPr>
        <w:pStyle w:val="Caption"/>
      </w:pPr>
      <w:bookmarkStart w:id="136" w:name="_Ref132747901"/>
      <w:r>
        <w:t>Figure B</w:t>
      </w:r>
      <w:fldSimple w:instr=" SEQ Figure_B \* ARABIC ">
        <w:r w:rsidR="00FD64B0">
          <w:rPr>
            <w:noProof/>
          </w:rPr>
          <w:t>5</w:t>
        </w:r>
      </w:fldSimple>
      <w:bookmarkEnd w:id="136"/>
      <w:r>
        <w:t xml:space="preserve"> – </w:t>
      </w:r>
      <w:r w:rsidRPr="001B5518">
        <w:t>Conceptual model of the relationship between a wastewater treatment plant (WWTP) discharge and the heritage values of the Goulburn River. Notes: D.O = dissolved oxygen, TSS = total suspended solids</w:t>
      </w:r>
    </w:p>
    <w:p w14:paraId="5635D1B4" w14:textId="77777777" w:rsidR="00E35CAC" w:rsidRPr="00E35CAC" w:rsidRDefault="00E35CAC" w:rsidP="00E35CAC"/>
    <w:p w14:paraId="4C9B830E" w14:textId="77777777" w:rsidR="00495E25" w:rsidRDefault="00495E25" w:rsidP="00495E25">
      <w:pPr>
        <w:keepNext/>
        <w:spacing w:after="0"/>
      </w:pPr>
      <w:r>
        <w:rPr>
          <w:noProof/>
        </w:rPr>
        <w:lastRenderedPageBreak/>
        <w:drawing>
          <wp:inline distT="0" distB="0" distL="0" distR="0" wp14:anchorId="685E6488" wp14:editId="6D5586BB">
            <wp:extent cx="6385104" cy="3616036"/>
            <wp:effectExtent l="0" t="0" r="3175" b="381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pic:cNvPicPr>
                  </pic:nvPicPr>
                  <pic:blipFill>
                    <a:blip r:embed="rId61"/>
                    <a:srcRect/>
                    <a:stretch>
                      <a:fillRect/>
                    </a:stretch>
                  </pic:blipFill>
                  <pic:spPr bwMode="auto">
                    <a:xfrm>
                      <a:off x="0" y="0"/>
                      <a:ext cx="6393762" cy="3620939"/>
                    </a:xfrm>
                    <a:prstGeom prst="rect">
                      <a:avLst/>
                    </a:prstGeom>
                    <a:noFill/>
                  </pic:spPr>
                </pic:pic>
              </a:graphicData>
            </a:graphic>
          </wp:inline>
        </w:drawing>
      </w:r>
    </w:p>
    <w:p w14:paraId="04FF8728" w14:textId="537D22F1" w:rsidR="00495E25" w:rsidRDefault="00495E25" w:rsidP="00495E25">
      <w:pPr>
        <w:pStyle w:val="Caption"/>
      </w:pPr>
      <w:bookmarkStart w:id="137" w:name="_Ref132747888"/>
      <w:r>
        <w:t>Figure B</w:t>
      </w:r>
      <w:fldSimple w:instr=" SEQ Figure_B \* ARABIC ">
        <w:r w:rsidR="00FD64B0">
          <w:rPr>
            <w:noProof/>
          </w:rPr>
          <w:t>6</w:t>
        </w:r>
      </w:fldSimple>
      <w:bookmarkEnd w:id="137"/>
      <w:r>
        <w:t xml:space="preserve"> –</w:t>
      </w:r>
      <w:r w:rsidRPr="002959CC">
        <w:t>Conceptual model of the relationship between a wastewater treatment plant (WWTP) discharge and the economic values of the Goulburn River. Notes: EC = electrical conductivity</w:t>
      </w:r>
    </w:p>
    <w:p w14:paraId="7DFA8B17" w14:textId="07BF2FDA" w:rsidR="004D3E03" w:rsidRDefault="004D3E03">
      <w:pPr>
        <w:spacing w:after="0"/>
      </w:pPr>
      <w:r>
        <w:br w:type="page"/>
      </w:r>
    </w:p>
    <w:p w14:paraId="5B0BDF12" w14:textId="1769636B" w:rsidR="003628C4" w:rsidRPr="00F24329" w:rsidRDefault="003628C4" w:rsidP="00AA7232">
      <w:pPr>
        <w:pStyle w:val="Heading4"/>
      </w:pPr>
      <w:r w:rsidRPr="00F24329">
        <w:lastRenderedPageBreak/>
        <w:t>Risk analysis</w:t>
      </w:r>
    </w:p>
    <w:p w14:paraId="188CE147" w14:textId="78A1247D" w:rsidR="00D272CD" w:rsidRDefault="00D272CD" w:rsidP="00D272CD">
      <w:r w:rsidRPr="002F607F">
        <w:t xml:space="preserve">A </w:t>
      </w:r>
      <w:r w:rsidRPr="00C01F65">
        <w:t>semi-quantitative approach was used to conduct the risk analysis for the Shepparton WWTP. This was done using a risk matrix adapted from GV</w:t>
      </w:r>
      <w:r>
        <w:t xml:space="preserve"> </w:t>
      </w:r>
      <w:r w:rsidRPr="00C01F65">
        <w:t>W</w:t>
      </w:r>
      <w:r>
        <w:t>ater</w:t>
      </w:r>
      <w:r w:rsidRPr="00C01F65">
        <w:t>’s existing management systems (</w:t>
      </w:r>
      <w:r w:rsidRPr="00011E47">
        <w:fldChar w:fldCharType="begin"/>
      </w:r>
      <w:r w:rsidRPr="00011E47">
        <w:instrText xml:space="preserve"> REF _Ref88223717 \h  \* MERGEFORMAT </w:instrText>
      </w:r>
      <w:r w:rsidRPr="00011E47">
        <w:fldChar w:fldCharType="separate"/>
      </w:r>
      <w:r w:rsidR="00FD64B0" w:rsidRPr="00FD64B0">
        <w:rPr>
          <w:rFonts w:cs="Arial"/>
        </w:rPr>
        <w:t>Table B10</w:t>
      </w:r>
      <w:r w:rsidRPr="00011E47">
        <w:fldChar w:fldCharType="end"/>
      </w:r>
      <w:r w:rsidRPr="00C01F65">
        <w:t>).</w:t>
      </w:r>
    </w:p>
    <w:p w14:paraId="7E7345E4" w14:textId="02544B04" w:rsidR="00763CF6" w:rsidRPr="00C01F65" w:rsidRDefault="00763CF6" w:rsidP="00763CF6">
      <w:pPr>
        <w:spacing w:line="259" w:lineRule="auto"/>
      </w:pPr>
      <w:r w:rsidRPr="00C01F65">
        <w:t>A group of scientific experts determined the risk likelihood and consequence levels for each of the environmental values being investigated. Enough monitoring data was available on the discharge and Goulburn River receiving waters to determine these levels, without the need for further monitoring as part of the analysis. Five years of monitoring data (2001</w:t>
      </w:r>
      <w:r w:rsidR="001F2B01">
        <w:t xml:space="preserve"> to</w:t>
      </w:r>
      <w:r w:rsidRPr="00C01F65">
        <w:t xml:space="preserve"> 2005) was available for the receiving waters upstream and downstream of the discharge and included:</w:t>
      </w:r>
    </w:p>
    <w:p w14:paraId="58E25234" w14:textId="77777777" w:rsidR="00763CF6" w:rsidRPr="00C01F65" w:rsidRDefault="00763CF6" w:rsidP="00E709CF">
      <w:pPr>
        <w:pStyle w:val="ListBullet"/>
      </w:pPr>
      <w:r w:rsidRPr="00C01F65">
        <w:t xml:space="preserve">physicochemical water quality data (for example, nutrients, dissolved oxygen, turbidity, temperature, pH, salinity) </w:t>
      </w:r>
    </w:p>
    <w:p w14:paraId="7D788056" w14:textId="77777777" w:rsidR="00763CF6" w:rsidRPr="00C01F65" w:rsidRDefault="00763CF6" w:rsidP="00E709CF">
      <w:pPr>
        <w:pStyle w:val="ListBullet"/>
      </w:pPr>
      <w:r w:rsidRPr="00C01F65">
        <w:t xml:space="preserve">ammonia toxicity data </w:t>
      </w:r>
    </w:p>
    <w:p w14:paraId="424BC114" w14:textId="4A0CBED3" w:rsidR="00763CF6" w:rsidRPr="00C01F65" w:rsidRDefault="00763CF6" w:rsidP="00E709CF">
      <w:pPr>
        <w:pStyle w:val="ListBullet"/>
      </w:pPr>
      <w:r w:rsidRPr="00C01F65">
        <w:t>macroinvertebrate community diversity data.</w:t>
      </w:r>
    </w:p>
    <w:p w14:paraId="6F3AFCC5" w14:textId="38CF152F" w:rsidR="00763CF6" w:rsidRPr="00C01F65" w:rsidRDefault="00763CF6" w:rsidP="00763CF6">
      <w:pPr>
        <w:spacing w:line="259" w:lineRule="auto"/>
      </w:pPr>
      <w:r w:rsidRPr="00C01F65">
        <w:t xml:space="preserve">There was insufficient data available for the receiving waters of the Alexandra and Eildon discharge to conduct a thorough risk analysis. Therefore, a preliminary risk analysis was conducted for these discharges using the effluent water quality data and receiving waters flow gauge data from 2003 </w:t>
      </w:r>
      <w:r w:rsidR="001F2B01">
        <w:t>to</w:t>
      </w:r>
      <w:r w:rsidR="001F2B01" w:rsidRPr="00C01F65">
        <w:t xml:space="preserve"> </w:t>
      </w:r>
      <w:r w:rsidRPr="00C01F65">
        <w:t xml:space="preserve">2006. The daily discharge volume and mean daily flow of the receiving waters were used to calculate the minimum dilution capacity of the receiving waters for this period. This was used along with water quality data of the effluent to estimate the potential concentrations of </w:t>
      </w:r>
      <w:r w:rsidR="007372BA">
        <w:t>hazard</w:t>
      </w:r>
      <w:r w:rsidRPr="00C01F65">
        <w:t xml:space="preserve">s in the receiving waters from the discharge. </w:t>
      </w:r>
      <w:r w:rsidR="000F6BFE" w:rsidRPr="00C01F65">
        <w:t xml:space="preserve">These estimates were then used to conduct a preliminary risk analysis using the matrix in </w:t>
      </w:r>
      <w:r w:rsidR="000F6BFE" w:rsidRPr="00383063">
        <w:fldChar w:fldCharType="begin"/>
      </w:r>
      <w:r w:rsidR="000F6BFE" w:rsidRPr="00383063">
        <w:instrText xml:space="preserve"> REF _Ref88223717 \h  \* MERGEFORMAT </w:instrText>
      </w:r>
      <w:r w:rsidR="000F6BFE" w:rsidRPr="00383063">
        <w:fldChar w:fldCharType="separate"/>
      </w:r>
      <w:r w:rsidR="00FD64B0" w:rsidRPr="00FD64B0">
        <w:rPr>
          <w:rFonts w:cs="Arial"/>
        </w:rPr>
        <w:t>Table B10</w:t>
      </w:r>
      <w:r w:rsidR="000F6BFE" w:rsidRPr="00383063">
        <w:fldChar w:fldCharType="end"/>
      </w:r>
      <w:r w:rsidR="000F6BFE">
        <w:t xml:space="preserve">. </w:t>
      </w:r>
      <w:r w:rsidR="000F6BFE" w:rsidRPr="00C01F65">
        <w:t>The purpose of this preliminary analysis was to provide information to assist in prioritising the receiving waters monitoring needed to conduct a more thorough risk analysis.</w:t>
      </w:r>
      <w:r w:rsidR="00383063">
        <w:t xml:space="preserve"> </w:t>
      </w:r>
    </w:p>
    <w:p w14:paraId="2BE443E6" w14:textId="434F8FB2" w:rsidR="00851A14" w:rsidRPr="00F24329" w:rsidRDefault="00851A14" w:rsidP="00AA7232">
      <w:pPr>
        <w:pStyle w:val="Heading4"/>
      </w:pPr>
      <w:r w:rsidRPr="00F24329">
        <w:t>Risk characterisation and management</w:t>
      </w:r>
    </w:p>
    <w:p w14:paraId="5464E40B" w14:textId="77777777" w:rsidR="00763CF6" w:rsidRPr="00C01F65" w:rsidRDefault="00763CF6" w:rsidP="00763CF6">
      <w:pPr>
        <w:spacing w:line="259" w:lineRule="auto"/>
      </w:pPr>
      <w:r w:rsidRPr="00C01F65">
        <w:t>The risk characterisation involved:</w:t>
      </w:r>
    </w:p>
    <w:p w14:paraId="73E132E0" w14:textId="77777777" w:rsidR="00763CF6" w:rsidRPr="00C01F65" w:rsidRDefault="00763CF6" w:rsidP="00E709CF">
      <w:pPr>
        <w:pStyle w:val="ListBullet"/>
      </w:pPr>
      <w:r w:rsidRPr="00C01F65">
        <w:t>clearly defining the level of risk posed to the different environmental values</w:t>
      </w:r>
    </w:p>
    <w:p w14:paraId="2169A600" w14:textId="77777777" w:rsidR="00763CF6" w:rsidRPr="00C01F65" w:rsidRDefault="00763CF6" w:rsidP="00E709CF">
      <w:pPr>
        <w:pStyle w:val="ListBullet"/>
      </w:pPr>
      <w:r w:rsidRPr="00C01F65">
        <w:t>identifying management responses for addressing the above risks</w:t>
      </w:r>
    </w:p>
    <w:p w14:paraId="40E13982" w14:textId="6A291A2C" w:rsidR="00763CF6" w:rsidRPr="00C01F65" w:rsidRDefault="00763CF6" w:rsidP="00E709CF">
      <w:pPr>
        <w:pStyle w:val="ListBullet"/>
      </w:pPr>
      <w:r w:rsidRPr="00C01F65">
        <w:t>documentation of the risk assessment.</w:t>
      </w:r>
    </w:p>
    <w:p w14:paraId="0C301D44" w14:textId="77777777" w:rsidR="003F0F9F" w:rsidRDefault="003F0F9F" w:rsidP="00162359">
      <w:pPr>
        <w:pStyle w:val="NoSpacing"/>
        <w:rPr>
          <w:rFonts w:asciiTheme="majorHAnsi" w:hAnsiTheme="majorHAnsi"/>
          <w:sz w:val="22"/>
          <w:szCs w:val="22"/>
        </w:rPr>
        <w:sectPr w:rsidR="003F0F9F" w:rsidSect="00427162">
          <w:headerReference w:type="even" r:id="rId62"/>
          <w:type w:val="nextColumn"/>
          <w:pgSz w:w="11906" w:h="16838" w:code="9"/>
          <w:pgMar w:top="1038" w:right="743" w:bottom="1321" w:left="987" w:header="709" w:footer="709" w:gutter="0"/>
          <w:cols w:space="720"/>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504"/>
        <w:gridCol w:w="1491"/>
        <w:gridCol w:w="1589"/>
        <w:gridCol w:w="1913"/>
        <w:gridCol w:w="1942"/>
        <w:gridCol w:w="1908"/>
        <w:gridCol w:w="2197"/>
        <w:gridCol w:w="2183"/>
        <w:gridCol w:w="12"/>
      </w:tblGrid>
      <w:tr w:rsidR="00B84539" w:rsidRPr="00162359" w14:paraId="70A26273" w14:textId="77777777" w:rsidTr="00820F46">
        <w:trPr>
          <w:trHeight w:val="292"/>
          <w:jc w:val="center"/>
        </w:trPr>
        <w:tc>
          <w:tcPr>
            <w:tcW w:w="5000" w:type="pct"/>
            <w:gridSpan w:val="10"/>
            <w:tcBorders>
              <w:top w:val="single" w:sz="4" w:space="0" w:color="FFFFFF" w:themeColor="background1"/>
              <w:left w:val="single" w:sz="4" w:space="0" w:color="FFFFFF" w:themeColor="background1"/>
              <w:bottom w:val="nil"/>
              <w:right w:val="nil"/>
            </w:tcBorders>
            <w:shd w:val="clear" w:color="auto" w:fill="auto"/>
          </w:tcPr>
          <w:p w14:paraId="2DA36690" w14:textId="6A0F93F6" w:rsidR="00556493" w:rsidRPr="00820F46" w:rsidRDefault="00B84539" w:rsidP="00820F46">
            <w:pPr>
              <w:pStyle w:val="Caption"/>
            </w:pPr>
            <w:bookmarkStart w:id="138" w:name="_Ref88223717"/>
            <w:bookmarkStart w:id="139" w:name="_Ref57141684"/>
            <w:r w:rsidRPr="003F0F9F">
              <w:lastRenderedPageBreak/>
              <w:t>Table B</w:t>
            </w:r>
            <w:fldSimple w:instr=" SEQ Table_B \* ARABIC ">
              <w:r w:rsidR="00FD64B0">
                <w:rPr>
                  <w:noProof/>
                </w:rPr>
                <w:t>10</w:t>
              </w:r>
            </w:fldSimple>
            <w:bookmarkEnd w:id="138"/>
            <w:r w:rsidR="0022570C" w:rsidRPr="003F0F9F">
              <w:t xml:space="preserve"> </w:t>
            </w:r>
            <w:r w:rsidR="00101BFB" w:rsidRPr="003F0F9F">
              <w:t>–</w:t>
            </w:r>
            <w:r w:rsidRPr="003F0F9F">
              <w:t xml:space="preserve"> Environmental risk matrix</w:t>
            </w:r>
            <w:bookmarkEnd w:id="139"/>
          </w:p>
        </w:tc>
      </w:tr>
      <w:tr w:rsidR="00B84539" w:rsidRPr="00162359" w14:paraId="316D17F2" w14:textId="77777777" w:rsidTr="00820F46">
        <w:trPr>
          <w:trHeight w:val="292"/>
          <w:jc w:val="center"/>
        </w:trPr>
        <w:tc>
          <w:tcPr>
            <w:tcW w:w="1492" w:type="pct"/>
            <w:gridSpan w:val="4"/>
            <w:vMerge w:val="restart"/>
            <w:tcBorders>
              <w:top w:val="nil"/>
              <w:left w:val="nil"/>
            </w:tcBorders>
            <w:shd w:val="clear" w:color="auto" w:fill="auto"/>
          </w:tcPr>
          <w:p w14:paraId="45630EC8" w14:textId="77777777" w:rsidR="00B84539" w:rsidRPr="00162359" w:rsidRDefault="00B84539" w:rsidP="00162359">
            <w:pPr>
              <w:pStyle w:val="NoSpacing"/>
              <w:rPr>
                <w:rFonts w:asciiTheme="majorHAnsi" w:hAnsiTheme="majorHAnsi"/>
                <w:b/>
                <w:bCs/>
                <w:sz w:val="22"/>
                <w:szCs w:val="22"/>
              </w:rPr>
            </w:pPr>
          </w:p>
          <w:p w14:paraId="27941DA9" w14:textId="77777777" w:rsidR="00B84539" w:rsidRPr="00162359" w:rsidRDefault="00B84539" w:rsidP="00162359">
            <w:pPr>
              <w:pStyle w:val="NoSpacing"/>
              <w:rPr>
                <w:rFonts w:asciiTheme="majorHAnsi" w:hAnsiTheme="majorHAnsi"/>
                <w:b/>
                <w:bCs/>
                <w:sz w:val="22"/>
                <w:szCs w:val="22"/>
              </w:rPr>
            </w:pPr>
          </w:p>
        </w:tc>
        <w:tc>
          <w:tcPr>
            <w:tcW w:w="3508" w:type="pct"/>
            <w:gridSpan w:val="6"/>
            <w:tcBorders>
              <w:top w:val="single" w:sz="4" w:space="0" w:color="auto"/>
            </w:tcBorders>
            <w:shd w:val="clear" w:color="auto" w:fill="auto"/>
          </w:tcPr>
          <w:p w14:paraId="7842B029" w14:textId="3DEF9676" w:rsidR="00B84539" w:rsidRPr="003F0F9F" w:rsidRDefault="00B84539" w:rsidP="003F0F9F">
            <w:pPr>
              <w:pStyle w:val="NoSpacing"/>
              <w:jc w:val="center"/>
              <w:rPr>
                <w:rFonts w:asciiTheme="majorHAnsi" w:hAnsiTheme="majorHAnsi"/>
                <w:b/>
                <w:sz w:val="22"/>
                <w:szCs w:val="22"/>
              </w:rPr>
            </w:pPr>
            <w:r w:rsidRPr="003F0F9F">
              <w:rPr>
                <w:rFonts w:asciiTheme="majorHAnsi" w:hAnsiTheme="majorHAnsi"/>
                <w:b/>
                <w:sz w:val="22"/>
                <w:szCs w:val="22"/>
              </w:rPr>
              <w:t>Consequence (with criteria)</w:t>
            </w:r>
          </w:p>
        </w:tc>
      </w:tr>
      <w:tr w:rsidR="003F0F9F" w:rsidRPr="00162359" w14:paraId="4005D6E7" w14:textId="77777777" w:rsidTr="00820F46">
        <w:trPr>
          <w:trHeight w:val="312"/>
          <w:jc w:val="center"/>
        </w:trPr>
        <w:tc>
          <w:tcPr>
            <w:tcW w:w="1492" w:type="pct"/>
            <w:gridSpan w:val="4"/>
            <w:vMerge/>
            <w:tcBorders>
              <w:left w:val="nil"/>
            </w:tcBorders>
          </w:tcPr>
          <w:p w14:paraId="413C6CE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462B2A38"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1</w:t>
            </w:r>
          </w:p>
        </w:tc>
        <w:tc>
          <w:tcPr>
            <w:tcW w:w="671" w:type="pct"/>
            <w:shd w:val="clear" w:color="auto" w:fill="auto"/>
          </w:tcPr>
          <w:p w14:paraId="00FF7EB0"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2</w:t>
            </w:r>
          </w:p>
        </w:tc>
        <w:tc>
          <w:tcPr>
            <w:tcW w:w="659" w:type="pct"/>
            <w:shd w:val="clear" w:color="auto" w:fill="auto"/>
          </w:tcPr>
          <w:p w14:paraId="64ABDF55"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3</w:t>
            </w:r>
          </w:p>
        </w:tc>
        <w:tc>
          <w:tcPr>
            <w:tcW w:w="759" w:type="pct"/>
            <w:shd w:val="clear" w:color="auto" w:fill="auto"/>
          </w:tcPr>
          <w:p w14:paraId="30A39EF7"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4</w:t>
            </w:r>
          </w:p>
        </w:tc>
        <w:tc>
          <w:tcPr>
            <w:tcW w:w="758" w:type="pct"/>
            <w:gridSpan w:val="2"/>
            <w:shd w:val="clear" w:color="auto" w:fill="auto"/>
          </w:tcPr>
          <w:p w14:paraId="10163BEE"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5</w:t>
            </w:r>
          </w:p>
        </w:tc>
      </w:tr>
      <w:tr w:rsidR="003F0F9F" w:rsidRPr="00162359" w14:paraId="4BCCE3DE" w14:textId="77777777" w:rsidTr="00820F46">
        <w:trPr>
          <w:trHeight w:val="162"/>
          <w:jc w:val="center"/>
        </w:trPr>
        <w:tc>
          <w:tcPr>
            <w:tcW w:w="1492" w:type="pct"/>
            <w:gridSpan w:val="4"/>
            <w:vMerge/>
            <w:tcBorders>
              <w:left w:val="nil"/>
            </w:tcBorders>
          </w:tcPr>
          <w:p w14:paraId="3B1233A9"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4454A8C5"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Small</w:t>
            </w:r>
          </w:p>
        </w:tc>
        <w:tc>
          <w:tcPr>
            <w:tcW w:w="671" w:type="pct"/>
            <w:shd w:val="clear" w:color="auto" w:fill="auto"/>
          </w:tcPr>
          <w:p w14:paraId="7EDB6741"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Minor</w:t>
            </w:r>
          </w:p>
        </w:tc>
        <w:tc>
          <w:tcPr>
            <w:tcW w:w="659" w:type="pct"/>
            <w:shd w:val="clear" w:color="auto" w:fill="auto"/>
          </w:tcPr>
          <w:p w14:paraId="421512B6"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Moderate</w:t>
            </w:r>
          </w:p>
        </w:tc>
        <w:tc>
          <w:tcPr>
            <w:tcW w:w="759" w:type="pct"/>
            <w:shd w:val="clear" w:color="auto" w:fill="auto"/>
          </w:tcPr>
          <w:p w14:paraId="3D7BB1C0"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Major</w:t>
            </w:r>
          </w:p>
        </w:tc>
        <w:tc>
          <w:tcPr>
            <w:tcW w:w="758" w:type="pct"/>
            <w:gridSpan w:val="2"/>
            <w:shd w:val="clear" w:color="auto" w:fill="auto"/>
          </w:tcPr>
          <w:p w14:paraId="4D5EE03A"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Catastrophic</w:t>
            </w:r>
          </w:p>
        </w:tc>
      </w:tr>
      <w:tr w:rsidR="003F0F9F" w:rsidRPr="00162359" w14:paraId="0A947B28" w14:textId="77777777" w:rsidTr="00820F46">
        <w:trPr>
          <w:trHeight w:val="481"/>
          <w:jc w:val="center"/>
        </w:trPr>
        <w:tc>
          <w:tcPr>
            <w:tcW w:w="1492" w:type="pct"/>
            <w:gridSpan w:val="4"/>
            <w:vMerge/>
            <w:tcBorders>
              <w:left w:val="nil"/>
            </w:tcBorders>
          </w:tcPr>
          <w:p w14:paraId="0E4E8A7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7623211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Minimal on-site impact</w:t>
            </w:r>
          </w:p>
        </w:tc>
        <w:tc>
          <w:tcPr>
            <w:tcW w:w="671" w:type="pct"/>
            <w:shd w:val="clear" w:color="auto" w:fill="auto"/>
          </w:tcPr>
          <w:p w14:paraId="3CB9671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on-site impacts</w:t>
            </w:r>
          </w:p>
        </w:tc>
        <w:tc>
          <w:tcPr>
            <w:tcW w:w="659" w:type="pct"/>
            <w:shd w:val="clear" w:color="auto" w:fill="auto"/>
          </w:tcPr>
          <w:p w14:paraId="2FB4C163"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level on-site impact</w:t>
            </w:r>
          </w:p>
        </w:tc>
        <w:tc>
          <w:tcPr>
            <w:tcW w:w="759" w:type="pct"/>
            <w:shd w:val="clear" w:color="auto" w:fill="auto"/>
          </w:tcPr>
          <w:p w14:paraId="446BB93F"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on-site short-term uncontrolled impact</w:t>
            </w:r>
          </w:p>
        </w:tc>
        <w:tc>
          <w:tcPr>
            <w:tcW w:w="758" w:type="pct"/>
            <w:gridSpan w:val="2"/>
            <w:shd w:val="clear" w:color="auto" w:fill="auto"/>
          </w:tcPr>
          <w:p w14:paraId="73AE8E42"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on-site irreversible impact</w:t>
            </w:r>
          </w:p>
        </w:tc>
      </w:tr>
      <w:tr w:rsidR="003F0F9F" w:rsidRPr="00162359" w14:paraId="5BDFDBEB" w14:textId="77777777" w:rsidTr="00820F46">
        <w:trPr>
          <w:trHeight w:val="343"/>
          <w:jc w:val="center"/>
        </w:trPr>
        <w:tc>
          <w:tcPr>
            <w:tcW w:w="1492" w:type="pct"/>
            <w:gridSpan w:val="4"/>
            <w:vMerge/>
            <w:tcBorders>
              <w:left w:val="nil"/>
            </w:tcBorders>
          </w:tcPr>
          <w:p w14:paraId="7D4566B3"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A81D191"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local impact</w:t>
            </w:r>
          </w:p>
        </w:tc>
        <w:tc>
          <w:tcPr>
            <w:tcW w:w="671" w:type="pct"/>
            <w:shd w:val="clear" w:color="auto" w:fill="auto"/>
          </w:tcPr>
          <w:p w14:paraId="1151A14A"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Minimal local impact</w:t>
            </w:r>
          </w:p>
        </w:tc>
        <w:tc>
          <w:tcPr>
            <w:tcW w:w="659" w:type="pct"/>
            <w:shd w:val="clear" w:color="auto" w:fill="auto"/>
          </w:tcPr>
          <w:p w14:paraId="03A53FCB"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local impact</w:t>
            </w:r>
          </w:p>
        </w:tc>
        <w:tc>
          <w:tcPr>
            <w:tcW w:w="759" w:type="pct"/>
            <w:shd w:val="clear" w:color="auto" w:fill="auto"/>
          </w:tcPr>
          <w:p w14:paraId="758D132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local impact</w:t>
            </w:r>
          </w:p>
        </w:tc>
        <w:tc>
          <w:tcPr>
            <w:tcW w:w="758" w:type="pct"/>
            <w:gridSpan w:val="2"/>
            <w:shd w:val="clear" w:color="auto" w:fill="auto"/>
          </w:tcPr>
          <w:p w14:paraId="4024B92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local impact</w:t>
            </w:r>
          </w:p>
        </w:tc>
      </w:tr>
      <w:tr w:rsidR="003F0F9F" w:rsidRPr="00162359" w14:paraId="698D85B1" w14:textId="77777777" w:rsidTr="00820F46">
        <w:trPr>
          <w:trHeight w:val="343"/>
          <w:jc w:val="center"/>
        </w:trPr>
        <w:tc>
          <w:tcPr>
            <w:tcW w:w="1492" w:type="pct"/>
            <w:gridSpan w:val="4"/>
            <w:vMerge/>
            <w:tcBorders>
              <w:left w:val="nil"/>
            </w:tcBorders>
          </w:tcPr>
          <w:p w14:paraId="36049C8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9F62FA0" w14:textId="77777777" w:rsidR="00B84539" w:rsidRPr="00162359" w:rsidRDefault="00B84539" w:rsidP="10077A7C">
            <w:pPr>
              <w:pStyle w:val="NoSpacing"/>
              <w:jc w:val="center"/>
              <w:rPr>
                <w:rFonts w:asciiTheme="majorHAnsi" w:hAnsiTheme="majorHAnsi"/>
                <w:sz w:val="22"/>
                <w:szCs w:val="22"/>
              </w:rPr>
            </w:pPr>
            <w:r w:rsidRPr="10077A7C">
              <w:rPr>
                <w:rFonts w:asciiTheme="majorHAnsi" w:hAnsiTheme="majorHAnsi"/>
                <w:sz w:val="22"/>
                <w:szCs w:val="22"/>
              </w:rPr>
              <w:t xml:space="preserve">No external area </w:t>
            </w:r>
            <w:bookmarkStart w:id="140" w:name="_Int_GRtF6DZT"/>
            <w:r w:rsidRPr="10077A7C">
              <w:rPr>
                <w:rFonts w:asciiTheme="majorHAnsi" w:hAnsiTheme="majorHAnsi"/>
                <w:sz w:val="22"/>
                <w:szCs w:val="22"/>
              </w:rPr>
              <w:t>impact</w:t>
            </w:r>
            <w:bookmarkEnd w:id="140"/>
          </w:p>
        </w:tc>
        <w:tc>
          <w:tcPr>
            <w:tcW w:w="671" w:type="pct"/>
            <w:shd w:val="clear" w:color="auto" w:fill="auto"/>
          </w:tcPr>
          <w:p w14:paraId="248DF0A2" w14:textId="1702509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 xml:space="preserve">No external </w:t>
            </w:r>
            <w:r w:rsidR="00C66773">
              <w:rPr>
                <w:rFonts w:asciiTheme="majorHAnsi" w:hAnsiTheme="majorHAnsi"/>
                <w:bCs/>
                <w:sz w:val="22"/>
                <w:szCs w:val="22"/>
              </w:rPr>
              <w:t xml:space="preserve">area </w:t>
            </w:r>
            <w:r w:rsidRPr="00162359">
              <w:rPr>
                <w:rFonts w:asciiTheme="majorHAnsi" w:hAnsiTheme="majorHAnsi"/>
                <w:bCs/>
                <w:sz w:val="22"/>
                <w:szCs w:val="22"/>
              </w:rPr>
              <w:t>impact</w:t>
            </w:r>
          </w:p>
        </w:tc>
        <w:tc>
          <w:tcPr>
            <w:tcW w:w="659" w:type="pct"/>
            <w:shd w:val="clear" w:color="auto" w:fill="auto"/>
          </w:tcPr>
          <w:p w14:paraId="745532B7" w14:textId="6B5BAEF2"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 xml:space="preserve">Minimal </w:t>
            </w:r>
            <w:r w:rsidR="00EA4B90">
              <w:rPr>
                <w:rFonts w:asciiTheme="majorHAnsi" w:hAnsiTheme="majorHAnsi"/>
                <w:bCs/>
                <w:sz w:val="22"/>
                <w:szCs w:val="22"/>
              </w:rPr>
              <w:t>external</w:t>
            </w:r>
            <w:r w:rsidRPr="00162359">
              <w:rPr>
                <w:rFonts w:asciiTheme="majorHAnsi" w:hAnsiTheme="majorHAnsi"/>
                <w:bCs/>
                <w:sz w:val="22"/>
                <w:szCs w:val="22"/>
              </w:rPr>
              <w:t xml:space="preserve"> area impact</w:t>
            </w:r>
          </w:p>
        </w:tc>
        <w:tc>
          <w:tcPr>
            <w:tcW w:w="759" w:type="pct"/>
            <w:shd w:val="clear" w:color="auto" w:fill="auto"/>
          </w:tcPr>
          <w:p w14:paraId="03879BB5"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external area impact</w:t>
            </w:r>
          </w:p>
        </w:tc>
        <w:tc>
          <w:tcPr>
            <w:tcW w:w="758" w:type="pct"/>
            <w:gridSpan w:val="2"/>
            <w:shd w:val="clear" w:color="auto" w:fill="auto"/>
          </w:tcPr>
          <w:p w14:paraId="046D20BC"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external area impact</w:t>
            </w:r>
          </w:p>
        </w:tc>
      </w:tr>
      <w:tr w:rsidR="003F0F9F" w:rsidRPr="00162359" w14:paraId="6FD01F92" w14:textId="77777777" w:rsidTr="00820F46">
        <w:trPr>
          <w:trHeight w:val="343"/>
          <w:jc w:val="center"/>
        </w:trPr>
        <w:tc>
          <w:tcPr>
            <w:tcW w:w="1492" w:type="pct"/>
            <w:gridSpan w:val="4"/>
            <w:vMerge/>
            <w:tcBorders>
              <w:left w:val="nil"/>
            </w:tcBorders>
          </w:tcPr>
          <w:p w14:paraId="754EB662"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7B7BAB2"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671" w:type="pct"/>
            <w:shd w:val="clear" w:color="auto" w:fill="auto"/>
          </w:tcPr>
          <w:p w14:paraId="0E822A7D"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659" w:type="pct"/>
            <w:shd w:val="clear" w:color="auto" w:fill="auto"/>
          </w:tcPr>
          <w:p w14:paraId="32A4BF80"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759" w:type="pct"/>
            <w:shd w:val="clear" w:color="auto" w:fill="auto"/>
          </w:tcPr>
          <w:p w14:paraId="75534CEA"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May cause long-term cumulative effects</w:t>
            </w:r>
          </w:p>
        </w:tc>
        <w:tc>
          <w:tcPr>
            <w:tcW w:w="758" w:type="pct"/>
            <w:gridSpan w:val="2"/>
            <w:shd w:val="clear" w:color="auto" w:fill="auto"/>
          </w:tcPr>
          <w:p w14:paraId="17BAAEC9" w14:textId="61EFF808"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Known to cause long-term cumulative effects</w:t>
            </w:r>
          </w:p>
        </w:tc>
      </w:tr>
      <w:tr w:rsidR="00162359" w:rsidRPr="00162359" w14:paraId="28567852" w14:textId="77777777" w:rsidTr="00820F46">
        <w:trPr>
          <w:gridAfter w:val="1"/>
          <w:wAfter w:w="4" w:type="pct"/>
          <w:trHeight w:val="479"/>
          <w:jc w:val="center"/>
        </w:trPr>
        <w:tc>
          <w:tcPr>
            <w:tcW w:w="254" w:type="pct"/>
            <w:vMerge w:val="restart"/>
            <w:shd w:val="clear" w:color="auto" w:fill="auto"/>
            <w:textDirection w:val="btLr"/>
          </w:tcPr>
          <w:p w14:paraId="1E5819FB"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Likelihood of effect</w:t>
            </w:r>
          </w:p>
        </w:tc>
        <w:tc>
          <w:tcPr>
            <w:tcW w:w="174" w:type="pct"/>
            <w:shd w:val="clear" w:color="auto" w:fill="auto"/>
            <w:vAlign w:val="center"/>
          </w:tcPr>
          <w:p w14:paraId="34E96210"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5</w:t>
            </w:r>
          </w:p>
        </w:tc>
        <w:tc>
          <w:tcPr>
            <w:tcW w:w="515" w:type="pct"/>
            <w:shd w:val="clear" w:color="auto" w:fill="auto"/>
            <w:vAlign w:val="center"/>
          </w:tcPr>
          <w:p w14:paraId="7863DC4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Certain</w:t>
            </w:r>
          </w:p>
        </w:tc>
        <w:tc>
          <w:tcPr>
            <w:tcW w:w="549" w:type="pct"/>
            <w:shd w:val="clear" w:color="auto" w:fill="auto"/>
            <w:vAlign w:val="center"/>
          </w:tcPr>
          <w:p w14:paraId="2A0648D1"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Weekly-Monthly</w:t>
            </w:r>
          </w:p>
        </w:tc>
        <w:tc>
          <w:tcPr>
            <w:tcW w:w="661" w:type="pct"/>
            <w:shd w:val="clear" w:color="auto" w:fill="808080" w:themeFill="background1" w:themeFillShade="80"/>
            <w:vAlign w:val="center"/>
          </w:tcPr>
          <w:p w14:paraId="4E24363E"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671" w:type="pct"/>
            <w:shd w:val="clear" w:color="auto" w:fill="606060"/>
            <w:vAlign w:val="center"/>
          </w:tcPr>
          <w:p w14:paraId="5E41CAD4"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659" w:type="pct"/>
            <w:shd w:val="clear" w:color="auto" w:fill="404040" w:themeFill="accent6" w:themeFillTint="BF"/>
            <w:vAlign w:val="center"/>
          </w:tcPr>
          <w:p w14:paraId="1D0F0CD8"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9" w:type="pct"/>
            <w:shd w:val="clear" w:color="auto" w:fill="404040" w:themeFill="accent6" w:themeFillTint="BF"/>
            <w:vAlign w:val="center"/>
          </w:tcPr>
          <w:p w14:paraId="656C8E89"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4" w:type="pct"/>
            <w:shd w:val="clear" w:color="auto" w:fill="404040" w:themeFill="accent6" w:themeFillTint="BF"/>
            <w:vAlign w:val="center"/>
          </w:tcPr>
          <w:p w14:paraId="10A51655"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r>
      <w:tr w:rsidR="00162359" w:rsidRPr="00162359" w14:paraId="638C2CFA" w14:textId="77777777" w:rsidTr="00820F46">
        <w:trPr>
          <w:gridAfter w:val="1"/>
          <w:wAfter w:w="4" w:type="pct"/>
          <w:trHeight w:val="343"/>
          <w:jc w:val="center"/>
        </w:trPr>
        <w:tc>
          <w:tcPr>
            <w:tcW w:w="254" w:type="pct"/>
            <w:vMerge/>
          </w:tcPr>
          <w:p w14:paraId="1852B988"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38A464C8"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4</w:t>
            </w:r>
          </w:p>
        </w:tc>
        <w:tc>
          <w:tcPr>
            <w:tcW w:w="515" w:type="pct"/>
            <w:shd w:val="clear" w:color="auto" w:fill="auto"/>
            <w:vAlign w:val="center"/>
          </w:tcPr>
          <w:p w14:paraId="15BB2659"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Likely</w:t>
            </w:r>
          </w:p>
        </w:tc>
        <w:tc>
          <w:tcPr>
            <w:tcW w:w="549" w:type="pct"/>
            <w:shd w:val="clear" w:color="auto" w:fill="auto"/>
            <w:vAlign w:val="center"/>
          </w:tcPr>
          <w:p w14:paraId="47BAE811"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Monthly-Yearly</w:t>
            </w:r>
          </w:p>
        </w:tc>
        <w:tc>
          <w:tcPr>
            <w:tcW w:w="661" w:type="pct"/>
            <w:shd w:val="clear" w:color="auto" w:fill="A6A6A6" w:themeFill="background1" w:themeFillShade="A6"/>
            <w:vAlign w:val="center"/>
          </w:tcPr>
          <w:p w14:paraId="6865B5CE" w14:textId="77777777" w:rsidR="00B84539" w:rsidRPr="00973A59" w:rsidRDefault="00B84539" w:rsidP="00162359">
            <w:pPr>
              <w:pStyle w:val="NoSpacing"/>
              <w:rPr>
                <w:rFonts w:asciiTheme="majorHAnsi" w:hAnsiTheme="majorHAnsi"/>
                <w:bCs/>
                <w:sz w:val="22"/>
                <w:szCs w:val="22"/>
              </w:rPr>
            </w:pPr>
            <w:r w:rsidRPr="00973A59">
              <w:rPr>
                <w:rFonts w:asciiTheme="majorHAnsi" w:hAnsiTheme="majorHAnsi"/>
                <w:bCs/>
                <w:sz w:val="22"/>
                <w:szCs w:val="22"/>
              </w:rPr>
              <w:t>Medium</w:t>
            </w:r>
          </w:p>
        </w:tc>
        <w:tc>
          <w:tcPr>
            <w:tcW w:w="671" w:type="pct"/>
            <w:shd w:val="clear" w:color="auto" w:fill="808080" w:themeFill="background1" w:themeFillShade="80"/>
            <w:vAlign w:val="center"/>
          </w:tcPr>
          <w:p w14:paraId="20FC93AD"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659" w:type="pct"/>
            <w:shd w:val="clear" w:color="auto" w:fill="606060"/>
            <w:vAlign w:val="center"/>
          </w:tcPr>
          <w:p w14:paraId="14BA26A5"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759" w:type="pct"/>
            <w:shd w:val="clear" w:color="auto" w:fill="404040" w:themeFill="accent6" w:themeFillTint="BF"/>
            <w:vAlign w:val="center"/>
          </w:tcPr>
          <w:p w14:paraId="446956C4"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4" w:type="pct"/>
            <w:shd w:val="clear" w:color="auto" w:fill="404040" w:themeFill="accent6" w:themeFillTint="BF"/>
            <w:vAlign w:val="center"/>
          </w:tcPr>
          <w:p w14:paraId="18327A57"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r>
      <w:tr w:rsidR="00162359" w:rsidRPr="00162359" w14:paraId="3C3C91CB" w14:textId="77777777" w:rsidTr="00820F46">
        <w:trPr>
          <w:gridAfter w:val="1"/>
          <w:wAfter w:w="4" w:type="pct"/>
          <w:trHeight w:val="430"/>
          <w:jc w:val="center"/>
        </w:trPr>
        <w:tc>
          <w:tcPr>
            <w:tcW w:w="254" w:type="pct"/>
            <w:vMerge/>
          </w:tcPr>
          <w:p w14:paraId="13A656B4"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6F58EFBC"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3</w:t>
            </w:r>
          </w:p>
        </w:tc>
        <w:tc>
          <w:tcPr>
            <w:tcW w:w="515" w:type="pct"/>
            <w:shd w:val="clear" w:color="auto" w:fill="auto"/>
            <w:vAlign w:val="center"/>
          </w:tcPr>
          <w:p w14:paraId="41F1EFEA"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Possible</w:t>
            </w:r>
          </w:p>
        </w:tc>
        <w:tc>
          <w:tcPr>
            <w:tcW w:w="549" w:type="pct"/>
            <w:shd w:val="clear" w:color="auto" w:fill="auto"/>
            <w:vAlign w:val="center"/>
          </w:tcPr>
          <w:p w14:paraId="798DBE2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Yearly–10 yrs</w:t>
            </w:r>
          </w:p>
        </w:tc>
        <w:tc>
          <w:tcPr>
            <w:tcW w:w="661" w:type="pct"/>
            <w:shd w:val="clear" w:color="auto" w:fill="CCCCCC"/>
            <w:vAlign w:val="center"/>
          </w:tcPr>
          <w:p w14:paraId="4DC47EFC"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671" w:type="pct"/>
            <w:shd w:val="clear" w:color="auto" w:fill="A6A6A6" w:themeFill="background1" w:themeFillShade="A6"/>
            <w:vAlign w:val="center"/>
          </w:tcPr>
          <w:p w14:paraId="064878F8"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Medium</w:t>
            </w:r>
          </w:p>
        </w:tc>
        <w:tc>
          <w:tcPr>
            <w:tcW w:w="659" w:type="pct"/>
            <w:shd w:val="clear" w:color="auto" w:fill="808080" w:themeFill="background1" w:themeFillShade="80"/>
            <w:vAlign w:val="center"/>
          </w:tcPr>
          <w:p w14:paraId="25557965"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759" w:type="pct"/>
            <w:shd w:val="clear" w:color="auto" w:fill="606060"/>
            <w:vAlign w:val="center"/>
          </w:tcPr>
          <w:p w14:paraId="5B1ECD1D"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754" w:type="pct"/>
            <w:shd w:val="clear" w:color="auto" w:fill="404040" w:themeFill="accent6" w:themeFillTint="BF"/>
            <w:vAlign w:val="center"/>
          </w:tcPr>
          <w:p w14:paraId="47AFBEEE"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r w:rsidR="00162359" w:rsidRPr="00162359" w14:paraId="4C958CF5" w14:textId="77777777" w:rsidTr="00820F46">
        <w:trPr>
          <w:gridAfter w:val="1"/>
          <w:wAfter w:w="4" w:type="pct"/>
          <w:trHeight w:val="505"/>
          <w:jc w:val="center"/>
        </w:trPr>
        <w:tc>
          <w:tcPr>
            <w:tcW w:w="254" w:type="pct"/>
            <w:vMerge/>
          </w:tcPr>
          <w:p w14:paraId="7AB1F0B5"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176C5966"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2</w:t>
            </w:r>
          </w:p>
        </w:tc>
        <w:tc>
          <w:tcPr>
            <w:tcW w:w="515" w:type="pct"/>
            <w:shd w:val="clear" w:color="auto" w:fill="auto"/>
            <w:vAlign w:val="center"/>
          </w:tcPr>
          <w:p w14:paraId="32AE6B7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Unlikely</w:t>
            </w:r>
          </w:p>
        </w:tc>
        <w:tc>
          <w:tcPr>
            <w:tcW w:w="549" w:type="pct"/>
            <w:shd w:val="clear" w:color="auto" w:fill="auto"/>
            <w:vAlign w:val="center"/>
          </w:tcPr>
          <w:p w14:paraId="685D3354" w14:textId="22E41C82"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10yrs–100</w:t>
            </w:r>
            <w:r w:rsidR="004F1D8F">
              <w:rPr>
                <w:rFonts w:asciiTheme="majorHAnsi" w:hAnsiTheme="majorHAnsi"/>
                <w:bCs/>
                <w:sz w:val="22"/>
                <w:szCs w:val="22"/>
              </w:rPr>
              <w:t xml:space="preserve"> </w:t>
            </w:r>
            <w:r w:rsidRPr="00162359">
              <w:rPr>
                <w:rFonts w:asciiTheme="majorHAnsi" w:hAnsiTheme="majorHAnsi"/>
                <w:bCs/>
                <w:sz w:val="22"/>
                <w:szCs w:val="22"/>
              </w:rPr>
              <w:t>yrs</w:t>
            </w:r>
          </w:p>
        </w:tc>
        <w:tc>
          <w:tcPr>
            <w:tcW w:w="661" w:type="pct"/>
            <w:shd w:val="clear" w:color="auto" w:fill="F3F3F3"/>
            <w:vAlign w:val="center"/>
          </w:tcPr>
          <w:p w14:paraId="5A8716D3"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71" w:type="pct"/>
            <w:shd w:val="clear" w:color="auto" w:fill="CCCCCC"/>
            <w:vAlign w:val="center"/>
          </w:tcPr>
          <w:p w14:paraId="0B83796B"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659" w:type="pct"/>
            <w:shd w:val="clear" w:color="auto" w:fill="A6A6A6" w:themeFill="background1" w:themeFillShade="A6"/>
            <w:vAlign w:val="center"/>
          </w:tcPr>
          <w:p w14:paraId="4DD5AC67"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Medium</w:t>
            </w:r>
          </w:p>
        </w:tc>
        <w:tc>
          <w:tcPr>
            <w:tcW w:w="759" w:type="pct"/>
            <w:shd w:val="clear" w:color="auto" w:fill="808080" w:themeFill="background1" w:themeFillShade="80"/>
            <w:vAlign w:val="center"/>
          </w:tcPr>
          <w:p w14:paraId="1943BD8B"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sz w:val="22"/>
                <w:szCs w:val="22"/>
              </w:rPr>
              <w:t>High</w:t>
            </w:r>
          </w:p>
        </w:tc>
        <w:tc>
          <w:tcPr>
            <w:tcW w:w="754" w:type="pct"/>
            <w:shd w:val="clear" w:color="auto" w:fill="404040" w:themeFill="accent6" w:themeFillTint="BF"/>
            <w:vAlign w:val="center"/>
          </w:tcPr>
          <w:p w14:paraId="56CB33F8"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r w:rsidR="00162359" w:rsidRPr="00162359" w14:paraId="323246C6" w14:textId="77777777" w:rsidTr="00820F46">
        <w:trPr>
          <w:gridAfter w:val="1"/>
          <w:wAfter w:w="4" w:type="pct"/>
          <w:trHeight w:val="427"/>
          <w:jc w:val="center"/>
        </w:trPr>
        <w:tc>
          <w:tcPr>
            <w:tcW w:w="254" w:type="pct"/>
            <w:vMerge/>
          </w:tcPr>
          <w:p w14:paraId="204D6102"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538F4093"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w:t>
            </w:r>
          </w:p>
        </w:tc>
        <w:tc>
          <w:tcPr>
            <w:tcW w:w="515" w:type="pct"/>
            <w:shd w:val="clear" w:color="auto" w:fill="auto"/>
            <w:vAlign w:val="center"/>
          </w:tcPr>
          <w:p w14:paraId="39AD1FBE"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Rare</w:t>
            </w:r>
          </w:p>
        </w:tc>
        <w:tc>
          <w:tcPr>
            <w:tcW w:w="549" w:type="pct"/>
            <w:shd w:val="clear" w:color="auto" w:fill="auto"/>
            <w:vAlign w:val="center"/>
          </w:tcPr>
          <w:p w14:paraId="41A79BC8" w14:textId="24266BB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100</w:t>
            </w:r>
            <w:r w:rsidR="004F1D8F">
              <w:rPr>
                <w:rFonts w:asciiTheme="majorHAnsi" w:hAnsiTheme="majorHAnsi"/>
                <w:bCs/>
                <w:sz w:val="22"/>
                <w:szCs w:val="22"/>
              </w:rPr>
              <w:t xml:space="preserve"> </w:t>
            </w:r>
            <w:r w:rsidRPr="00162359">
              <w:rPr>
                <w:rFonts w:asciiTheme="majorHAnsi" w:hAnsiTheme="majorHAnsi"/>
                <w:bCs/>
                <w:sz w:val="22"/>
                <w:szCs w:val="22"/>
              </w:rPr>
              <w:t>yrs+</w:t>
            </w:r>
          </w:p>
        </w:tc>
        <w:tc>
          <w:tcPr>
            <w:tcW w:w="661" w:type="pct"/>
            <w:shd w:val="clear" w:color="auto" w:fill="F3F3F3"/>
            <w:vAlign w:val="center"/>
          </w:tcPr>
          <w:p w14:paraId="561026BD"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71" w:type="pct"/>
            <w:shd w:val="clear" w:color="auto" w:fill="F3F3F3"/>
            <w:vAlign w:val="center"/>
          </w:tcPr>
          <w:p w14:paraId="44AB0DC1"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59" w:type="pct"/>
            <w:shd w:val="clear" w:color="auto" w:fill="CCCCCC"/>
            <w:vAlign w:val="center"/>
          </w:tcPr>
          <w:p w14:paraId="713B90EF"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759" w:type="pct"/>
            <w:shd w:val="clear" w:color="auto" w:fill="A6A6A6" w:themeFill="background1" w:themeFillShade="A6"/>
            <w:vAlign w:val="center"/>
          </w:tcPr>
          <w:p w14:paraId="15340947"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sz w:val="22"/>
                <w:szCs w:val="22"/>
              </w:rPr>
              <w:t>Medium</w:t>
            </w:r>
          </w:p>
        </w:tc>
        <w:tc>
          <w:tcPr>
            <w:tcW w:w="754" w:type="pct"/>
            <w:shd w:val="clear" w:color="auto" w:fill="404040" w:themeFill="accent6" w:themeFillTint="BF"/>
            <w:vAlign w:val="center"/>
          </w:tcPr>
          <w:p w14:paraId="0854A45D"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bl>
    <w:p w14:paraId="57CDB7EC" w14:textId="77777777" w:rsidR="003F0F9F" w:rsidRDefault="003F0F9F">
      <w:pPr>
        <w:spacing w:after="0"/>
        <w:sectPr w:rsidR="003F0F9F" w:rsidSect="003F01C2">
          <w:headerReference w:type="even" r:id="rId63"/>
          <w:headerReference w:type="default" r:id="rId64"/>
          <w:pgSz w:w="16838" w:h="11906" w:orient="landscape" w:code="9"/>
          <w:pgMar w:top="743" w:right="1321" w:bottom="987" w:left="1038" w:header="709" w:footer="709" w:gutter="0"/>
          <w:cols w:space="720"/>
          <w:titlePg/>
          <w:docGrid w:linePitch="360"/>
        </w:sectPr>
      </w:pPr>
    </w:p>
    <w:p w14:paraId="4352A32B" w14:textId="4D2287A7" w:rsidR="00383063" w:rsidRPr="00C01F65" w:rsidRDefault="00383063" w:rsidP="00383063">
      <w:pPr>
        <w:spacing w:line="259" w:lineRule="auto"/>
        <w:rPr>
          <w:b/>
          <w:bCs/>
          <w:i/>
        </w:rPr>
      </w:pPr>
      <w:r w:rsidRPr="00C01F65">
        <w:rPr>
          <w:b/>
          <w:bCs/>
          <w:i/>
        </w:rPr>
        <w:lastRenderedPageBreak/>
        <w:t>Shepparton WWTP</w:t>
      </w:r>
    </w:p>
    <w:p w14:paraId="544A75CC" w14:textId="753467D8" w:rsidR="00383063" w:rsidRDefault="00383063" w:rsidP="001F2B01">
      <w:r w:rsidRPr="001F2B01">
        <w:t xml:space="preserve">The risk analysis of the Shepparton WWTP showed: </w:t>
      </w:r>
    </w:p>
    <w:p w14:paraId="7680D1D6" w14:textId="44C2E9B9" w:rsidR="00D65CC6" w:rsidRDefault="00D65CC6" w:rsidP="00C72B13">
      <w:pPr>
        <w:pStyle w:val="ListBullet"/>
      </w:pPr>
      <w:r>
        <w:t>Risk – a negligible to low risk from all potential hazards to all the environmental values</w:t>
      </w:r>
    </w:p>
    <w:p w14:paraId="25C5BF11" w14:textId="003F1F26" w:rsidR="001F2B01" w:rsidRPr="004B788D" w:rsidRDefault="00D65CC6" w:rsidP="00C72B13">
      <w:pPr>
        <w:pStyle w:val="ListBullet"/>
      </w:pPr>
      <w:r>
        <w:t>Management plan – GW Water’s management plan in response to the level of risk identified for the Shepparton WWTP to environmental values is to:</w:t>
      </w:r>
    </w:p>
    <w:p w14:paraId="25381DAD" w14:textId="77777777" w:rsidR="00383063" w:rsidRPr="001F2B01" w:rsidRDefault="00383063" w:rsidP="00525686">
      <w:pPr>
        <w:pStyle w:val="ListBullet"/>
        <w:numPr>
          <w:ilvl w:val="1"/>
          <w:numId w:val="9"/>
        </w:numPr>
      </w:pPr>
      <w:r w:rsidRPr="001F2B01">
        <w:t xml:space="preserve">develop and implement an appropriate monitoring plan that can assess if risk levels change in the Goulburn River from the discharge (including biological, water quality and human health indicators) </w:t>
      </w:r>
    </w:p>
    <w:p w14:paraId="55F62314" w14:textId="590FA847" w:rsidR="00383063" w:rsidRPr="00F21050" w:rsidRDefault="00383063" w:rsidP="00525686">
      <w:pPr>
        <w:pStyle w:val="ListBullet"/>
        <w:numPr>
          <w:ilvl w:val="1"/>
          <w:numId w:val="9"/>
        </w:numPr>
      </w:pPr>
      <w:r w:rsidRPr="001F2B01">
        <w:t>continually assess the above monitoring data as it becomes available and implement management actions if the risk levels change.</w:t>
      </w:r>
    </w:p>
    <w:p w14:paraId="674281E1" w14:textId="7FB4CBAA" w:rsidR="00B84539" w:rsidRPr="00C01F65" w:rsidRDefault="00B84539" w:rsidP="00B84539">
      <w:pPr>
        <w:spacing w:line="259" w:lineRule="auto"/>
        <w:rPr>
          <w:b/>
          <w:bCs/>
          <w:i/>
        </w:rPr>
      </w:pPr>
      <w:r w:rsidRPr="00C01F65">
        <w:rPr>
          <w:b/>
          <w:bCs/>
          <w:i/>
        </w:rPr>
        <w:t>Alexandra and Eildon WWTPs</w:t>
      </w:r>
    </w:p>
    <w:p w14:paraId="53A86BAA" w14:textId="620665A5" w:rsidR="00B84539" w:rsidRPr="00095303" w:rsidRDefault="00B84539" w:rsidP="00B84539">
      <w:pPr>
        <w:spacing w:line="259" w:lineRule="auto"/>
        <w:rPr>
          <w:rFonts w:asciiTheme="majorHAnsi" w:hAnsiTheme="majorHAnsi"/>
        </w:rPr>
      </w:pPr>
      <w:r w:rsidRPr="00C01F65">
        <w:t xml:space="preserve">A preliminary risk analysis was conducted for Alexandra and Eildon on the effluent data and dilution capacity of the receiving waters. This preliminary analysis indicated: </w:t>
      </w:r>
    </w:p>
    <w:p w14:paraId="06C543D7" w14:textId="19DD30D2" w:rsidR="00D65CC6" w:rsidRPr="004B788D" w:rsidRDefault="00B84539" w:rsidP="00C72B13">
      <w:pPr>
        <w:pStyle w:val="ListBullet"/>
      </w:pPr>
      <w:r w:rsidRPr="004B788D">
        <w:t>Risk</w:t>
      </w:r>
      <w:r w:rsidR="00D65CC6" w:rsidRPr="004B788D">
        <w:t xml:space="preserve"> – </w:t>
      </w:r>
      <w:r w:rsidRPr="004B788D">
        <w:t xml:space="preserve">a low risk to environmental values from all potential </w:t>
      </w:r>
      <w:r w:rsidR="007372BA" w:rsidRPr="004B788D">
        <w:t>hazard</w:t>
      </w:r>
      <w:r w:rsidRPr="004B788D">
        <w:t xml:space="preserve">s for both discharges. </w:t>
      </w:r>
    </w:p>
    <w:p w14:paraId="52EF479A" w14:textId="76FC0203" w:rsidR="00B84539" w:rsidRPr="004B788D" w:rsidRDefault="00B84539" w:rsidP="00C72B13">
      <w:pPr>
        <w:pStyle w:val="ListBullet"/>
        <w:rPr>
          <w:rFonts w:asciiTheme="majorHAnsi" w:hAnsiTheme="majorHAnsi"/>
        </w:rPr>
      </w:pPr>
      <w:r w:rsidRPr="004B788D">
        <w:t>Management plan</w:t>
      </w:r>
      <w:r w:rsidR="00D65CC6" w:rsidRPr="004B788D">
        <w:t xml:space="preserve"> – </w:t>
      </w:r>
      <w:r w:rsidRPr="004B788D">
        <w:t>GV Water’s management plan in response to the risks indicated for the Alexandra and Eildon WWTPs environmental values is to:</w:t>
      </w:r>
    </w:p>
    <w:p w14:paraId="409ABF01" w14:textId="77777777" w:rsidR="00B84539" w:rsidRPr="00095303" w:rsidRDefault="00B84539" w:rsidP="00525686">
      <w:pPr>
        <w:pStyle w:val="ListBullet"/>
        <w:numPr>
          <w:ilvl w:val="1"/>
          <w:numId w:val="9"/>
        </w:numPr>
      </w:pPr>
      <w:r w:rsidRPr="00095303">
        <w:t xml:space="preserve">monitor the receiving waters to assess if the risk assessment assumptions of risks being low are correct </w:t>
      </w:r>
    </w:p>
    <w:p w14:paraId="0B9E5DF6" w14:textId="77777777" w:rsidR="00B84539" w:rsidRPr="00095303" w:rsidRDefault="00B84539" w:rsidP="00525686">
      <w:pPr>
        <w:pStyle w:val="ListBullet"/>
        <w:numPr>
          <w:ilvl w:val="1"/>
          <w:numId w:val="9"/>
        </w:numPr>
      </w:pPr>
      <w:r w:rsidRPr="00095303">
        <w:t>monitor all key indicators to determine the extent of the mixing zone</w:t>
      </w:r>
    </w:p>
    <w:p w14:paraId="2CBB84FA" w14:textId="57098DA4" w:rsidR="00220804" w:rsidRPr="00F21050" w:rsidRDefault="00B84539" w:rsidP="00525686">
      <w:pPr>
        <w:pStyle w:val="ListBullet"/>
        <w:numPr>
          <w:ilvl w:val="1"/>
          <w:numId w:val="9"/>
        </w:numPr>
        <w:rPr>
          <w:b/>
        </w:rPr>
      </w:pPr>
      <w:r w:rsidRPr="00095303">
        <w:t xml:space="preserve">develop a long-term monitoring plan for continual assessment of risk levels. </w:t>
      </w:r>
    </w:p>
    <w:p w14:paraId="2FCEDEEE" w14:textId="3CE62546" w:rsidR="00220804" w:rsidRDefault="00220804" w:rsidP="00220804">
      <w:pPr>
        <w:spacing w:line="259" w:lineRule="auto"/>
      </w:pPr>
      <w:r w:rsidRPr="00C01F65">
        <w:t>The risk assessment for all three WWTPs was extensively documented in a risk characterisation report. This report includes</w:t>
      </w:r>
      <w:r w:rsidR="00C843FD">
        <w:t>:</w:t>
      </w:r>
      <w:r w:rsidRPr="00C01F65">
        <w:t xml:space="preserve"> a detailed presentation of background material, information and monitoring data, analysis</w:t>
      </w:r>
      <w:r w:rsidR="00C843FD">
        <w:t>,</w:t>
      </w:r>
      <w:r w:rsidRPr="00C01F65">
        <w:t xml:space="preserve"> methods and results, the key knowledge gaps and assumptions made throughout the risk assessment</w:t>
      </w:r>
      <w:r w:rsidR="00C843FD">
        <w:t>,</w:t>
      </w:r>
      <w:r w:rsidRPr="00C01F65">
        <w:t xml:space="preserve"> the results of the risk posed to the environmental values</w:t>
      </w:r>
      <w:r w:rsidR="00C843FD">
        <w:t>,</w:t>
      </w:r>
      <w:r w:rsidRPr="00C01F65">
        <w:t xml:space="preserve"> and management actions for these. This report can be obtained from GV</w:t>
      </w:r>
      <w:r>
        <w:t xml:space="preserve"> </w:t>
      </w:r>
      <w:r w:rsidRPr="00C01F65">
        <w:t>W</w:t>
      </w:r>
      <w:r>
        <w:t>ater</w:t>
      </w:r>
      <w:r w:rsidRPr="00C01F65">
        <w:t>.</w:t>
      </w:r>
    </w:p>
    <w:p w14:paraId="13079024" w14:textId="03D8D2AA" w:rsidR="00220804" w:rsidRPr="007C70E4" w:rsidRDefault="00220804" w:rsidP="00F46C15">
      <w:pPr>
        <w:pStyle w:val="AppendixA1"/>
      </w:pPr>
      <w:bookmarkStart w:id="141" w:name="_Toc133938162"/>
      <w:bookmarkStart w:id="142" w:name="_Toc51929034"/>
      <w:bookmarkStart w:id="143" w:name="_Toc87369298"/>
      <w:r w:rsidRPr="073E3263">
        <w:t>North East Water: Beechworth treatment plant</w:t>
      </w:r>
      <w:bookmarkEnd w:id="141"/>
      <w:r w:rsidR="12DF80DC" w:rsidRPr="073E3263">
        <w:t xml:space="preserve"> </w:t>
      </w:r>
      <w:bookmarkEnd w:id="142"/>
      <w:bookmarkEnd w:id="143"/>
    </w:p>
    <w:p w14:paraId="243175F8" w14:textId="23AF8E27" w:rsidR="00220804" w:rsidRPr="00C01F65" w:rsidRDefault="00220804" w:rsidP="00220804">
      <w:pPr>
        <w:spacing w:line="259" w:lineRule="auto"/>
        <w:rPr>
          <w:rFonts w:cs="Arial"/>
        </w:rPr>
      </w:pPr>
      <w:bookmarkStart w:id="144" w:name="_Int_NDh8sgsv"/>
      <w:r w:rsidRPr="10077A7C">
        <w:rPr>
          <w:rFonts w:cs="Arial"/>
        </w:rPr>
        <w:t>North East</w:t>
      </w:r>
      <w:bookmarkEnd w:id="144"/>
      <w:r w:rsidRPr="10077A7C">
        <w:rPr>
          <w:rFonts w:cs="Arial"/>
        </w:rPr>
        <w:t xml:space="preserve"> Water (NE Water) manage Beechworth wastewater treatment plant (WWTP), which is situated in north-east Victoria, approximately 3</w:t>
      </w:r>
      <w:r w:rsidR="00383063" w:rsidRPr="10077A7C">
        <w:rPr>
          <w:rFonts w:cs="Arial"/>
        </w:rPr>
        <w:t xml:space="preserve"> </w:t>
      </w:r>
      <w:r w:rsidRPr="10077A7C">
        <w:rPr>
          <w:rFonts w:cs="Arial"/>
        </w:rPr>
        <w:t>km downstream of the town of Beechworth in the Upper Ovens Catchment</w:t>
      </w:r>
      <w:r w:rsidRPr="10077A7C">
        <w:rPr>
          <w:rFonts w:cs="Arial"/>
          <w:color w:val="99CC00"/>
        </w:rPr>
        <w:t xml:space="preserve">. </w:t>
      </w:r>
      <w:r w:rsidRPr="10077A7C">
        <w:rPr>
          <w:rFonts w:cs="Arial"/>
        </w:rPr>
        <w:t>The WWTP has secondary treatment in lagoons with a chemically assisted sedimentation plant to remove algae and phosphorus prior to discharge. In the warmer months, secondary treated water from the WWTP is used for irrigation. During winter, an average of 150</w:t>
      </w:r>
      <w:r w:rsidR="00383063" w:rsidRPr="10077A7C">
        <w:rPr>
          <w:rFonts w:cs="Arial"/>
        </w:rPr>
        <w:t xml:space="preserve"> </w:t>
      </w:r>
      <w:r w:rsidRPr="10077A7C">
        <w:rPr>
          <w:rFonts w:cs="Arial"/>
        </w:rPr>
        <w:t>ML of tertiary treated effluent is discharged to Spring Creek over a four-month period. Spring Creek is a tributary of Reedy Creek, which flows into the Ovens River about 14</w:t>
      </w:r>
      <w:r w:rsidR="00383063" w:rsidRPr="10077A7C">
        <w:rPr>
          <w:rFonts w:cs="Arial"/>
        </w:rPr>
        <w:t xml:space="preserve"> </w:t>
      </w:r>
      <w:r w:rsidRPr="10077A7C">
        <w:rPr>
          <w:rFonts w:cs="Arial"/>
        </w:rPr>
        <w:t xml:space="preserve">km north-west of Wangaratta. </w:t>
      </w:r>
    </w:p>
    <w:p w14:paraId="7D0BF28C" w14:textId="77777777" w:rsidR="00851A14" w:rsidRPr="00F24329" w:rsidRDefault="00851A14" w:rsidP="00AA7232">
      <w:pPr>
        <w:pStyle w:val="Heading4"/>
        <w:rPr>
          <w:rFonts w:cs="Arial"/>
        </w:rPr>
      </w:pPr>
      <w:r w:rsidRPr="00F24329">
        <w:lastRenderedPageBreak/>
        <w:t>Problem formulation</w:t>
      </w:r>
    </w:p>
    <w:p w14:paraId="48394AAB" w14:textId="75E444BA" w:rsidR="00220804" w:rsidRPr="00C01F65" w:rsidRDefault="00220804" w:rsidP="00220804">
      <w:pPr>
        <w:spacing w:line="259" w:lineRule="auto"/>
        <w:rPr>
          <w:rFonts w:cs="Arial"/>
        </w:rPr>
      </w:pPr>
      <w:r w:rsidRPr="00C01F65">
        <w:rPr>
          <w:rFonts w:cs="Arial"/>
        </w:rPr>
        <w:t xml:space="preserve">The focus of the risk assessment was to investigate the potential risks posed by the Beechworth WWTP winter discharge to the environmental values of Spring and Reedy </w:t>
      </w:r>
      <w:r w:rsidR="007C55C6">
        <w:rPr>
          <w:rFonts w:cs="Arial"/>
        </w:rPr>
        <w:t>c</w:t>
      </w:r>
      <w:r w:rsidRPr="00C01F65">
        <w:rPr>
          <w:rFonts w:cs="Arial"/>
        </w:rPr>
        <w:t>reeks. This also included assessing the extent of the mixing zone for the discharge. NE Water’s management goal for the risk assessment was to obtain information to assist management decisions on the future upgrade of the WWTP. In particular, the goal was to provide:</w:t>
      </w:r>
    </w:p>
    <w:p w14:paraId="65E6D0B7" w14:textId="77777777" w:rsidR="00220804" w:rsidRPr="00C01F65" w:rsidRDefault="00220804" w:rsidP="00C72B13">
      <w:pPr>
        <w:pStyle w:val="ListBullet"/>
      </w:pPr>
      <w:r w:rsidRPr="00C01F65">
        <w:t>a greater understanding of the current impact of the discharge to the creeks</w:t>
      </w:r>
    </w:p>
    <w:p w14:paraId="62E1F9C2" w14:textId="77777777" w:rsidR="00220804" w:rsidRPr="00C01F65" w:rsidRDefault="00220804" w:rsidP="00C72B13">
      <w:pPr>
        <w:pStyle w:val="ListBullet"/>
      </w:pPr>
      <w:r w:rsidRPr="00C01F65">
        <w:t>information to help assess how effective different WWTP upgrade scenarios would be in improving the health of the creeks downstream of the discharge.</w:t>
      </w:r>
    </w:p>
    <w:p w14:paraId="75A8038A" w14:textId="6430D5C1" w:rsidR="00220804" w:rsidRPr="00C01F65" w:rsidRDefault="00220804" w:rsidP="00220804">
      <w:pPr>
        <w:spacing w:line="259" w:lineRule="auto"/>
        <w:rPr>
          <w:rFonts w:cs="Arial"/>
        </w:rPr>
      </w:pPr>
      <w:r w:rsidRPr="10077A7C">
        <w:rPr>
          <w:rFonts w:cs="Arial"/>
        </w:rPr>
        <w:t>NE Water had a problem formulation stakeholder workshop in February 2008. The workshop was attended by</w:t>
      </w:r>
      <w:r w:rsidR="00C843FD">
        <w:rPr>
          <w:rFonts w:cs="Arial"/>
        </w:rPr>
        <w:t>:</w:t>
      </w:r>
      <w:r w:rsidRPr="10077A7C">
        <w:rPr>
          <w:rFonts w:cs="Arial"/>
        </w:rPr>
        <w:t xml:space="preserve"> a risk assessment consultant, NE Water, </w:t>
      </w:r>
      <w:bookmarkStart w:id="145" w:name="_Int_w+BEAfRH"/>
      <w:r w:rsidRPr="10077A7C">
        <w:rPr>
          <w:rFonts w:cs="Arial"/>
        </w:rPr>
        <w:t>North East</w:t>
      </w:r>
      <w:bookmarkEnd w:id="145"/>
      <w:r w:rsidRPr="10077A7C">
        <w:rPr>
          <w:rFonts w:cs="Arial"/>
        </w:rPr>
        <w:t xml:space="preserve"> Catchment Management Authority, Indigo Shire, Wooragee Landcare Group</w:t>
      </w:r>
      <w:r w:rsidR="00C843FD">
        <w:rPr>
          <w:rFonts w:cs="Arial"/>
        </w:rPr>
        <w:t xml:space="preserve">, </w:t>
      </w:r>
      <w:r w:rsidRPr="10077A7C">
        <w:rPr>
          <w:rFonts w:cs="Arial"/>
        </w:rPr>
        <w:t>and an ecological expert from La Trobe University. Prior to the workshop, NE Water and their risk assessment consultant compiled and summarised all available information and data on the discharge effluent and receiving waters. Consultation with key stakeholders and experts delivered the following outcomes:</w:t>
      </w:r>
    </w:p>
    <w:p w14:paraId="1A5D3341" w14:textId="77777777" w:rsidR="00220804" w:rsidRPr="00C01F65" w:rsidRDefault="00220804" w:rsidP="00C72B13">
      <w:pPr>
        <w:pStyle w:val="ListBullet"/>
      </w:pPr>
      <w:r w:rsidRPr="00C01F65">
        <w:t>identification of clear management goals</w:t>
      </w:r>
    </w:p>
    <w:p w14:paraId="0484158A" w14:textId="363EC60E" w:rsidR="00220804" w:rsidRPr="00C01F65" w:rsidRDefault="00220804" w:rsidP="00C72B13">
      <w:pPr>
        <w:pStyle w:val="ListBullet"/>
      </w:pPr>
      <w:r w:rsidRPr="00C01F65">
        <w:t xml:space="preserve">identification of seven environmental values as being potentially at risk from discharge </w:t>
      </w:r>
      <w:r w:rsidR="007372BA">
        <w:t>hazard</w:t>
      </w:r>
      <w:r w:rsidRPr="00C01F65">
        <w:t xml:space="preserve">s of Spring and Reedy </w:t>
      </w:r>
      <w:r>
        <w:t>c</w:t>
      </w:r>
      <w:r w:rsidRPr="00C01F65">
        <w:t>reeks (</w:t>
      </w:r>
      <w:r w:rsidR="00610251" w:rsidRPr="00610251">
        <w:fldChar w:fldCharType="begin"/>
      </w:r>
      <w:r w:rsidR="00610251" w:rsidRPr="00610251">
        <w:instrText xml:space="preserve"> REF _Ref88224261 \h  \* MERGEFORMAT </w:instrText>
      </w:r>
      <w:r w:rsidR="00610251" w:rsidRPr="00610251">
        <w:fldChar w:fldCharType="separate"/>
      </w:r>
      <w:r w:rsidR="00FD64B0" w:rsidRPr="00FD64B0">
        <w:rPr>
          <w:rFonts w:asciiTheme="majorHAnsi" w:hAnsiTheme="majorHAnsi"/>
        </w:rPr>
        <w:t>Table B11</w:t>
      </w:r>
      <w:r w:rsidR="00610251" w:rsidRPr="00610251">
        <w:fldChar w:fldCharType="end"/>
      </w:r>
      <w:r w:rsidRPr="00C01F65">
        <w:t>)</w:t>
      </w:r>
    </w:p>
    <w:p w14:paraId="5A3B0933" w14:textId="490284B7" w:rsidR="00220804" w:rsidRPr="00C01F65" w:rsidRDefault="00220804" w:rsidP="00C72B13">
      <w:pPr>
        <w:pStyle w:val="ListBullet"/>
      </w:pPr>
      <w:r w:rsidRPr="00C01F65">
        <w:t xml:space="preserve">determination of the environmental effects that may be caused by </w:t>
      </w:r>
      <w:r w:rsidR="007372BA">
        <w:t>hazard</w:t>
      </w:r>
      <w:r w:rsidRPr="00C01F65">
        <w:t>s (</w:t>
      </w:r>
      <w:r w:rsidR="00610251" w:rsidRPr="00610251">
        <w:fldChar w:fldCharType="begin"/>
      </w:r>
      <w:r w:rsidR="00610251" w:rsidRPr="00610251">
        <w:instrText xml:space="preserve"> REF _Ref88224276 \h  \* MERGEFORMAT </w:instrText>
      </w:r>
      <w:r w:rsidR="00610251" w:rsidRPr="00610251">
        <w:fldChar w:fldCharType="separate"/>
      </w:r>
      <w:r w:rsidR="00FD64B0" w:rsidRPr="00FD64B0">
        <w:rPr>
          <w:rFonts w:asciiTheme="majorHAnsi" w:hAnsiTheme="majorHAnsi"/>
        </w:rPr>
        <w:t>Table B12</w:t>
      </w:r>
      <w:r w:rsidR="00610251" w:rsidRPr="00610251">
        <w:fldChar w:fldCharType="end"/>
      </w:r>
      <w:r w:rsidRPr="00C01F65">
        <w:t>)</w:t>
      </w:r>
    </w:p>
    <w:p w14:paraId="25DCE0F7" w14:textId="719750D2" w:rsidR="00220804" w:rsidRPr="00C01F65" w:rsidRDefault="00220804" w:rsidP="00C72B13">
      <w:pPr>
        <w:pStyle w:val="ListBullet"/>
      </w:pPr>
      <w:r w:rsidRPr="00C01F65">
        <w:t xml:space="preserve">development of a conceptual model illustrating the relationships between </w:t>
      </w:r>
      <w:r w:rsidR="007372BA">
        <w:t>hazard</w:t>
      </w:r>
      <w:r w:rsidRPr="00C01F65">
        <w:t>s and environmental values (</w:t>
      </w:r>
      <w:r w:rsidR="00F90281">
        <w:fldChar w:fldCharType="begin"/>
      </w:r>
      <w:r w:rsidR="00F90281">
        <w:instrText xml:space="preserve"> REF _Ref132745055 \h </w:instrText>
      </w:r>
      <w:r w:rsidR="00F90281">
        <w:fldChar w:fldCharType="separate"/>
      </w:r>
      <w:r w:rsidR="00FD64B0">
        <w:t>Figure B</w:t>
      </w:r>
      <w:r w:rsidR="00FD64B0">
        <w:rPr>
          <w:noProof/>
        </w:rPr>
        <w:t>7</w:t>
      </w:r>
      <w:r w:rsidR="00F90281">
        <w:fldChar w:fldCharType="end"/>
      </w:r>
      <w:r w:rsidRPr="00C01F65">
        <w:t>)</w:t>
      </w:r>
    </w:p>
    <w:p w14:paraId="25AF2BBD" w14:textId="77777777" w:rsidR="00220804" w:rsidRPr="00C01F65" w:rsidRDefault="00220804" w:rsidP="00C72B13">
      <w:pPr>
        <w:pStyle w:val="ListBullet"/>
      </w:pPr>
      <w:r w:rsidRPr="00C01F65">
        <w:t>identification of data gaps and the development of monitoring programs to resolve them</w:t>
      </w:r>
    </w:p>
    <w:p w14:paraId="4328A2C4" w14:textId="162E51E3" w:rsidR="003C75C8" w:rsidRDefault="00220804" w:rsidP="00C72B13">
      <w:pPr>
        <w:pStyle w:val="ListBullet"/>
      </w:pPr>
      <w:r w:rsidRPr="003C75C8">
        <w:t xml:space="preserve">development </w:t>
      </w:r>
      <w:r w:rsidR="00C843FD" w:rsidRPr="003C75C8">
        <w:t xml:space="preserve">of a risk analysis plan </w:t>
      </w:r>
      <w:r w:rsidRPr="003C75C8">
        <w:t>and submission to EPA.</w:t>
      </w:r>
    </w:p>
    <w:p w14:paraId="541A98A9" w14:textId="00AA49E3" w:rsidR="003C75C8" w:rsidRDefault="003C75C8" w:rsidP="003C75C8">
      <w:pPr>
        <w:spacing w:after="0"/>
      </w:pPr>
      <w:r w:rsidRPr="00C01F65">
        <w:t xml:space="preserve">The findings from the workshop and available data were used to identify the key issues for investigation and </w:t>
      </w:r>
      <w:r>
        <w:t xml:space="preserve">development of </w:t>
      </w:r>
      <w:r w:rsidRPr="00C01F65">
        <w:t xml:space="preserve">the risk analysis plan. </w:t>
      </w:r>
    </w:p>
    <w:p w14:paraId="5707AD4B" w14:textId="77777777" w:rsidR="003C75C8" w:rsidRPr="00C01F65" w:rsidRDefault="003C75C8" w:rsidP="003C75C8">
      <w:pPr>
        <w:spacing w:line="259" w:lineRule="auto"/>
      </w:pPr>
      <w:r w:rsidRPr="00C01F65">
        <w:t>The risk analysis plan provided:</w:t>
      </w:r>
    </w:p>
    <w:p w14:paraId="5C8FF52E" w14:textId="77777777" w:rsidR="003C75C8" w:rsidRPr="00C01F65" w:rsidRDefault="003C75C8" w:rsidP="00C72B13">
      <w:pPr>
        <w:pStyle w:val="ListBullet"/>
      </w:pPr>
      <w:r w:rsidRPr="00C01F65">
        <w:t>background information on the WWTP discharge and receiving waters</w:t>
      </w:r>
    </w:p>
    <w:p w14:paraId="19BDC4DF" w14:textId="77777777" w:rsidR="003C75C8" w:rsidRPr="00C01F65" w:rsidRDefault="003C75C8" w:rsidP="00C72B13">
      <w:pPr>
        <w:pStyle w:val="ListBullet"/>
      </w:pPr>
      <w:r w:rsidRPr="00C01F65">
        <w:t>documentation of the problem formulation phase</w:t>
      </w:r>
    </w:p>
    <w:p w14:paraId="6F47FA3E" w14:textId="1CF8972D" w:rsidR="00222236" w:rsidRPr="00C01F65" w:rsidRDefault="003C75C8" w:rsidP="00222236">
      <w:pPr>
        <w:pStyle w:val="ListBullet"/>
      </w:pPr>
      <w:r w:rsidRPr="00C01F65">
        <w:t>detail on how the key risks identified in the problem formulation would be further assessed through a two-year monitoring program and subsequent data analysis (</w:t>
      </w:r>
      <w:r w:rsidR="00F90281">
        <w:fldChar w:fldCharType="begin"/>
      </w:r>
      <w:r w:rsidR="00F90281">
        <w:instrText xml:space="preserve"> REF _Ref132747670 \h </w:instrText>
      </w:r>
      <w:r w:rsidR="00F90281">
        <w:fldChar w:fldCharType="separate"/>
      </w:r>
      <w:r w:rsidR="00FD64B0" w:rsidRPr="00450B9F">
        <w:t>Table B</w:t>
      </w:r>
      <w:r w:rsidR="00FD64B0">
        <w:rPr>
          <w:noProof/>
        </w:rPr>
        <w:t>13</w:t>
      </w:r>
      <w:r w:rsidR="00F90281">
        <w:fldChar w:fldCharType="end"/>
      </w:r>
      <w:r w:rsidR="00222236">
        <w:t>).</w:t>
      </w:r>
    </w:p>
    <w:p w14:paraId="2B1AD989" w14:textId="7FA22636" w:rsidR="005B4331" w:rsidRPr="00D32365" w:rsidRDefault="00D32365" w:rsidP="00D32365">
      <w:pPr>
        <w:spacing w:before="0" w:after="0"/>
        <w:rPr>
          <w:rFonts w:eastAsiaTheme="minorHAnsi" w:cstheme="minorBidi"/>
          <w:lang w:val="en-US"/>
        </w:rPr>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3606"/>
        <w:gridCol w:w="3684"/>
      </w:tblGrid>
      <w:tr w:rsidR="00CB1FC2" w:rsidRPr="00CB1FC2" w14:paraId="1CD4B377" w14:textId="77777777" w:rsidTr="00556493">
        <w:trPr>
          <w:trHeight w:val="238"/>
          <w:jc w:val="center"/>
        </w:trPr>
        <w:tc>
          <w:tcPr>
            <w:tcW w:w="5000" w:type="pct"/>
            <w:gridSpan w:val="3"/>
            <w:tcBorders>
              <w:top w:val="nil"/>
              <w:left w:val="nil"/>
              <w:right w:val="nil"/>
            </w:tcBorders>
            <w:shd w:val="clear" w:color="auto" w:fill="auto"/>
            <w:vAlign w:val="center"/>
          </w:tcPr>
          <w:p w14:paraId="2477A3D4" w14:textId="69DBB24F" w:rsidR="00CB1FC2" w:rsidRPr="00B4207D" w:rsidRDefault="00CB1FC2" w:rsidP="00A4665C">
            <w:pPr>
              <w:pStyle w:val="Caption"/>
            </w:pPr>
            <w:bookmarkStart w:id="146" w:name="_Ref88224261"/>
            <w:r w:rsidRPr="00B4207D">
              <w:lastRenderedPageBreak/>
              <w:t>Table B</w:t>
            </w:r>
            <w:fldSimple w:instr=" SEQ Table_B \* ARABIC ">
              <w:r w:rsidR="00FD64B0">
                <w:rPr>
                  <w:noProof/>
                </w:rPr>
                <w:t>11</w:t>
              </w:r>
            </w:fldSimple>
            <w:bookmarkEnd w:id="146"/>
            <w:r w:rsidRPr="00B4207D">
              <w:t xml:space="preserve"> </w:t>
            </w:r>
            <w:r w:rsidR="00101BFB" w:rsidRPr="00841850">
              <w:t>–</w:t>
            </w:r>
            <w:r w:rsidRPr="00B4207D">
              <w:t xml:space="preserve"> Environmental values identified for Spring and Reedy </w:t>
            </w:r>
            <w:r w:rsidR="007C55C6">
              <w:t>c</w:t>
            </w:r>
            <w:r w:rsidRPr="00B4207D">
              <w:t>reeks</w:t>
            </w:r>
          </w:p>
        </w:tc>
      </w:tr>
      <w:tr w:rsidR="00CB1FC2" w:rsidRPr="00CB1FC2" w14:paraId="09B7ABC8" w14:textId="77777777" w:rsidTr="00ED467A">
        <w:trPr>
          <w:trHeight w:val="238"/>
          <w:jc w:val="center"/>
        </w:trPr>
        <w:tc>
          <w:tcPr>
            <w:tcW w:w="1418" w:type="pct"/>
            <w:shd w:val="clear" w:color="auto" w:fill="003F72"/>
            <w:vAlign w:val="center"/>
            <w:hideMark/>
          </w:tcPr>
          <w:p w14:paraId="227F65ED" w14:textId="77777777" w:rsidR="00CB1FC2" w:rsidRPr="00CB1FC2" w:rsidRDefault="00CB1FC2" w:rsidP="00C72B13">
            <w:pPr>
              <w:pStyle w:val="Tabletext0"/>
            </w:pPr>
            <w:r w:rsidRPr="00CB1FC2">
              <w:t>Environmental value</w:t>
            </w:r>
          </w:p>
        </w:tc>
        <w:tc>
          <w:tcPr>
            <w:tcW w:w="1772" w:type="pct"/>
            <w:shd w:val="clear" w:color="auto" w:fill="003F72"/>
            <w:vAlign w:val="center"/>
            <w:hideMark/>
          </w:tcPr>
          <w:p w14:paraId="0C75EF18" w14:textId="77777777" w:rsidR="00CB1FC2" w:rsidRPr="00CB1FC2" w:rsidRDefault="00CB1FC2" w:rsidP="00C72B13">
            <w:pPr>
              <w:pStyle w:val="Tabletext0"/>
            </w:pPr>
            <w:r w:rsidRPr="00CB1FC2">
              <w:t>Local value</w:t>
            </w:r>
          </w:p>
        </w:tc>
        <w:tc>
          <w:tcPr>
            <w:tcW w:w="1811" w:type="pct"/>
            <w:shd w:val="clear" w:color="auto" w:fill="003F72"/>
            <w:vAlign w:val="center"/>
            <w:hideMark/>
          </w:tcPr>
          <w:p w14:paraId="236235D3" w14:textId="591050AE" w:rsidR="00CB1FC2" w:rsidRPr="00CB1FC2" w:rsidRDefault="007372BA" w:rsidP="00C72B13">
            <w:pPr>
              <w:pStyle w:val="Tabletext0"/>
            </w:pPr>
            <w:r>
              <w:t>Hazard</w:t>
            </w:r>
          </w:p>
        </w:tc>
      </w:tr>
      <w:tr w:rsidR="00CB1FC2" w:rsidRPr="00CB1FC2" w14:paraId="193562C7" w14:textId="77777777" w:rsidTr="00ED467A">
        <w:trPr>
          <w:trHeight w:val="238"/>
          <w:jc w:val="center"/>
        </w:trPr>
        <w:tc>
          <w:tcPr>
            <w:tcW w:w="1418" w:type="pct"/>
            <w:vMerge w:val="restart"/>
            <w:shd w:val="clear" w:color="auto" w:fill="FFFFFF" w:themeFill="background1"/>
            <w:hideMark/>
          </w:tcPr>
          <w:p w14:paraId="6645E01C" w14:textId="77777777" w:rsidR="00CB1FC2" w:rsidRPr="00CB1FC2" w:rsidRDefault="00CB1FC2" w:rsidP="00C72B13">
            <w:pPr>
              <w:pStyle w:val="Tabletext0"/>
              <w:rPr>
                <w:lang w:eastAsia="ja-JP"/>
              </w:rPr>
            </w:pPr>
            <w:r w:rsidRPr="00CB1FC2">
              <w:rPr>
                <w:lang w:eastAsia="ja-JP"/>
              </w:rPr>
              <w:t xml:space="preserve">Water dependent ecosystems </w:t>
            </w:r>
          </w:p>
          <w:p w14:paraId="21B384D0" w14:textId="77777777" w:rsidR="00CB1FC2" w:rsidRPr="00CB1FC2" w:rsidRDefault="00CB1FC2" w:rsidP="00C72B13">
            <w:pPr>
              <w:pStyle w:val="Tabletext0"/>
            </w:pPr>
            <w:r w:rsidRPr="00CB1FC2">
              <w:rPr>
                <w:lang w:eastAsia="ja-JP"/>
              </w:rPr>
              <w:t>and species</w:t>
            </w:r>
          </w:p>
        </w:tc>
        <w:tc>
          <w:tcPr>
            <w:tcW w:w="1772" w:type="pct"/>
            <w:vMerge w:val="restart"/>
            <w:shd w:val="clear" w:color="auto" w:fill="FFFFFF" w:themeFill="background1"/>
            <w:hideMark/>
          </w:tcPr>
          <w:p w14:paraId="7EFAF5F4" w14:textId="77777777" w:rsidR="00CB1FC2" w:rsidRPr="00CB1FC2" w:rsidRDefault="00CB1FC2" w:rsidP="00C72B13">
            <w:pPr>
              <w:pStyle w:val="Tabletext0"/>
            </w:pPr>
            <w:r w:rsidRPr="00CB1FC2">
              <w:rPr>
                <w:lang w:eastAsia="ja-JP"/>
              </w:rPr>
              <w:t>Ephemeral stream habitat</w:t>
            </w:r>
          </w:p>
        </w:tc>
        <w:tc>
          <w:tcPr>
            <w:tcW w:w="1811" w:type="pct"/>
            <w:shd w:val="clear" w:color="auto" w:fill="FFFFFF" w:themeFill="background1"/>
            <w:noWrap/>
            <w:hideMark/>
          </w:tcPr>
          <w:p w14:paraId="7CBA7C09" w14:textId="77777777" w:rsidR="00CB1FC2" w:rsidRPr="00CB1FC2" w:rsidRDefault="00CB1FC2" w:rsidP="00C72B13">
            <w:pPr>
              <w:pStyle w:val="Tabletext0"/>
            </w:pPr>
            <w:r w:rsidRPr="00CB1FC2">
              <w:rPr>
                <w:lang w:eastAsia="ja-JP"/>
              </w:rPr>
              <w:t>Discharge volume and timing</w:t>
            </w:r>
          </w:p>
        </w:tc>
      </w:tr>
      <w:tr w:rsidR="00CB1FC2" w:rsidRPr="00CB1FC2" w14:paraId="090DDC68" w14:textId="77777777" w:rsidTr="00ED467A">
        <w:trPr>
          <w:trHeight w:val="238"/>
          <w:jc w:val="center"/>
        </w:trPr>
        <w:tc>
          <w:tcPr>
            <w:tcW w:w="1418" w:type="pct"/>
            <w:vMerge/>
            <w:vAlign w:val="center"/>
            <w:hideMark/>
          </w:tcPr>
          <w:p w14:paraId="301B295C" w14:textId="77777777" w:rsidR="00CB1FC2" w:rsidRPr="00CB1FC2" w:rsidRDefault="00CB1FC2" w:rsidP="00C72B13">
            <w:pPr>
              <w:pStyle w:val="Tabletext0"/>
              <w:rPr>
                <w:lang w:eastAsia="en-AU"/>
              </w:rPr>
            </w:pPr>
          </w:p>
        </w:tc>
        <w:tc>
          <w:tcPr>
            <w:tcW w:w="1772" w:type="pct"/>
            <w:vMerge/>
            <w:vAlign w:val="center"/>
            <w:hideMark/>
          </w:tcPr>
          <w:p w14:paraId="1D0E89B0" w14:textId="77777777" w:rsidR="00CB1FC2" w:rsidRPr="00CB1FC2" w:rsidRDefault="00CB1FC2" w:rsidP="00C72B13">
            <w:pPr>
              <w:pStyle w:val="Tabletext0"/>
              <w:rPr>
                <w:lang w:eastAsia="en-AU"/>
              </w:rPr>
            </w:pPr>
          </w:p>
        </w:tc>
        <w:tc>
          <w:tcPr>
            <w:tcW w:w="1811" w:type="pct"/>
            <w:shd w:val="clear" w:color="auto" w:fill="FFFFFF" w:themeFill="background1"/>
            <w:noWrap/>
            <w:hideMark/>
          </w:tcPr>
          <w:p w14:paraId="51C4E18E" w14:textId="77777777" w:rsidR="00CB1FC2" w:rsidRPr="00CB1FC2" w:rsidRDefault="00CB1FC2" w:rsidP="00C72B13">
            <w:pPr>
              <w:pStyle w:val="Tabletext0"/>
            </w:pPr>
            <w:r w:rsidRPr="00CB1FC2">
              <w:rPr>
                <w:lang w:eastAsia="ja-JP"/>
              </w:rPr>
              <w:t>Nutrients (nitrogen, phosphorus)</w:t>
            </w:r>
          </w:p>
        </w:tc>
      </w:tr>
      <w:tr w:rsidR="00CB1FC2" w:rsidRPr="00CB1FC2" w14:paraId="2253C977" w14:textId="77777777" w:rsidTr="00ED467A">
        <w:trPr>
          <w:trHeight w:val="238"/>
          <w:jc w:val="center"/>
        </w:trPr>
        <w:tc>
          <w:tcPr>
            <w:tcW w:w="1418" w:type="pct"/>
            <w:vMerge/>
            <w:vAlign w:val="center"/>
            <w:hideMark/>
          </w:tcPr>
          <w:p w14:paraId="73CD30C2" w14:textId="77777777" w:rsidR="00CB1FC2" w:rsidRPr="00CB1FC2" w:rsidRDefault="00CB1FC2" w:rsidP="00C72B13">
            <w:pPr>
              <w:pStyle w:val="Tabletext0"/>
              <w:rPr>
                <w:lang w:eastAsia="en-AU"/>
              </w:rPr>
            </w:pPr>
          </w:p>
        </w:tc>
        <w:tc>
          <w:tcPr>
            <w:tcW w:w="1772" w:type="pct"/>
            <w:shd w:val="clear" w:color="auto" w:fill="FFFFFF" w:themeFill="background1"/>
            <w:hideMark/>
          </w:tcPr>
          <w:p w14:paraId="21D47E69" w14:textId="77777777" w:rsidR="00CB1FC2" w:rsidRPr="00CB1FC2" w:rsidRDefault="00CB1FC2" w:rsidP="00C72B13">
            <w:pPr>
              <w:pStyle w:val="Tabletext0"/>
            </w:pPr>
            <w:r w:rsidRPr="00CB1FC2">
              <w:t>Ephemeral flow regime</w:t>
            </w:r>
          </w:p>
        </w:tc>
        <w:tc>
          <w:tcPr>
            <w:tcW w:w="1811" w:type="pct"/>
            <w:shd w:val="clear" w:color="auto" w:fill="FFFFFF" w:themeFill="background1"/>
            <w:noWrap/>
            <w:hideMark/>
          </w:tcPr>
          <w:p w14:paraId="70024667" w14:textId="77777777" w:rsidR="00CB1FC2" w:rsidRPr="00CB1FC2" w:rsidRDefault="00CB1FC2" w:rsidP="00C72B13">
            <w:pPr>
              <w:pStyle w:val="Tabletext0"/>
            </w:pPr>
            <w:r w:rsidRPr="00CB1FC2">
              <w:rPr>
                <w:lang w:eastAsia="ja-JP"/>
              </w:rPr>
              <w:t>Discharge volume and timing</w:t>
            </w:r>
          </w:p>
        </w:tc>
      </w:tr>
      <w:tr w:rsidR="00CB1FC2" w:rsidRPr="00CB1FC2" w14:paraId="36A0461C" w14:textId="77777777" w:rsidTr="00ED467A">
        <w:trPr>
          <w:trHeight w:val="238"/>
          <w:jc w:val="center"/>
        </w:trPr>
        <w:tc>
          <w:tcPr>
            <w:tcW w:w="1418" w:type="pct"/>
            <w:vMerge/>
            <w:vAlign w:val="center"/>
            <w:hideMark/>
          </w:tcPr>
          <w:p w14:paraId="0364B160" w14:textId="77777777" w:rsidR="00CB1FC2" w:rsidRPr="00CB1FC2" w:rsidRDefault="00CB1FC2" w:rsidP="00C72B13">
            <w:pPr>
              <w:pStyle w:val="Tabletext0"/>
              <w:rPr>
                <w:lang w:eastAsia="en-AU"/>
              </w:rPr>
            </w:pPr>
          </w:p>
        </w:tc>
        <w:tc>
          <w:tcPr>
            <w:tcW w:w="1772" w:type="pct"/>
            <w:vMerge w:val="restart"/>
            <w:shd w:val="clear" w:color="auto" w:fill="FFFFFF" w:themeFill="background1"/>
          </w:tcPr>
          <w:p w14:paraId="48F56CDE" w14:textId="77777777" w:rsidR="00CB1FC2" w:rsidRPr="00CB1FC2" w:rsidRDefault="00CB1FC2" w:rsidP="00C72B13">
            <w:pPr>
              <w:pStyle w:val="Tabletext0"/>
              <w:rPr>
                <w:lang w:eastAsia="ja-JP"/>
              </w:rPr>
            </w:pPr>
            <w:r w:rsidRPr="00CB1FC2">
              <w:rPr>
                <w:lang w:eastAsia="ja-JP"/>
              </w:rPr>
              <w:t>Macroinvertebrate communities and native fish populations</w:t>
            </w:r>
          </w:p>
          <w:p w14:paraId="0A5E54F2"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5FED88A7" w14:textId="77777777" w:rsidR="00CB1FC2" w:rsidRPr="00CB1FC2" w:rsidRDefault="00CB1FC2" w:rsidP="00C72B13">
            <w:pPr>
              <w:pStyle w:val="Tabletext0"/>
              <w:rPr>
                <w:lang w:eastAsia="en-AU"/>
              </w:rPr>
            </w:pPr>
            <w:r w:rsidRPr="00CB1FC2">
              <w:rPr>
                <w:lang w:eastAsia="ja-JP"/>
              </w:rPr>
              <w:t>Discharge volume and timing</w:t>
            </w:r>
          </w:p>
        </w:tc>
      </w:tr>
      <w:tr w:rsidR="00CB1FC2" w:rsidRPr="00CB1FC2" w14:paraId="6380E305" w14:textId="77777777" w:rsidTr="00ED467A">
        <w:trPr>
          <w:trHeight w:val="238"/>
          <w:jc w:val="center"/>
        </w:trPr>
        <w:tc>
          <w:tcPr>
            <w:tcW w:w="1418" w:type="pct"/>
            <w:vMerge/>
            <w:vAlign w:val="center"/>
            <w:hideMark/>
          </w:tcPr>
          <w:p w14:paraId="3DAE790A" w14:textId="77777777" w:rsidR="00CB1FC2" w:rsidRPr="00CB1FC2" w:rsidRDefault="00CB1FC2" w:rsidP="00C72B13">
            <w:pPr>
              <w:pStyle w:val="Tabletext0"/>
              <w:rPr>
                <w:lang w:eastAsia="en-AU"/>
              </w:rPr>
            </w:pPr>
          </w:p>
        </w:tc>
        <w:tc>
          <w:tcPr>
            <w:tcW w:w="1772" w:type="pct"/>
            <w:vMerge/>
            <w:vAlign w:val="center"/>
            <w:hideMark/>
          </w:tcPr>
          <w:p w14:paraId="69663871"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11902FA7" w14:textId="77777777" w:rsidR="00CB1FC2" w:rsidRPr="00CB1FC2" w:rsidRDefault="00CB1FC2" w:rsidP="00C72B13">
            <w:pPr>
              <w:pStyle w:val="Tabletext0"/>
            </w:pPr>
            <w:r w:rsidRPr="00CB1FC2">
              <w:rPr>
                <w:lang w:eastAsia="ja-JP"/>
              </w:rPr>
              <w:t>Suspended solids</w:t>
            </w:r>
          </w:p>
        </w:tc>
      </w:tr>
      <w:tr w:rsidR="00CB1FC2" w:rsidRPr="00CB1FC2" w14:paraId="6D9B54A6" w14:textId="77777777" w:rsidTr="00ED467A">
        <w:trPr>
          <w:trHeight w:val="238"/>
          <w:jc w:val="center"/>
        </w:trPr>
        <w:tc>
          <w:tcPr>
            <w:tcW w:w="1418" w:type="pct"/>
            <w:vMerge/>
            <w:vAlign w:val="center"/>
            <w:hideMark/>
          </w:tcPr>
          <w:p w14:paraId="62923059" w14:textId="77777777" w:rsidR="00CB1FC2" w:rsidRPr="00CB1FC2" w:rsidRDefault="00CB1FC2" w:rsidP="00C72B13">
            <w:pPr>
              <w:pStyle w:val="Tabletext0"/>
              <w:rPr>
                <w:lang w:eastAsia="en-AU"/>
              </w:rPr>
            </w:pPr>
          </w:p>
        </w:tc>
        <w:tc>
          <w:tcPr>
            <w:tcW w:w="1772" w:type="pct"/>
            <w:vMerge/>
            <w:vAlign w:val="center"/>
            <w:hideMark/>
          </w:tcPr>
          <w:p w14:paraId="1D55B800"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C80A087" w14:textId="77777777" w:rsidR="00CB1FC2" w:rsidRPr="00CB1FC2" w:rsidRDefault="00CB1FC2" w:rsidP="00C72B13">
            <w:pPr>
              <w:pStyle w:val="Tabletext0"/>
            </w:pPr>
            <w:r w:rsidRPr="00CB1FC2">
              <w:rPr>
                <w:lang w:eastAsia="ja-JP"/>
              </w:rPr>
              <w:t>Colour, foam, slick</w:t>
            </w:r>
          </w:p>
        </w:tc>
      </w:tr>
      <w:tr w:rsidR="00CB1FC2" w:rsidRPr="00CB1FC2" w14:paraId="378BB7B3" w14:textId="77777777" w:rsidTr="00ED467A">
        <w:trPr>
          <w:trHeight w:val="238"/>
          <w:jc w:val="center"/>
        </w:trPr>
        <w:tc>
          <w:tcPr>
            <w:tcW w:w="1418" w:type="pct"/>
            <w:vMerge/>
            <w:vAlign w:val="center"/>
            <w:hideMark/>
          </w:tcPr>
          <w:p w14:paraId="7B0B5D03" w14:textId="77777777" w:rsidR="00CB1FC2" w:rsidRPr="00CB1FC2" w:rsidRDefault="00CB1FC2" w:rsidP="00C72B13">
            <w:pPr>
              <w:pStyle w:val="Tabletext0"/>
              <w:rPr>
                <w:lang w:eastAsia="en-AU"/>
              </w:rPr>
            </w:pPr>
          </w:p>
        </w:tc>
        <w:tc>
          <w:tcPr>
            <w:tcW w:w="1772" w:type="pct"/>
            <w:vMerge/>
            <w:vAlign w:val="center"/>
            <w:hideMark/>
          </w:tcPr>
          <w:p w14:paraId="7DFC2DE7"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4E79F3D3" w14:textId="77777777" w:rsidR="00CB1FC2" w:rsidRPr="00CB1FC2" w:rsidRDefault="00CB1FC2" w:rsidP="00C72B13">
            <w:pPr>
              <w:pStyle w:val="Tabletext0"/>
            </w:pPr>
            <w:r w:rsidRPr="00CB1FC2">
              <w:rPr>
                <w:lang w:eastAsia="ja-JP"/>
              </w:rPr>
              <w:t>Electrical conductivity</w:t>
            </w:r>
          </w:p>
        </w:tc>
      </w:tr>
      <w:tr w:rsidR="00CB1FC2" w:rsidRPr="00CB1FC2" w14:paraId="00DFD832" w14:textId="77777777" w:rsidTr="00ED467A">
        <w:trPr>
          <w:trHeight w:val="238"/>
          <w:jc w:val="center"/>
        </w:trPr>
        <w:tc>
          <w:tcPr>
            <w:tcW w:w="1418" w:type="pct"/>
            <w:vMerge/>
            <w:vAlign w:val="center"/>
            <w:hideMark/>
          </w:tcPr>
          <w:p w14:paraId="061323E6" w14:textId="77777777" w:rsidR="00CB1FC2" w:rsidRPr="00CB1FC2" w:rsidRDefault="00CB1FC2" w:rsidP="00C72B13">
            <w:pPr>
              <w:pStyle w:val="Tabletext0"/>
              <w:rPr>
                <w:lang w:eastAsia="en-AU"/>
              </w:rPr>
            </w:pPr>
          </w:p>
        </w:tc>
        <w:tc>
          <w:tcPr>
            <w:tcW w:w="1772" w:type="pct"/>
            <w:vMerge/>
            <w:vAlign w:val="center"/>
            <w:hideMark/>
          </w:tcPr>
          <w:p w14:paraId="2754E82D"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F5BD3F8" w14:textId="77777777" w:rsidR="00CB1FC2" w:rsidRPr="00CB1FC2" w:rsidRDefault="00CB1FC2" w:rsidP="00C72B13">
            <w:pPr>
              <w:pStyle w:val="Tabletext0"/>
            </w:pPr>
            <w:r w:rsidRPr="00CB1FC2">
              <w:rPr>
                <w:lang w:eastAsia="ja-JP"/>
              </w:rPr>
              <w:t>pH</w:t>
            </w:r>
          </w:p>
        </w:tc>
      </w:tr>
      <w:tr w:rsidR="00CB1FC2" w:rsidRPr="00CB1FC2" w14:paraId="3A96B40B" w14:textId="77777777" w:rsidTr="00ED467A">
        <w:trPr>
          <w:trHeight w:val="238"/>
          <w:jc w:val="center"/>
        </w:trPr>
        <w:tc>
          <w:tcPr>
            <w:tcW w:w="1418" w:type="pct"/>
            <w:vMerge/>
            <w:vAlign w:val="center"/>
            <w:hideMark/>
          </w:tcPr>
          <w:p w14:paraId="26759676" w14:textId="77777777" w:rsidR="00CB1FC2" w:rsidRPr="00CB1FC2" w:rsidRDefault="00CB1FC2" w:rsidP="00C72B13">
            <w:pPr>
              <w:pStyle w:val="Tabletext0"/>
              <w:rPr>
                <w:lang w:eastAsia="en-AU"/>
              </w:rPr>
            </w:pPr>
          </w:p>
        </w:tc>
        <w:tc>
          <w:tcPr>
            <w:tcW w:w="1772" w:type="pct"/>
            <w:vMerge/>
            <w:vAlign w:val="center"/>
            <w:hideMark/>
          </w:tcPr>
          <w:p w14:paraId="0819EB5D"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6566FA21" w14:textId="77777777" w:rsidR="00CB1FC2" w:rsidRPr="00CB1FC2" w:rsidRDefault="00CB1FC2" w:rsidP="00C72B13">
            <w:pPr>
              <w:pStyle w:val="Tabletext0"/>
            </w:pPr>
            <w:r w:rsidRPr="00CB1FC2">
              <w:rPr>
                <w:lang w:eastAsia="ja-JP"/>
              </w:rPr>
              <w:t>Nutrients (nitrogen, phosphorus)</w:t>
            </w:r>
          </w:p>
        </w:tc>
      </w:tr>
      <w:tr w:rsidR="00CB1FC2" w:rsidRPr="00CB1FC2" w14:paraId="7EEEBD94" w14:textId="77777777" w:rsidTr="00ED467A">
        <w:trPr>
          <w:trHeight w:val="238"/>
          <w:jc w:val="center"/>
        </w:trPr>
        <w:tc>
          <w:tcPr>
            <w:tcW w:w="1418" w:type="pct"/>
            <w:vMerge/>
            <w:vAlign w:val="center"/>
            <w:hideMark/>
          </w:tcPr>
          <w:p w14:paraId="4285E94E" w14:textId="77777777" w:rsidR="00CB1FC2" w:rsidRPr="00CB1FC2" w:rsidRDefault="00CB1FC2" w:rsidP="00C72B13">
            <w:pPr>
              <w:pStyle w:val="Tabletext0"/>
              <w:rPr>
                <w:lang w:eastAsia="en-AU"/>
              </w:rPr>
            </w:pPr>
          </w:p>
        </w:tc>
        <w:tc>
          <w:tcPr>
            <w:tcW w:w="1772" w:type="pct"/>
            <w:vMerge/>
            <w:vAlign w:val="center"/>
            <w:hideMark/>
          </w:tcPr>
          <w:p w14:paraId="265430FA"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06E79FEB" w14:textId="77777777" w:rsidR="00CB1FC2" w:rsidRPr="00CB1FC2" w:rsidRDefault="00CB1FC2" w:rsidP="00C72B13">
            <w:pPr>
              <w:pStyle w:val="Tabletext0"/>
            </w:pPr>
            <w:r w:rsidRPr="00CB1FC2">
              <w:rPr>
                <w:lang w:eastAsia="ja-JP"/>
              </w:rPr>
              <w:t>Ammonia</w:t>
            </w:r>
          </w:p>
        </w:tc>
      </w:tr>
      <w:tr w:rsidR="00CB1FC2" w:rsidRPr="00CB1FC2" w14:paraId="38B33759" w14:textId="77777777" w:rsidTr="00ED467A">
        <w:trPr>
          <w:trHeight w:val="238"/>
          <w:jc w:val="center"/>
        </w:trPr>
        <w:tc>
          <w:tcPr>
            <w:tcW w:w="1418" w:type="pct"/>
            <w:vMerge/>
            <w:vAlign w:val="center"/>
            <w:hideMark/>
          </w:tcPr>
          <w:p w14:paraId="27EBD459" w14:textId="77777777" w:rsidR="00CB1FC2" w:rsidRPr="00CB1FC2" w:rsidRDefault="00CB1FC2" w:rsidP="00C72B13">
            <w:pPr>
              <w:pStyle w:val="Tabletext0"/>
              <w:rPr>
                <w:lang w:eastAsia="en-AU"/>
              </w:rPr>
            </w:pPr>
          </w:p>
        </w:tc>
        <w:tc>
          <w:tcPr>
            <w:tcW w:w="1772" w:type="pct"/>
            <w:vMerge/>
            <w:vAlign w:val="center"/>
            <w:hideMark/>
          </w:tcPr>
          <w:p w14:paraId="1D3E1E4B"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31CF36B" w14:textId="77777777" w:rsidR="00CB1FC2" w:rsidRPr="00CB1FC2" w:rsidRDefault="00CB1FC2" w:rsidP="00C72B13">
            <w:pPr>
              <w:pStyle w:val="Tabletext0"/>
            </w:pPr>
            <w:r w:rsidRPr="00CB1FC2">
              <w:rPr>
                <w:lang w:eastAsia="ja-JP"/>
              </w:rPr>
              <w:t>Other toxicants (NO</w:t>
            </w:r>
            <w:r w:rsidRPr="00CB1FC2">
              <w:rPr>
                <w:vertAlign w:val="subscript"/>
                <w:lang w:eastAsia="ja-JP"/>
              </w:rPr>
              <w:t>2</w:t>
            </w:r>
            <w:r w:rsidRPr="00CB1FC2">
              <w:rPr>
                <w:lang w:eastAsia="ja-JP"/>
              </w:rPr>
              <w:t>, NO</w:t>
            </w:r>
            <w:r w:rsidRPr="00CB1FC2">
              <w:rPr>
                <w:vertAlign w:val="subscript"/>
                <w:lang w:eastAsia="ja-JP"/>
              </w:rPr>
              <w:t>3</w:t>
            </w:r>
            <w:r w:rsidRPr="00CB1FC2">
              <w:rPr>
                <w:lang w:eastAsia="ja-JP"/>
              </w:rPr>
              <w:t>, metals)</w:t>
            </w:r>
          </w:p>
        </w:tc>
      </w:tr>
      <w:tr w:rsidR="00CB1FC2" w:rsidRPr="00CB1FC2" w14:paraId="5BC703A4" w14:textId="77777777" w:rsidTr="00ED467A">
        <w:trPr>
          <w:trHeight w:val="238"/>
          <w:jc w:val="center"/>
        </w:trPr>
        <w:tc>
          <w:tcPr>
            <w:tcW w:w="1418" w:type="pct"/>
            <w:vMerge/>
            <w:vAlign w:val="center"/>
            <w:hideMark/>
          </w:tcPr>
          <w:p w14:paraId="4E5F2553" w14:textId="77777777" w:rsidR="00CB1FC2" w:rsidRPr="00CB1FC2" w:rsidRDefault="00CB1FC2" w:rsidP="00C72B13">
            <w:pPr>
              <w:pStyle w:val="Tabletext0"/>
              <w:rPr>
                <w:lang w:eastAsia="en-AU"/>
              </w:rPr>
            </w:pPr>
          </w:p>
        </w:tc>
        <w:tc>
          <w:tcPr>
            <w:tcW w:w="1772" w:type="pct"/>
            <w:vMerge/>
            <w:vAlign w:val="center"/>
            <w:hideMark/>
          </w:tcPr>
          <w:p w14:paraId="3327D2BF"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19CCAAF4" w14:textId="77777777" w:rsidR="00CB1FC2" w:rsidRPr="00CB1FC2" w:rsidRDefault="00CB1FC2" w:rsidP="00C72B13">
            <w:pPr>
              <w:pStyle w:val="Tabletext0"/>
            </w:pPr>
            <w:r w:rsidRPr="00CB1FC2">
              <w:rPr>
                <w:lang w:eastAsia="ja-JP"/>
              </w:rPr>
              <w:t>Organic matter</w:t>
            </w:r>
          </w:p>
        </w:tc>
      </w:tr>
      <w:tr w:rsidR="00CB1FC2" w:rsidRPr="00CB1FC2" w14:paraId="6E5006DD" w14:textId="77777777" w:rsidTr="00ED467A">
        <w:trPr>
          <w:trHeight w:val="238"/>
          <w:jc w:val="center"/>
        </w:trPr>
        <w:tc>
          <w:tcPr>
            <w:tcW w:w="1418" w:type="pct"/>
            <w:shd w:val="clear" w:color="auto" w:fill="FFFFFF" w:themeFill="background1"/>
            <w:hideMark/>
          </w:tcPr>
          <w:p w14:paraId="7CE3A2D6" w14:textId="77777777" w:rsidR="00CB1FC2" w:rsidRPr="00CB1FC2" w:rsidRDefault="00CB1FC2" w:rsidP="00C72B13">
            <w:pPr>
              <w:pStyle w:val="Tabletext0"/>
              <w:rPr>
                <w:lang w:eastAsia="ja-JP"/>
              </w:rPr>
            </w:pPr>
            <w:r w:rsidRPr="00CB1FC2">
              <w:rPr>
                <w:lang w:eastAsia="ja-JP"/>
              </w:rPr>
              <w:t xml:space="preserve">Water-based recreation </w:t>
            </w:r>
          </w:p>
          <w:p w14:paraId="43EADA09" w14:textId="77777777" w:rsidR="00CB1FC2" w:rsidRPr="00CB1FC2" w:rsidRDefault="3C7BBBB5" w:rsidP="00C72B13">
            <w:pPr>
              <w:pStyle w:val="Tabletext0"/>
            </w:pPr>
            <w:r w:rsidRPr="10077A7C">
              <w:rPr>
                <w:lang w:eastAsia="ja-JP"/>
              </w:rPr>
              <w:t>(</w:t>
            </w:r>
            <w:bookmarkStart w:id="147" w:name="_Int_WopMnhQy"/>
            <w:r w:rsidRPr="10077A7C">
              <w:rPr>
                <w:lang w:eastAsia="ja-JP"/>
              </w:rPr>
              <w:t>aesthetic</w:t>
            </w:r>
            <w:bookmarkEnd w:id="147"/>
            <w:r w:rsidRPr="10077A7C">
              <w:rPr>
                <w:lang w:eastAsia="ja-JP"/>
              </w:rPr>
              <w:t xml:space="preserve"> enjoyment)</w:t>
            </w:r>
          </w:p>
        </w:tc>
        <w:tc>
          <w:tcPr>
            <w:tcW w:w="1772" w:type="pct"/>
            <w:shd w:val="clear" w:color="auto" w:fill="FFFFFF" w:themeFill="background1"/>
            <w:hideMark/>
          </w:tcPr>
          <w:p w14:paraId="23BB737F" w14:textId="77777777" w:rsidR="00CB1FC2" w:rsidRPr="00CB1FC2" w:rsidRDefault="00CB1FC2" w:rsidP="00C72B13">
            <w:pPr>
              <w:pStyle w:val="Tabletext0"/>
            </w:pPr>
            <w:r w:rsidRPr="00CB1FC2">
              <w:rPr>
                <w:lang w:eastAsia="ja-JP"/>
              </w:rPr>
              <w:t>Appearance of plant and algae communities</w:t>
            </w:r>
          </w:p>
        </w:tc>
        <w:tc>
          <w:tcPr>
            <w:tcW w:w="1811" w:type="pct"/>
            <w:shd w:val="clear" w:color="auto" w:fill="FFFFFF" w:themeFill="background1"/>
            <w:noWrap/>
            <w:hideMark/>
          </w:tcPr>
          <w:p w14:paraId="694A9C03" w14:textId="77777777" w:rsidR="00CB1FC2" w:rsidRPr="00CB1FC2" w:rsidRDefault="00CB1FC2" w:rsidP="00C72B13">
            <w:pPr>
              <w:pStyle w:val="Tabletext0"/>
            </w:pPr>
            <w:r w:rsidRPr="00CB1FC2">
              <w:rPr>
                <w:lang w:eastAsia="ja-JP"/>
              </w:rPr>
              <w:t>Nutrients (nitrogen, phosphorus)</w:t>
            </w:r>
          </w:p>
        </w:tc>
      </w:tr>
      <w:tr w:rsidR="00CB1FC2" w:rsidRPr="00CB1FC2" w14:paraId="1262C5CA" w14:textId="77777777" w:rsidTr="00ED467A">
        <w:trPr>
          <w:trHeight w:val="238"/>
          <w:jc w:val="center"/>
        </w:trPr>
        <w:tc>
          <w:tcPr>
            <w:tcW w:w="1418" w:type="pct"/>
            <w:shd w:val="clear" w:color="auto" w:fill="FFFFFF" w:themeFill="background1"/>
          </w:tcPr>
          <w:p w14:paraId="0F243C15" w14:textId="77777777" w:rsidR="00CB1FC2" w:rsidRPr="00CB1FC2" w:rsidRDefault="3C7BBBB5" w:rsidP="00C72B13">
            <w:pPr>
              <w:pStyle w:val="Tabletext0"/>
              <w:rPr>
                <w:lang w:eastAsia="ja-JP"/>
              </w:rPr>
            </w:pPr>
            <w:r w:rsidRPr="10077A7C">
              <w:t xml:space="preserve">Water-based recreation (secondary </w:t>
            </w:r>
            <w:bookmarkStart w:id="148" w:name="_Int_NUVRx5rr"/>
            <w:r w:rsidRPr="10077A7C">
              <w:t>contact)*</w:t>
            </w:r>
            <w:bookmarkEnd w:id="148"/>
          </w:p>
        </w:tc>
        <w:tc>
          <w:tcPr>
            <w:tcW w:w="1772" w:type="pct"/>
            <w:shd w:val="clear" w:color="auto" w:fill="FFFFFF" w:themeFill="background1"/>
          </w:tcPr>
          <w:p w14:paraId="7C21A567" w14:textId="77777777" w:rsidR="00CB1FC2" w:rsidRPr="00CB1FC2" w:rsidRDefault="00CB1FC2" w:rsidP="00C72B13">
            <w:pPr>
              <w:pStyle w:val="Tabletext0"/>
              <w:rPr>
                <w:lang w:eastAsia="ja-JP"/>
              </w:rPr>
            </w:pPr>
            <w:r w:rsidRPr="00CB1FC2">
              <w:t>Bush walking</w:t>
            </w:r>
          </w:p>
        </w:tc>
        <w:tc>
          <w:tcPr>
            <w:tcW w:w="1811" w:type="pct"/>
            <w:shd w:val="clear" w:color="auto" w:fill="FFFFFF" w:themeFill="background1"/>
            <w:noWrap/>
          </w:tcPr>
          <w:p w14:paraId="31D34DF7" w14:textId="77777777" w:rsidR="00CB1FC2" w:rsidRPr="00CB1FC2" w:rsidRDefault="00CB1FC2" w:rsidP="00C72B13">
            <w:pPr>
              <w:pStyle w:val="Tabletext0"/>
              <w:rPr>
                <w:lang w:eastAsia="ja-JP"/>
              </w:rPr>
            </w:pPr>
            <w:r w:rsidRPr="00CB1FC2">
              <w:t>Pathogens</w:t>
            </w:r>
          </w:p>
        </w:tc>
      </w:tr>
      <w:tr w:rsidR="00CB1FC2" w:rsidRPr="00CB1FC2" w14:paraId="65E0A71B" w14:textId="77777777" w:rsidTr="00ED467A">
        <w:trPr>
          <w:trHeight w:val="238"/>
          <w:jc w:val="center"/>
        </w:trPr>
        <w:tc>
          <w:tcPr>
            <w:tcW w:w="1418" w:type="pct"/>
            <w:vMerge w:val="restart"/>
            <w:shd w:val="clear" w:color="auto" w:fill="FFFFFF" w:themeFill="background1"/>
            <w:noWrap/>
            <w:hideMark/>
          </w:tcPr>
          <w:p w14:paraId="724A8DAD" w14:textId="77777777" w:rsidR="00CB1FC2" w:rsidRPr="00CB1FC2" w:rsidRDefault="00CB1FC2" w:rsidP="00C72B13">
            <w:pPr>
              <w:pStyle w:val="Tabletext0"/>
            </w:pPr>
            <w:r w:rsidRPr="00CB1FC2">
              <w:t>Agriculture and Irrigation*</w:t>
            </w:r>
          </w:p>
        </w:tc>
        <w:tc>
          <w:tcPr>
            <w:tcW w:w="1772" w:type="pct"/>
            <w:vMerge w:val="restart"/>
            <w:shd w:val="clear" w:color="auto" w:fill="FFFFFF" w:themeFill="background1"/>
            <w:noWrap/>
            <w:hideMark/>
          </w:tcPr>
          <w:p w14:paraId="312A2800" w14:textId="77777777" w:rsidR="00CB1FC2" w:rsidRPr="00CB1FC2" w:rsidRDefault="00CB1FC2" w:rsidP="00C72B13">
            <w:pPr>
              <w:pStyle w:val="Tabletext0"/>
            </w:pPr>
            <w:r w:rsidRPr="00CB1FC2">
              <w:t>Stock and domestic water supply</w:t>
            </w:r>
          </w:p>
        </w:tc>
        <w:tc>
          <w:tcPr>
            <w:tcW w:w="1811" w:type="pct"/>
            <w:shd w:val="clear" w:color="auto" w:fill="FFFFFF" w:themeFill="background1"/>
            <w:noWrap/>
            <w:hideMark/>
          </w:tcPr>
          <w:p w14:paraId="394D4F1C" w14:textId="77777777" w:rsidR="00CB1FC2" w:rsidRPr="00CB1FC2" w:rsidRDefault="00CB1FC2" w:rsidP="00C72B13">
            <w:pPr>
              <w:pStyle w:val="Tabletext0"/>
            </w:pPr>
            <w:r w:rsidRPr="00CB1FC2">
              <w:t>Electrical conductivity</w:t>
            </w:r>
          </w:p>
        </w:tc>
      </w:tr>
      <w:tr w:rsidR="00CB1FC2" w:rsidRPr="00CB1FC2" w14:paraId="2123D62E" w14:textId="77777777" w:rsidTr="00ED467A">
        <w:trPr>
          <w:trHeight w:val="238"/>
          <w:jc w:val="center"/>
        </w:trPr>
        <w:tc>
          <w:tcPr>
            <w:tcW w:w="1418" w:type="pct"/>
            <w:vMerge/>
            <w:tcBorders>
              <w:bottom w:val="single" w:sz="4" w:space="0" w:color="auto"/>
            </w:tcBorders>
            <w:vAlign w:val="center"/>
            <w:hideMark/>
          </w:tcPr>
          <w:p w14:paraId="7677B103" w14:textId="77777777" w:rsidR="00CB1FC2" w:rsidRPr="00CB1FC2" w:rsidRDefault="00CB1FC2" w:rsidP="00C72B13">
            <w:pPr>
              <w:pStyle w:val="Tabletext0"/>
              <w:rPr>
                <w:lang w:eastAsia="en-AU"/>
              </w:rPr>
            </w:pPr>
          </w:p>
        </w:tc>
        <w:tc>
          <w:tcPr>
            <w:tcW w:w="1772" w:type="pct"/>
            <w:vMerge/>
            <w:tcBorders>
              <w:bottom w:val="single" w:sz="4" w:space="0" w:color="auto"/>
            </w:tcBorders>
            <w:vAlign w:val="center"/>
            <w:hideMark/>
          </w:tcPr>
          <w:p w14:paraId="68CECA1B" w14:textId="77777777" w:rsidR="00CB1FC2" w:rsidRPr="00CB1FC2" w:rsidRDefault="00CB1FC2" w:rsidP="00C72B13">
            <w:pPr>
              <w:pStyle w:val="Tabletext0"/>
              <w:rPr>
                <w:lang w:eastAsia="en-AU"/>
              </w:rPr>
            </w:pPr>
          </w:p>
        </w:tc>
        <w:tc>
          <w:tcPr>
            <w:tcW w:w="1811" w:type="pct"/>
            <w:tcBorders>
              <w:bottom w:val="single" w:sz="4" w:space="0" w:color="auto"/>
            </w:tcBorders>
            <w:shd w:val="clear" w:color="auto" w:fill="FFFFFF" w:themeFill="background1"/>
            <w:noWrap/>
            <w:hideMark/>
          </w:tcPr>
          <w:p w14:paraId="602C5E20" w14:textId="77777777" w:rsidR="00CB1FC2" w:rsidRPr="00CB1FC2" w:rsidRDefault="00CB1FC2" w:rsidP="00C72B13">
            <w:pPr>
              <w:pStyle w:val="Tabletext0"/>
            </w:pPr>
            <w:r w:rsidRPr="00CB1FC2">
              <w:rPr>
                <w:lang w:eastAsia="ja-JP"/>
              </w:rPr>
              <w:t>Other toxicants (NO</w:t>
            </w:r>
            <w:r w:rsidRPr="00CB1FC2">
              <w:rPr>
                <w:vertAlign w:val="subscript"/>
                <w:lang w:eastAsia="ja-JP"/>
              </w:rPr>
              <w:t>2</w:t>
            </w:r>
            <w:r w:rsidRPr="00CB1FC2">
              <w:rPr>
                <w:lang w:eastAsia="ja-JP"/>
              </w:rPr>
              <w:t>, NO</w:t>
            </w:r>
            <w:r w:rsidRPr="00CB1FC2">
              <w:rPr>
                <w:vertAlign w:val="subscript"/>
                <w:lang w:eastAsia="ja-JP"/>
              </w:rPr>
              <w:t>3</w:t>
            </w:r>
            <w:r w:rsidRPr="00CB1FC2">
              <w:rPr>
                <w:lang w:eastAsia="ja-JP"/>
              </w:rPr>
              <w:t>)</w:t>
            </w:r>
          </w:p>
        </w:tc>
      </w:tr>
      <w:tr w:rsidR="00CB1FC2" w:rsidRPr="00CB1FC2" w14:paraId="4A7EB743" w14:textId="77777777" w:rsidTr="00556493">
        <w:trPr>
          <w:trHeight w:val="238"/>
          <w:jc w:val="center"/>
        </w:trPr>
        <w:tc>
          <w:tcPr>
            <w:tcW w:w="5000" w:type="pct"/>
            <w:gridSpan w:val="3"/>
            <w:tcBorders>
              <w:left w:val="nil"/>
              <w:bottom w:val="nil"/>
              <w:right w:val="nil"/>
            </w:tcBorders>
            <w:vAlign w:val="center"/>
          </w:tcPr>
          <w:p w14:paraId="3A8CE6CA" w14:textId="1A67EE6D" w:rsidR="00CB1FC2" w:rsidRPr="00CB1FC2" w:rsidRDefault="00CB1FC2" w:rsidP="00F21050">
            <w:pPr>
              <w:pStyle w:val="Tablenotes"/>
              <w:rPr>
                <w:lang w:eastAsia="ja-JP"/>
              </w:rPr>
            </w:pPr>
            <w:r w:rsidRPr="00C01F65">
              <w:t>*Would require an independent human health risk assessment (</w:t>
            </w:r>
            <w:r w:rsidRPr="00563114">
              <w:t>see</w:t>
            </w:r>
            <w:r w:rsidR="00473D3B">
              <w:t xml:space="preserve"> </w:t>
            </w:r>
            <w:r w:rsidR="00F21050">
              <w:t>Appendix C).</w:t>
            </w:r>
          </w:p>
        </w:tc>
      </w:tr>
    </w:tbl>
    <w:p w14:paraId="1E0982B9" w14:textId="58F30073" w:rsidR="00101BFB" w:rsidRDefault="00101BFB">
      <w:pPr>
        <w:spacing w:after="0"/>
      </w:pPr>
    </w:p>
    <w:p w14:paraId="5AF2D95C" w14:textId="0AA0E706" w:rsidR="00D32365" w:rsidRDefault="00D32365">
      <w:pPr>
        <w:spacing w:before="0" w:after="0"/>
      </w:pPr>
      <w:r>
        <w:br w:type="page"/>
      </w:r>
    </w:p>
    <w:tbl>
      <w:tblPr>
        <w:tblW w:w="5000" w:type="pct"/>
        <w:tblCellMar>
          <w:left w:w="0" w:type="dxa"/>
          <w:right w:w="0" w:type="dxa"/>
        </w:tblCellMar>
        <w:tblLook w:val="0000" w:firstRow="0" w:lastRow="0" w:firstColumn="0" w:lastColumn="0" w:noHBand="0" w:noVBand="0"/>
      </w:tblPr>
      <w:tblGrid>
        <w:gridCol w:w="4227"/>
        <w:gridCol w:w="5949"/>
      </w:tblGrid>
      <w:tr w:rsidR="007E71AA" w:rsidRPr="007E71AA" w14:paraId="507B4FFD" w14:textId="77777777" w:rsidTr="10077A7C">
        <w:trPr>
          <w:trHeight w:val="255"/>
        </w:trPr>
        <w:tc>
          <w:tcPr>
            <w:tcW w:w="5000" w:type="pct"/>
            <w:gridSpan w:val="2"/>
            <w:tcBorders>
              <w:bottom w:val="single" w:sz="4" w:space="0" w:color="auto"/>
            </w:tcBorders>
            <w:tcMar>
              <w:top w:w="18" w:type="dxa"/>
              <w:left w:w="18" w:type="dxa"/>
              <w:bottom w:w="0" w:type="dxa"/>
              <w:right w:w="18" w:type="dxa"/>
            </w:tcMar>
            <w:vAlign w:val="center"/>
          </w:tcPr>
          <w:p w14:paraId="063593FF" w14:textId="59D963BB" w:rsidR="007E71AA" w:rsidRPr="00B4207D" w:rsidRDefault="00B4207D" w:rsidP="00A4665C">
            <w:pPr>
              <w:pStyle w:val="Caption"/>
              <w:ind w:left="-30"/>
              <w:rPr>
                <w:rFonts w:eastAsia="Arial Unicode MS"/>
              </w:rPr>
            </w:pPr>
            <w:bookmarkStart w:id="149" w:name="_Ref88224276"/>
            <w:bookmarkStart w:id="150" w:name="_Ref57142197"/>
            <w:r w:rsidRPr="00B4207D">
              <w:lastRenderedPageBreak/>
              <w:t>Table B</w:t>
            </w:r>
            <w:fldSimple w:instr=" SEQ Table_B \* ARABIC ">
              <w:r w:rsidR="00FD64B0">
                <w:rPr>
                  <w:noProof/>
                </w:rPr>
                <w:t>12</w:t>
              </w:r>
            </w:fldSimple>
            <w:bookmarkEnd w:id="149"/>
            <w:r>
              <w:t xml:space="preserve"> </w:t>
            </w:r>
            <w:r w:rsidR="00101BFB" w:rsidRPr="00841850">
              <w:t>–</w:t>
            </w:r>
            <w:r w:rsidRPr="00B4207D">
              <w:t xml:space="preserve"> Potential </w:t>
            </w:r>
            <w:r w:rsidR="007372BA">
              <w:t>hazard</w:t>
            </w:r>
            <w:r w:rsidRPr="00B4207D">
              <w:t>s and issues from the Beechworth discharge to be addressed by the risk assessment</w:t>
            </w:r>
            <w:bookmarkEnd w:id="150"/>
          </w:p>
        </w:tc>
      </w:tr>
      <w:tr w:rsidR="007E71AA" w:rsidRPr="007E71AA" w14:paraId="7F6662B0" w14:textId="77777777" w:rsidTr="10077A7C">
        <w:trPr>
          <w:trHeight w:val="255"/>
        </w:trPr>
        <w:tc>
          <w:tcPr>
            <w:tcW w:w="2077" w:type="pct"/>
            <w:tcBorders>
              <w:top w:val="single" w:sz="4" w:space="0" w:color="auto"/>
              <w:left w:val="single" w:sz="4" w:space="0" w:color="auto"/>
              <w:bottom w:val="single" w:sz="4" w:space="0" w:color="auto"/>
              <w:right w:val="single" w:sz="4" w:space="0" w:color="auto"/>
            </w:tcBorders>
            <w:shd w:val="clear" w:color="auto" w:fill="003F72"/>
            <w:tcMar>
              <w:top w:w="18" w:type="dxa"/>
              <w:left w:w="18" w:type="dxa"/>
              <w:bottom w:w="0" w:type="dxa"/>
              <w:right w:w="18" w:type="dxa"/>
            </w:tcMar>
            <w:vAlign w:val="center"/>
          </w:tcPr>
          <w:p w14:paraId="10196F2A" w14:textId="77777777" w:rsidR="007E71AA" w:rsidRPr="007E71AA" w:rsidRDefault="007E71AA" w:rsidP="00C72B13">
            <w:pPr>
              <w:pStyle w:val="Tabletext0"/>
              <w:spacing w:before="0"/>
              <w:rPr>
                <w:rFonts w:eastAsia="Arial Unicode MS"/>
              </w:rPr>
            </w:pPr>
            <w:r w:rsidRPr="007E71AA">
              <w:rPr>
                <w:lang w:val="en-US"/>
              </w:rPr>
              <w:t>Environmental issue</w:t>
            </w:r>
          </w:p>
        </w:tc>
        <w:tc>
          <w:tcPr>
            <w:tcW w:w="2923" w:type="pct"/>
            <w:tcBorders>
              <w:top w:val="single" w:sz="4" w:space="0" w:color="auto"/>
              <w:left w:val="nil"/>
              <w:bottom w:val="single" w:sz="4" w:space="0" w:color="auto"/>
              <w:right w:val="single" w:sz="4" w:space="0" w:color="auto"/>
            </w:tcBorders>
            <w:shd w:val="clear" w:color="auto" w:fill="003F72"/>
            <w:tcMar>
              <w:top w:w="18" w:type="dxa"/>
              <w:left w:w="18" w:type="dxa"/>
              <w:bottom w:w="0" w:type="dxa"/>
              <w:right w:w="18" w:type="dxa"/>
            </w:tcMar>
            <w:vAlign w:val="center"/>
          </w:tcPr>
          <w:p w14:paraId="3ACA5688" w14:textId="77777777" w:rsidR="007E71AA" w:rsidRPr="007E71AA" w:rsidRDefault="007E71AA" w:rsidP="00C72B13">
            <w:pPr>
              <w:pStyle w:val="Tabletext0"/>
              <w:spacing w:before="0"/>
              <w:rPr>
                <w:rFonts w:eastAsia="Arial Unicode MS"/>
              </w:rPr>
            </w:pPr>
            <w:r w:rsidRPr="007E71AA">
              <w:rPr>
                <w:lang w:val="en-US"/>
              </w:rPr>
              <w:t>Environmental indicator and effect</w:t>
            </w:r>
          </w:p>
        </w:tc>
      </w:tr>
      <w:tr w:rsidR="007E71AA" w:rsidRPr="007E71AA" w14:paraId="0D03C154"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15E4FE7D" w14:textId="77777777" w:rsidR="007E71AA" w:rsidRPr="007E71AA" w:rsidRDefault="007E71AA" w:rsidP="00C72B13">
            <w:pPr>
              <w:pStyle w:val="Tabletext0"/>
              <w:spacing w:before="0"/>
              <w:rPr>
                <w:rFonts w:eastAsia="Arial Unicode MS"/>
              </w:rPr>
            </w:pPr>
            <w:r w:rsidRPr="007E71AA">
              <w:t>Physical</w:t>
            </w:r>
          </w:p>
        </w:tc>
      </w:tr>
      <w:tr w:rsidR="007E71AA" w:rsidRPr="007E71AA" w14:paraId="5B261DB1"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641C64AB" w14:textId="77777777" w:rsidR="007E71AA" w:rsidRPr="007E71AA" w:rsidRDefault="007E71AA" w:rsidP="00C72B13">
            <w:pPr>
              <w:pStyle w:val="Tabletext0"/>
              <w:spacing w:before="0"/>
              <w:rPr>
                <w:rFonts w:eastAsia="Arial Unicode MS"/>
              </w:rPr>
            </w:pPr>
            <w:r w:rsidRPr="007E71AA">
              <w:t>Smother habitat</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04ED3F5" w14:textId="77777777" w:rsidR="007E71AA" w:rsidRPr="007E71AA" w:rsidRDefault="007E71AA" w:rsidP="00C72B13">
            <w:pPr>
              <w:pStyle w:val="Tabletext0"/>
              <w:spacing w:before="0"/>
              <w:rPr>
                <w:rFonts w:eastAsia="Arial Unicode MS"/>
              </w:rPr>
            </w:pPr>
            <w:r w:rsidRPr="007E71AA">
              <w:t>Fine solids and sediment accumulate on bed and smother habitat</w:t>
            </w:r>
          </w:p>
        </w:tc>
      </w:tr>
      <w:tr w:rsidR="007E71AA" w:rsidRPr="007E71AA" w14:paraId="218BBC0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604DF846" w14:textId="77777777" w:rsidR="007E71AA" w:rsidRPr="007E71AA" w:rsidRDefault="007E71AA" w:rsidP="00C72B13">
            <w:pPr>
              <w:pStyle w:val="Tabletext0"/>
              <w:spacing w:before="0"/>
              <w:rPr>
                <w:rFonts w:eastAsia="Arial Unicode MS"/>
              </w:rPr>
            </w:pPr>
            <w:r w:rsidRPr="007E71AA">
              <w:t>Scour or remove habitat</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2A3A81A1" w14:textId="77777777" w:rsidR="007E71AA" w:rsidRPr="007E71AA" w:rsidRDefault="007E71AA" w:rsidP="00C72B13">
            <w:pPr>
              <w:pStyle w:val="Tabletext0"/>
              <w:spacing w:before="0"/>
              <w:rPr>
                <w:rFonts w:eastAsia="Arial Unicode MS"/>
              </w:rPr>
            </w:pPr>
            <w:r w:rsidRPr="007E71AA">
              <w:t>Scouring following dredging or very high discharge rate</w:t>
            </w:r>
          </w:p>
        </w:tc>
      </w:tr>
      <w:tr w:rsidR="007E71AA" w:rsidRPr="007E71AA" w14:paraId="77DC066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08BA3244" w14:textId="77777777" w:rsidR="007E71AA" w:rsidRPr="007E71AA" w:rsidRDefault="007E71AA" w:rsidP="00C72B13">
            <w:pPr>
              <w:pStyle w:val="Tabletext0"/>
              <w:spacing w:before="0"/>
              <w:rPr>
                <w:rFonts w:eastAsia="Arial Unicode MS"/>
              </w:rPr>
            </w:pPr>
            <w:r w:rsidRPr="007E71AA">
              <w:t>Light attenuation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A2711A0" w14:textId="77777777" w:rsidR="007E71AA" w:rsidRPr="007E71AA" w:rsidRDefault="007E71AA" w:rsidP="00C72B13">
            <w:pPr>
              <w:pStyle w:val="Tabletext0"/>
              <w:spacing w:before="0"/>
              <w:rPr>
                <w:rFonts w:eastAsia="Arial Unicode MS"/>
              </w:rPr>
            </w:pPr>
            <w:r w:rsidRPr="007E71AA">
              <w:t>Significant change in colour, particulates or turbidity</w:t>
            </w:r>
          </w:p>
        </w:tc>
      </w:tr>
      <w:tr w:rsidR="007E71AA" w:rsidRPr="007E71AA" w14:paraId="5E94F718"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EEFABF6" w14:textId="77777777" w:rsidR="007E71AA" w:rsidRPr="007E71AA" w:rsidRDefault="007E71AA" w:rsidP="00C72B13">
            <w:pPr>
              <w:pStyle w:val="Tabletext0"/>
              <w:spacing w:before="0"/>
              <w:rPr>
                <w:rFonts w:eastAsia="Arial Unicode MS"/>
              </w:rPr>
            </w:pPr>
            <w:r w:rsidRPr="007E71AA">
              <w:t>Flow patterns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5BA4DBE6" w14:textId="77777777" w:rsidR="007E71AA" w:rsidRPr="007E71AA" w:rsidRDefault="007E71AA" w:rsidP="00C72B13">
            <w:pPr>
              <w:pStyle w:val="Tabletext0"/>
              <w:spacing w:before="0"/>
              <w:rPr>
                <w:rFonts w:eastAsia="Arial Unicode MS"/>
              </w:rPr>
            </w:pPr>
            <w:r w:rsidRPr="007E71AA">
              <w:t>Changes in currents and flow patterns</w:t>
            </w:r>
          </w:p>
        </w:tc>
      </w:tr>
      <w:tr w:rsidR="007E71AA" w:rsidRPr="007E71AA" w14:paraId="14F67304"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13D84D2E" w14:textId="77777777" w:rsidR="007E71AA" w:rsidRPr="007E71AA" w:rsidRDefault="007E71AA" w:rsidP="00C72B13">
            <w:pPr>
              <w:pStyle w:val="Tabletext0"/>
              <w:spacing w:before="0"/>
              <w:rPr>
                <w:rFonts w:eastAsia="Arial Unicode MS"/>
              </w:rPr>
            </w:pPr>
            <w:r w:rsidRPr="007E71AA">
              <w:t>Colour, foam, slick</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C15A20B" w14:textId="77777777" w:rsidR="007E71AA" w:rsidRPr="007E71AA" w:rsidRDefault="007E71AA" w:rsidP="00C72B13">
            <w:pPr>
              <w:pStyle w:val="Tabletext0"/>
              <w:spacing w:before="0"/>
              <w:rPr>
                <w:rFonts w:eastAsia="Arial Unicode MS"/>
              </w:rPr>
            </w:pPr>
            <w:r w:rsidRPr="007E71AA">
              <w:t xml:space="preserve">Visible colour, odour, slick or litter arising from discharge </w:t>
            </w:r>
          </w:p>
        </w:tc>
      </w:tr>
      <w:tr w:rsidR="007E71AA" w:rsidRPr="007E71AA" w14:paraId="0AFDDAC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DA70D09" w14:textId="77777777" w:rsidR="007E71AA" w:rsidRPr="007E71AA" w:rsidRDefault="007E71AA" w:rsidP="00C72B13">
            <w:pPr>
              <w:pStyle w:val="Tabletext0"/>
              <w:spacing w:before="0"/>
              <w:rPr>
                <w:rFonts w:eastAsia="Arial Unicode MS"/>
              </w:rPr>
            </w:pPr>
            <w:r w:rsidRPr="007E71AA">
              <w:t xml:space="preserve">Odour </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1CABEF09" w14:textId="77777777" w:rsidR="007E71AA" w:rsidRPr="007E71AA" w:rsidRDefault="007E71AA" w:rsidP="00C72B13">
            <w:pPr>
              <w:pStyle w:val="Tabletext0"/>
              <w:spacing w:before="0"/>
              <w:rPr>
                <w:rFonts w:eastAsia="Arial Unicode MS"/>
              </w:rPr>
            </w:pPr>
            <w:r w:rsidRPr="007E71AA">
              <w:t>Odour apparent or reported</w:t>
            </w:r>
          </w:p>
        </w:tc>
      </w:tr>
      <w:tr w:rsidR="00DD7B99" w:rsidRPr="007E71AA" w14:paraId="68B024F2" w14:textId="77777777" w:rsidTr="00DD7B99">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21B2F00F" w14:textId="29BEC2CA" w:rsidR="00DD7B99" w:rsidRPr="007E71AA" w:rsidRDefault="00DD7B99" w:rsidP="00C72B13">
            <w:pPr>
              <w:pStyle w:val="Tabletext0"/>
              <w:spacing w:before="0"/>
              <w:rPr>
                <w:rFonts w:eastAsia="Arial Unicode MS"/>
              </w:rPr>
            </w:pPr>
            <w:r w:rsidRPr="007E71AA">
              <w:t>Ecosystem</w:t>
            </w:r>
          </w:p>
        </w:tc>
      </w:tr>
      <w:tr w:rsidR="007E71AA" w:rsidRPr="007E71AA" w14:paraId="3544E426"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8864C47" w14:textId="77777777" w:rsidR="007E71AA" w:rsidRPr="007E71AA" w:rsidRDefault="007E71AA" w:rsidP="00C72B13">
            <w:pPr>
              <w:pStyle w:val="Tabletext0"/>
              <w:spacing w:before="0"/>
            </w:pPr>
            <w:r w:rsidRPr="007E71AA">
              <w:t xml:space="preserve">Primary modification </w:t>
            </w:r>
          </w:p>
          <w:p w14:paraId="63291D00" w14:textId="77777777" w:rsidR="007E71AA" w:rsidRPr="007E71AA" w:rsidRDefault="2A811131" w:rsidP="00C72B13">
            <w:pPr>
              <w:pStyle w:val="Tabletext0"/>
              <w:spacing w:before="0"/>
              <w:rPr>
                <w:rFonts w:eastAsia="Arial Unicode MS"/>
              </w:rPr>
            </w:pPr>
            <w:r w:rsidRPr="10077A7C">
              <w:t>(</w:t>
            </w:r>
            <w:bookmarkStart w:id="151" w:name="_Int_7Q4hWvd3"/>
            <w:r w:rsidRPr="10077A7C">
              <w:t>dissolved</w:t>
            </w:r>
            <w:bookmarkEnd w:id="151"/>
            <w:r w:rsidRPr="10077A7C">
              <w:t xml:space="preserve"> oxygen, light, pH, salinity)</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B4A87B4" w14:textId="77777777" w:rsidR="007E71AA" w:rsidRPr="007E71AA" w:rsidRDefault="007E71AA" w:rsidP="00C72B13">
            <w:pPr>
              <w:pStyle w:val="Tabletext0"/>
              <w:spacing w:before="0"/>
              <w:rPr>
                <w:rFonts w:eastAsia="Arial Unicode MS"/>
              </w:rPr>
            </w:pPr>
            <w:r w:rsidRPr="007E71AA">
              <w:t xml:space="preserve">Change in species composition – modified ecological assemblage, with detectable changes in species composition and lacking sensitive species from reference sites </w:t>
            </w:r>
          </w:p>
        </w:tc>
      </w:tr>
      <w:tr w:rsidR="007E71AA" w:rsidRPr="007E71AA" w14:paraId="21516AC6"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2EF164E4" w14:textId="77777777" w:rsidR="007E71AA" w:rsidRPr="007E71AA" w:rsidRDefault="007E71AA" w:rsidP="00C72B13">
            <w:pPr>
              <w:pStyle w:val="Tabletext0"/>
              <w:spacing w:before="0"/>
              <w:rPr>
                <w:rFonts w:eastAsia="Arial Unicode MS"/>
              </w:rPr>
            </w:pPr>
            <w:r w:rsidRPr="007E71AA">
              <w:t>Primary enrichment (ammonia, nitrogen, phosphorus, micro-nutrients, organic carbon)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7DB8458F" w14:textId="77777777" w:rsidR="007E71AA" w:rsidRPr="007E71AA" w:rsidRDefault="007E71AA" w:rsidP="00C72B13">
            <w:pPr>
              <w:pStyle w:val="Tabletext0"/>
              <w:spacing w:before="0"/>
              <w:rPr>
                <w:rFonts w:eastAsia="Arial Unicode MS"/>
              </w:rPr>
            </w:pPr>
            <w:r w:rsidRPr="007E71AA">
              <w:t>Stimulatory effect of discharge – modified ecological assemblage dominated by filter and deposit feeders, grazers and increased green and blue-green algae</w:t>
            </w:r>
          </w:p>
        </w:tc>
      </w:tr>
      <w:tr w:rsidR="007E71AA" w:rsidRPr="007E71AA" w14:paraId="36CD4A60"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B79F017" w14:textId="77777777" w:rsidR="007E71AA" w:rsidRPr="007E71AA" w:rsidRDefault="007E71AA" w:rsidP="00C72B13">
            <w:pPr>
              <w:pStyle w:val="Tabletext0"/>
              <w:spacing w:before="0"/>
            </w:pPr>
            <w:r w:rsidRPr="007E71AA">
              <w:t>Secondary enrichment</w:t>
            </w:r>
          </w:p>
          <w:p w14:paraId="1FFC8B1C" w14:textId="77777777" w:rsidR="007E71AA" w:rsidRPr="007E71AA" w:rsidRDefault="2A811131" w:rsidP="00C72B13">
            <w:pPr>
              <w:pStyle w:val="Tabletext0"/>
              <w:spacing w:before="0"/>
              <w:rPr>
                <w:rFonts w:eastAsia="Arial Unicode MS"/>
              </w:rPr>
            </w:pPr>
            <w:r w:rsidRPr="10077A7C">
              <w:t>(</w:t>
            </w:r>
            <w:bookmarkStart w:id="152" w:name="_Int_4aHVUOsl"/>
            <w:r w:rsidRPr="10077A7C">
              <w:t>nitrogen</w:t>
            </w:r>
            <w:bookmarkEnd w:id="152"/>
            <w:r w:rsidRPr="10077A7C">
              <w:t>, phosphorus)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671621A" w14:textId="77777777" w:rsidR="007E71AA" w:rsidRPr="007E71AA" w:rsidRDefault="007E71AA" w:rsidP="00C72B13">
            <w:pPr>
              <w:pStyle w:val="Tabletext0"/>
              <w:spacing w:before="0"/>
              <w:rPr>
                <w:rFonts w:eastAsia="Arial Unicode MS"/>
              </w:rPr>
            </w:pPr>
            <w:r w:rsidRPr="007E71AA">
              <w:t>Stimulatory effect of discharge – modified ecological assemblage, with detectable changes in species composition and lacking sensitive species from reference sites</w:t>
            </w:r>
          </w:p>
        </w:tc>
      </w:tr>
      <w:tr w:rsidR="007E71AA" w:rsidRPr="007E71AA" w14:paraId="7B84E79A"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7CAB10ED" w14:textId="77777777" w:rsidR="007E71AA" w:rsidRPr="007E71AA" w:rsidRDefault="007E71AA" w:rsidP="00C72B13">
            <w:pPr>
              <w:pStyle w:val="Tabletext0"/>
              <w:spacing w:before="0"/>
            </w:pPr>
            <w:r w:rsidRPr="007E71AA">
              <w:t>Secondary modification</w:t>
            </w:r>
          </w:p>
          <w:p w14:paraId="49B53BF3" w14:textId="77777777" w:rsidR="007E71AA" w:rsidRPr="007E71AA" w:rsidRDefault="2A811131" w:rsidP="00C72B13">
            <w:pPr>
              <w:pStyle w:val="Tabletext0"/>
              <w:spacing w:before="0"/>
              <w:rPr>
                <w:rFonts w:eastAsia="Arial Unicode MS"/>
              </w:rPr>
            </w:pPr>
            <w:r w:rsidRPr="10077A7C">
              <w:t>(</w:t>
            </w:r>
            <w:bookmarkStart w:id="153" w:name="_Int_yfycPMKl"/>
            <w:r w:rsidRPr="10077A7C">
              <w:t>ecological</w:t>
            </w:r>
            <w:bookmarkEnd w:id="153"/>
            <w:r w:rsidRPr="10077A7C">
              <w:t xml:space="preserve"> interactions)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48C9A9D3" w14:textId="77777777" w:rsidR="007E71AA" w:rsidRPr="007E71AA" w:rsidRDefault="007E71AA" w:rsidP="00C72B13">
            <w:pPr>
              <w:pStyle w:val="Tabletext0"/>
              <w:spacing w:before="0"/>
              <w:rPr>
                <w:rFonts w:eastAsia="Arial Unicode MS"/>
              </w:rPr>
            </w:pPr>
            <w:r w:rsidRPr="007E71AA">
              <w:t>Minor changes in species composition, with sensitive species present but some differences in species proportions from reference sites</w:t>
            </w:r>
          </w:p>
        </w:tc>
      </w:tr>
      <w:tr w:rsidR="007E71AA" w:rsidRPr="007E71AA" w14:paraId="46D0521E"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34B60AFD" w14:textId="77777777" w:rsidR="007E71AA" w:rsidRPr="007E71AA" w:rsidRDefault="007E71AA" w:rsidP="00C72B13">
            <w:pPr>
              <w:pStyle w:val="Tabletext0"/>
              <w:spacing w:before="0"/>
              <w:rPr>
                <w:rFonts w:eastAsia="Arial Unicode MS"/>
              </w:rPr>
            </w:pPr>
            <w:r w:rsidRPr="007E71AA">
              <w:t>Biochemical</w:t>
            </w:r>
          </w:p>
        </w:tc>
      </w:tr>
      <w:tr w:rsidR="007E71AA" w:rsidRPr="007E71AA" w14:paraId="04E3233B"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0EB2A4E" w14:textId="77777777" w:rsidR="007E71AA" w:rsidRPr="007E71AA" w:rsidRDefault="007E71AA" w:rsidP="00C72B13">
            <w:pPr>
              <w:pStyle w:val="Tabletext0"/>
              <w:spacing w:before="0"/>
              <w:rPr>
                <w:rFonts w:eastAsia="Arial Unicode MS"/>
              </w:rPr>
            </w:pPr>
            <w:r w:rsidRPr="007E71AA">
              <w:t>Toxicity</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18C2D146" w14:textId="77777777" w:rsidR="007E71AA" w:rsidRPr="007E71AA" w:rsidRDefault="007E71AA" w:rsidP="00C72B13">
            <w:pPr>
              <w:pStyle w:val="Tabletext0"/>
              <w:spacing w:before="0"/>
              <w:rPr>
                <w:rFonts w:eastAsia="Arial Unicode MS"/>
              </w:rPr>
            </w:pPr>
            <w:r w:rsidRPr="007E71AA">
              <w:t>Detectable acute and chronic toxicity in bioassay</w:t>
            </w:r>
          </w:p>
        </w:tc>
      </w:tr>
      <w:tr w:rsidR="007E71AA" w:rsidRPr="007E71AA" w14:paraId="4E5C4F87"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18CB35C6" w14:textId="77777777" w:rsidR="007E71AA" w:rsidRPr="007E71AA" w:rsidRDefault="007E71AA" w:rsidP="00C72B13">
            <w:pPr>
              <w:pStyle w:val="Tabletext0"/>
              <w:spacing w:before="0"/>
              <w:rPr>
                <w:rFonts w:eastAsia="Arial Unicode MS"/>
              </w:rPr>
            </w:pPr>
            <w:r w:rsidRPr="007E71AA">
              <w:t>Bioaccumulation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46DAAE44" w14:textId="77777777" w:rsidR="007E71AA" w:rsidRPr="007E71AA" w:rsidRDefault="007E71AA" w:rsidP="00C72B13">
            <w:pPr>
              <w:pStyle w:val="Tabletext0"/>
              <w:spacing w:before="0"/>
              <w:rPr>
                <w:rFonts w:eastAsia="Arial Unicode MS"/>
              </w:rPr>
            </w:pPr>
            <w:r w:rsidRPr="007E71AA">
              <w:t>Metals and pesticides accumulate in biota</w:t>
            </w:r>
          </w:p>
        </w:tc>
      </w:tr>
      <w:tr w:rsidR="007E71AA" w:rsidRPr="007E71AA" w14:paraId="3A96BED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663CC4D" w14:textId="77777777" w:rsidR="007E71AA" w:rsidRPr="007E71AA" w:rsidRDefault="007E71AA" w:rsidP="00C72B13">
            <w:pPr>
              <w:pStyle w:val="Tabletext0"/>
              <w:spacing w:before="0"/>
              <w:rPr>
                <w:rFonts w:eastAsia="Arial Unicode MS"/>
              </w:rPr>
            </w:pPr>
            <w:r w:rsidRPr="007E71AA">
              <w:t>Dissolved oxygen depletion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7DA19324" w14:textId="77777777" w:rsidR="007E71AA" w:rsidRPr="007E71AA" w:rsidRDefault="007E71AA" w:rsidP="00C72B13">
            <w:pPr>
              <w:pStyle w:val="Tabletext0"/>
              <w:spacing w:before="0"/>
              <w:rPr>
                <w:rFonts w:eastAsia="Arial Unicode MS"/>
              </w:rPr>
            </w:pPr>
            <w:r w:rsidRPr="007E71AA">
              <w:t>Lower dissolved oxygen due to high biological oxygen demand or low mixing</w:t>
            </w:r>
          </w:p>
        </w:tc>
      </w:tr>
      <w:tr w:rsidR="007E71AA" w:rsidRPr="007E71AA" w14:paraId="61880EFA"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44252EFA" w14:textId="77777777" w:rsidR="007E71AA" w:rsidRPr="007E71AA" w:rsidRDefault="007E71AA" w:rsidP="00C72B13">
            <w:pPr>
              <w:pStyle w:val="Tabletext0"/>
              <w:spacing w:before="0"/>
              <w:rPr>
                <w:rFonts w:eastAsia="Arial Unicode MS"/>
              </w:rPr>
            </w:pPr>
            <w:r w:rsidRPr="007E71AA">
              <w:t>Public health issues*</w:t>
            </w:r>
          </w:p>
        </w:tc>
      </w:tr>
      <w:tr w:rsidR="007E71AA" w:rsidRPr="007E71AA" w14:paraId="5A6B2B68"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3BB364B6" w14:textId="77777777" w:rsidR="007E71AA" w:rsidRPr="007E71AA" w:rsidRDefault="007E71AA" w:rsidP="00C72B13">
            <w:pPr>
              <w:pStyle w:val="Tabletext0"/>
              <w:spacing w:before="0"/>
              <w:rPr>
                <w:rFonts w:eastAsia="Arial Unicode MS"/>
              </w:rPr>
            </w:pPr>
            <w:r w:rsidRPr="007E71AA">
              <w:t>Microbiological – pathogens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C2B766D" w14:textId="43EC7C34" w:rsidR="007E71AA" w:rsidRPr="007E71AA" w:rsidRDefault="007E71AA" w:rsidP="00C72B13">
            <w:pPr>
              <w:pStyle w:val="Tabletext0"/>
              <w:spacing w:before="0"/>
              <w:rPr>
                <w:rFonts w:eastAsia="Arial Unicode MS"/>
              </w:rPr>
            </w:pPr>
            <w:r w:rsidRPr="007E71AA">
              <w:t>Elevated levels of pathogens and indicator microorganisms in waters used for water supplies, bathing or secondary recreation</w:t>
            </w:r>
          </w:p>
        </w:tc>
      </w:tr>
      <w:tr w:rsidR="007E71AA" w:rsidRPr="007E71AA" w14:paraId="2597B9C9"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5C6D1FB4" w14:textId="77777777" w:rsidR="007E71AA" w:rsidRPr="007E71AA" w:rsidRDefault="007E71AA" w:rsidP="00C72B13">
            <w:pPr>
              <w:pStyle w:val="Tabletext0"/>
              <w:spacing w:before="0"/>
              <w:rPr>
                <w:rFonts w:eastAsia="Arial Unicode MS"/>
              </w:rPr>
            </w:pPr>
            <w:r w:rsidRPr="007E71AA">
              <w:t>Fish – contamination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1661DF2" w14:textId="77777777" w:rsidR="007E71AA" w:rsidRPr="007E71AA" w:rsidRDefault="007E71AA" w:rsidP="00C72B13">
            <w:pPr>
              <w:pStyle w:val="Tabletext0"/>
              <w:spacing w:before="0"/>
              <w:rPr>
                <w:rFonts w:eastAsia="Arial Unicode MS"/>
              </w:rPr>
            </w:pPr>
            <w:r w:rsidRPr="007E71AA">
              <w:t>Elevated levels of metals, pesticides or pathogens in fish and other aquatic organisms</w:t>
            </w:r>
          </w:p>
        </w:tc>
      </w:tr>
      <w:tr w:rsidR="007E71AA" w:rsidRPr="007E71AA" w14:paraId="4F34D8DF"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8BF2AF0" w14:textId="77777777" w:rsidR="007E71AA" w:rsidRPr="007E71AA" w:rsidRDefault="007E71AA" w:rsidP="00C72B13">
            <w:pPr>
              <w:pStyle w:val="Tabletext0"/>
              <w:spacing w:before="0"/>
              <w:rPr>
                <w:rFonts w:eastAsia="Arial Unicode MS"/>
              </w:rPr>
            </w:pPr>
            <w:r w:rsidRPr="007E71AA">
              <w:t>Sediments – contamination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8DF07A3" w14:textId="77777777" w:rsidR="007E71AA" w:rsidRPr="007E71AA" w:rsidRDefault="007E71AA" w:rsidP="00C72B13">
            <w:pPr>
              <w:pStyle w:val="Tabletext0"/>
              <w:spacing w:before="0"/>
              <w:rPr>
                <w:rFonts w:eastAsia="Arial Unicode MS"/>
              </w:rPr>
            </w:pPr>
            <w:r w:rsidRPr="007E71AA">
              <w:t>Elevated levels of metals, pesticides or pathogens in sediments</w:t>
            </w:r>
          </w:p>
        </w:tc>
      </w:tr>
      <w:tr w:rsidR="008B11BB" w:rsidRPr="007E71AA" w14:paraId="1D1F3F2D" w14:textId="77777777" w:rsidTr="10077A7C">
        <w:trPr>
          <w:trHeight w:val="20"/>
        </w:trPr>
        <w:tc>
          <w:tcPr>
            <w:tcW w:w="5000" w:type="pct"/>
            <w:gridSpan w:val="2"/>
            <w:tcBorders>
              <w:top w:val="single" w:sz="4" w:space="0" w:color="auto"/>
            </w:tcBorders>
            <w:tcMar>
              <w:top w:w="18" w:type="dxa"/>
              <w:left w:w="18" w:type="dxa"/>
              <w:bottom w:w="0" w:type="dxa"/>
              <w:right w:w="18" w:type="dxa"/>
            </w:tcMar>
          </w:tcPr>
          <w:p w14:paraId="0403B40E" w14:textId="5809C7F3" w:rsidR="008B11BB" w:rsidRPr="008B11BB" w:rsidRDefault="008B11BB" w:rsidP="00F21050">
            <w:pPr>
              <w:pStyle w:val="Tablenotes"/>
              <w:rPr>
                <w:rFonts w:ascii="MetaBold-Roman" w:eastAsia="Times New Roman" w:hAnsi="MetaBold-Roman"/>
                <w:color w:val="666699"/>
              </w:rPr>
            </w:pPr>
            <w:r w:rsidRPr="00C01F65">
              <w:t>*Would require an independent human health risk assessment (see</w:t>
            </w:r>
            <w:r w:rsidR="00473D3B">
              <w:t xml:space="preserve"> </w:t>
            </w:r>
            <w:r w:rsidR="00F21050">
              <w:t>Appendix C</w:t>
            </w:r>
            <w:r w:rsidRPr="00C01F65">
              <w:t>).</w:t>
            </w:r>
            <w:r w:rsidRPr="00C01F65">
              <w:br w:type="page"/>
            </w:r>
          </w:p>
        </w:tc>
      </w:tr>
    </w:tbl>
    <w:p w14:paraId="68539EDC" w14:textId="77777777" w:rsidR="000B05BC" w:rsidRDefault="000B05BC" w:rsidP="000B05BC">
      <w:pPr>
        <w:keepNext/>
        <w:spacing w:after="0"/>
      </w:pPr>
      <w:r>
        <w:rPr>
          <w:noProof/>
        </w:rPr>
        <w:lastRenderedPageBreak/>
        <mc:AlternateContent>
          <mc:Choice Requires="wpg">
            <w:drawing>
              <wp:inline distT="0" distB="0" distL="0" distR="0" wp14:anchorId="0A8B9C1E" wp14:editId="6B84CD52">
                <wp:extent cx="6461760" cy="5130582"/>
                <wp:effectExtent l="12700" t="12700" r="15240" b="1333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760" cy="5130582"/>
                          <a:chOff x="0" y="0"/>
                          <a:chExt cx="6125454" cy="4778384"/>
                        </a:xfrm>
                      </wpg:grpSpPr>
                      <wps:wsp>
                        <wps:cNvPr id="34" name="Rectangle 34"/>
                        <wps:cNvSpPr/>
                        <wps:spPr>
                          <a:xfrm>
                            <a:off x="0" y="0"/>
                            <a:ext cx="6125454" cy="4778384"/>
                          </a:xfrm>
                          <a:prstGeom prst="rect">
                            <a:avLst/>
                          </a:prstGeom>
                          <a:noFill/>
                          <a:ln w="19050">
                            <a:solidFill>
                              <a:srgbClr val="003F7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35"/>
                          <pic:cNvPicPr>
                            <a:picLocks noChangeAspect="1"/>
                          </pic:cNvPicPr>
                        </pic:nvPicPr>
                        <pic:blipFill>
                          <a:blip r:embed="rId65" cstate="print"/>
                          <a:srcRect/>
                          <a:stretch>
                            <a:fillRect/>
                          </a:stretch>
                        </pic:blipFill>
                        <pic:spPr bwMode="auto">
                          <a:xfrm>
                            <a:off x="79513" y="47708"/>
                            <a:ext cx="5731510" cy="4363720"/>
                          </a:xfrm>
                          <a:prstGeom prst="rect">
                            <a:avLst/>
                          </a:prstGeom>
                          <a:noFill/>
                          <a:ln>
                            <a:noFill/>
                          </a:ln>
                        </pic:spPr>
                      </pic:pic>
                    </wpg:wgp>
                  </a:graphicData>
                </a:graphic>
              </wp:inline>
            </w:drawing>
          </mc:Choice>
          <mc:Fallback>
            <w:pict>
              <v:group w14:anchorId="46159CDE" id="Group 31" o:spid="_x0000_s1026" style="width:508.8pt;height:404pt;mso-position-horizontal-relative:char;mso-position-vertical-relative:line" coordsize="61254,47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">
                <v:rect id="Rectangle 34" o:spid="_x0000_s1027" style="position:absolute;width:61254;height:47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" filled="f" strokecolor="#003f72" strokeweight="1.5pt"/>
                <v:shape id="Picture 35" o:spid="_x0000_s1028" type="#_x0000_t75" style="position:absolute;left:795;top:477;width:57315;height:4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">
                  <v:imagedata r:id="rId66" o:title=""/>
                </v:shape>
                <w10:anchorlock/>
              </v:group>
            </w:pict>
          </mc:Fallback>
        </mc:AlternateContent>
      </w:r>
    </w:p>
    <w:p w14:paraId="2586669B" w14:textId="68DA750B" w:rsidR="00C72B13" w:rsidRDefault="000B05BC" w:rsidP="003920EE">
      <w:pPr>
        <w:pStyle w:val="Caption"/>
      </w:pPr>
      <w:bookmarkStart w:id="154" w:name="_Ref132745055"/>
      <w:r>
        <w:t>Figure B</w:t>
      </w:r>
      <w:fldSimple w:instr=" SEQ Figure_B \* ARABIC ">
        <w:r w:rsidR="00FD64B0">
          <w:rPr>
            <w:noProof/>
          </w:rPr>
          <w:t>7</w:t>
        </w:r>
      </w:fldSimple>
      <w:bookmarkEnd w:id="154"/>
      <w:r>
        <w:t xml:space="preserve"> –</w:t>
      </w:r>
      <w:r w:rsidRPr="006D2F6E">
        <w:t>Conceptual model of the relationships between the discharge and potential issues influencing water quality and ecological conditions in the Spring and Reedy creek systems</w:t>
      </w:r>
      <w:bookmarkStart w:id="155" w:name="_Hlk518040614"/>
      <w:bookmarkStart w:id="156" w:name="_Ref88224640"/>
      <w:bookmarkStart w:id="157" w:name="_Hlk518040634"/>
    </w:p>
    <w:p w14:paraId="61E15AB7" w14:textId="77777777" w:rsidR="00F90281" w:rsidRDefault="00F90281">
      <w:pPr>
        <w:spacing w:before="0" w:after="0"/>
      </w:pPr>
      <w:r>
        <w:br w:type="page"/>
      </w:r>
    </w:p>
    <w:p w14:paraId="56CDCCF7" w14:textId="3B45E3C2" w:rsidR="003920EE" w:rsidRPr="00F90281" w:rsidRDefault="003920EE" w:rsidP="00F90281">
      <w:pPr>
        <w:pStyle w:val="Caption"/>
      </w:pPr>
      <w:bookmarkStart w:id="158" w:name="_Ref132747670"/>
      <w:r w:rsidRPr="00450B9F">
        <w:lastRenderedPageBreak/>
        <w:t>Table B</w:t>
      </w:r>
      <w:fldSimple w:instr=" SEQ Table_B \* ARABIC ">
        <w:r w:rsidR="00FD64B0">
          <w:rPr>
            <w:noProof/>
          </w:rPr>
          <w:t>13</w:t>
        </w:r>
      </w:fldSimple>
      <w:bookmarkEnd w:id="158"/>
      <w:r w:rsidRPr="00450B9F">
        <w:t xml:space="preserve"> – Summary of the key risks to be investigated and the monitoring/studies to be conducted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87"/>
      </w:tblGrid>
      <w:tr w:rsidR="002E18A2" w:rsidRPr="002E18A2" w14:paraId="6C2CE352" w14:textId="77777777" w:rsidTr="003920EE">
        <w:tc>
          <w:tcPr>
            <w:tcW w:w="3261" w:type="dxa"/>
            <w:shd w:val="clear" w:color="auto" w:fill="003F72"/>
          </w:tcPr>
          <w:bookmarkEnd w:id="155"/>
          <w:bookmarkEnd w:id="156"/>
          <w:bookmarkEnd w:id="157"/>
          <w:p w14:paraId="57AEC415" w14:textId="77777777" w:rsidR="002E18A2" w:rsidRPr="002E18A2" w:rsidRDefault="002E18A2" w:rsidP="00C72B13">
            <w:pPr>
              <w:pStyle w:val="Tabletext0"/>
            </w:pPr>
            <w:r w:rsidRPr="002E18A2">
              <w:t>Key risks for analysis</w:t>
            </w:r>
          </w:p>
        </w:tc>
        <w:tc>
          <w:tcPr>
            <w:tcW w:w="6387" w:type="dxa"/>
            <w:shd w:val="clear" w:color="auto" w:fill="003F72"/>
          </w:tcPr>
          <w:p w14:paraId="66A53D48" w14:textId="77777777" w:rsidR="002E18A2" w:rsidRPr="002E18A2" w:rsidRDefault="002E18A2" w:rsidP="00C72B13">
            <w:pPr>
              <w:pStyle w:val="Tabletext0"/>
            </w:pPr>
            <w:r w:rsidRPr="002E18A2">
              <w:t xml:space="preserve">Monitoring/studies </w:t>
            </w:r>
          </w:p>
        </w:tc>
      </w:tr>
      <w:tr w:rsidR="002E18A2" w:rsidRPr="002E18A2" w14:paraId="3436D102" w14:textId="77777777" w:rsidTr="003920EE">
        <w:tc>
          <w:tcPr>
            <w:tcW w:w="3261" w:type="dxa"/>
          </w:tcPr>
          <w:p w14:paraId="1119BDC6" w14:textId="77777777" w:rsidR="002E18A2" w:rsidRPr="002E18A2" w:rsidRDefault="002E18A2" w:rsidP="00C72B13">
            <w:pPr>
              <w:pStyle w:val="Tabletext0"/>
            </w:pPr>
            <w:r w:rsidRPr="002E18A2">
              <w:t>Reduced light attenuation</w:t>
            </w:r>
          </w:p>
        </w:tc>
        <w:tc>
          <w:tcPr>
            <w:tcW w:w="6387" w:type="dxa"/>
          </w:tcPr>
          <w:p w14:paraId="23920782" w14:textId="77777777" w:rsidR="002E18A2" w:rsidRPr="002E18A2" w:rsidRDefault="002E18A2" w:rsidP="00C72B13">
            <w:pPr>
              <w:pStyle w:val="Tabletext0"/>
            </w:pPr>
            <w:r w:rsidRPr="002E18A2">
              <w:t>Turbidity and diatom growth monitoring</w:t>
            </w:r>
          </w:p>
        </w:tc>
      </w:tr>
      <w:tr w:rsidR="002E18A2" w:rsidRPr="002E18A2" w14:paraId="1D64EB2E" w14:textId="77777777" w:rsidTr="003920EE">
        <w:tc>
          <w:tcPr>
            <w:tcW w:w="3261" w:type="dxa"/>
          </w:tcPr>
          <w:p w14:paraId="35FCF7D8" w14:textId="192243C9" w:rsidR="002E18A2" w:rsidRPr="002E18A2" w:rsidRDefault="002E18A2" w:rsidP="00C72B13">
            <w:pPr>
              <w:pStyle w:val="Tabletext0"/>
            </w:pPr>
            <w:r w:rsidRPr="002E18A2">
              <w:t>Nutrient enrichment and primary modification of the ecosystem through effects from increased nutrients and dissolved oxygen depletion</w:t>
            </w:r>
            <w:r w:rsidR="00B54B99">
              <w:t>.</w:t>
            </w:r>
          </w:p>
        </w:tc>
        <w:tc>
          <w:tcPr>
            <w:tcW w:w="6387" w:type="dxa"/>
          </w:tcPr>
          <w:p w14:paraId="44BCE333" w14:textId="5B177ECC" w:rsidR="002E18A2" w:rsidRPr="002E18A2" w:rsidRDefault="043D6CE8" w:rsidP="00C72B13">
            <w:pPr>
              <w:pStyle w:val="Tabletext0"/>
            </w:pPr>
            <w:r w:rsidRPr="10077A7C">
              <w:t xml:space="preserve">Nutrient, dissolved oxygen, attached algae, artificial substrate (diatom chlorophyll </w:t>
            </w:r>
            <w:bookmarkStart w:id="159" w:name="_Int_0DEsRIL8"/>
            <w:r w:rsidRPr="10077A7C">
              <w:t>a and</w:t>
            </w:r>
            <w:bookmarkEnd w:id="159"/>
            <w:r w:rsidRPr="10077A7C">
              <w:t xml:space="preserve"> phytoplankton)</w:t>
            </w:r>
            <w:r w:rsidR="00A35655">
              <w:t>,</w:t>
            </w:r>
            <w:r w:rsidRPr="10077A7C">
              <w:t xml:space="preserve"> macroinvertebrate and groundwater monitoring</w:t>
            </w:r>
            <w:r w:rsidR="00B54B99">
              <w:t>.</w:t>
            </w:r>
          </w:p>
        </w:tc>
      </w:tr>
      <w:tr w:rsidR="002E18A2" w:rsidRPr="002E18A2" w14:paraId="2CC6DADD" w14:textId="77777777" w:rsidTr="003920EE">
        <w:tc>
          <w:tcPr>
            <w:tcW w:w="3261" w:type="dxa"/>
          </w:tcPr>
          <w:p w14:paraId="439EFA69" w14:textId="77777777" w:rsidR="002E18A2" w:rsidRPr="002E18A2" w:rsidRDefault="002E18A2" w:rsidP="00C72B13">
            <w:pPr>
              <w:pStyle w:val="Tabletext0"/>
            </w:pPr>
            <w:r w:rsidRPr="002E18A2">
              <w:t>Ammonia toxicity</w:t>
            </w:r>
          </w:p>
        </w:tc>
        <w:tc>
          <w:tcPr>
            <w:tcW w:w="6387" w:type="dxa"/>
          </w:tcPr>
          <w:p w14:paraId="44F9588C" w14:textId="32006FD0" w:rsidR="002E18A2" w:rsidRPr="002E18A2" w:rsidRDefault="002E18A2" w:rsidP="00C72B13">
            <w:pPr>
              <w:pStyle w:val="Tabletext0"/>
            </w:pPr>
            <w:r w:rsidRPr="002E18A2">
              <w:t>Ammonia and macroinvertebrate monitoring, desktop investigation of local fish communities and their tolerances</w:t>
            </w:r>
            <w:r w:rsidR="00B54B99">
              <w:t>.</w:t>
            </w:r>
          </w:p>
        </w:tc>
      </w:tr>
      <w:tr w:rsidR="002E18A2" w:rsidRPr="002E18A2" w14:paraId="10DB496C" w14:textId="77777777" w:rsidTr="003920EE">
        <w:tc>
          <w:tcPr>
            <w:tcW w:w="3261" w:type="dxa"/>
          </w:tcPr>
          <w:p w14:paraId="63C70841" w14:textId="77777777" w:rsidR="002E18A2" w:rsidRPr="002E18A2" w:rsidRDefault="002E18A2" w:rsidP="00C72B13">
            <w:pPr>
              <w:pStyle w:val="Tabletext0"/>
            </w:pPr>
            <w:r w:rsidRPr="002E18A2">
              <w:t>Change in flow patterns</w:t>
            </w:r>
          </w:p>
        </w:tc>
        <w:tc>
          <w:tcPr>
            <w:tcW w:w="6387" w:type="dxa"/>
          </w:tcPr>
          <w:p w14:paraId="659499C0" w14:textId="7DC72EAE" w:rsidR="002E18A2" w:rsidRPr="002E18A2" w:rsidRDefault="002E18A2" w:rsidP="00C72B13">
            <w:pPr>
              <w:pStyle w:val="Tabletext0"/>
            </w:pPr>
            <w:r w:rsidRPr="002E18A2">
              <w:t>Hydrological study to determine daily flows in Spring and Reedy creeks with and without the input of the discharge</w:t>
            </w:r>
            <w:r w:rsidR="00B54B99">
              <w:t>.</w:t>
            </w:r>
          </w:p>
        </w:tc>
      </w:tr>
    </w:tbl>
    <w:p w14:paraId="684E41A9" w14:textId="479C7293" w:rsidR="009F7143" w:rsidRDefault="009F7143">
      <w:pPr>
        <w:spacing w:after="0"/>
      </w:pPr>
    </w:p>
    <w:p w14:paraId="08EB1944" w14:textId="13DA84CF" w:rsidR="000A64E4" w:rsidRPr="00C01F65" w:rsidRDefault="000A64E4" w:rsidP="000A64E4">
      <w:pPr>
        <w:spacing w:line="259" w:lineRule="auto"/>
        <w:contextualSpacing/>
        <w:rPr>
          <w:rFonts w:cs="Arial"/>
        </w:rPr>
      </w:pPr>
      <w:r w:rsidRPr="00C01F65">
        <w:rPr>
          <w:rFonts w:cs="Arial"/>
        </w:rPr>
        <w:t>More</w:t>
      </w:r>
      <w:r w:rsidR="00820F46">
        <w:rPr>
          <w:rFonts w:cs="Arial"/>
        </w:rPr>
        <w:t>-</w:t>
      </w:r>
      <w:r w:rsidRPr="00C01F65">
        <w:rPr>
          <w:rFonts w:cs="Arial"/>
        </w:rPr>
        <w:t xml:space="preserve">detailed information on the problem formulation phase and risk analysis plan can be found in </w:t>
      </w:r>
      <w:r w:rsidRPr="004B788D">
        <w:rPr>
          <w:rFonts w:cs="Arial"/>
          <w:i/>
          <w:iCs/>
        </w:rPr>
        <w:t>The</w:t>
      </w:r>
      <w:r w:rsidR="00DD7B99">
        <w:rPr>
          <w:rFonts w:cs="Arial"/>
        </w:rPr>
        <w:t> </w:t>
      </w:r>
      <w:r w:rsidRPr="00C01F65">
        <w:rPr>
          <w:rFonts w:cs="Arial"/>
          <w:i/>
        </w:rPr>
        <w:t>Beechworth Wastewater Treatment Plant Wastewater Discharge to Waterways Risk Analysis Plan</w:t>
      </w:r>
      <w:r w:rsidRPr="00C01F65">
        <w:rPr>
          <w:rFonts w:cs="Arial"/>
        </w:rPr>
        <w:t xml:space="preserve">, which can be obtained from NE Water (Ph 1300 361 622).  </w:t>
      </w:r>
    </w:p>
    <w:p w14:paraId="4D1488C6" w14:textId="0FF24706" w:rsidR="00851A14" w:rsidRPr="00C41307" w:rsidRDefault="00851A14" w:rsidP="00AA7232">
      <w:pPr>
        <w:pStyle w:val="Heading4"/>
        <w:rPr>
          <w:rFonts w:cs="Arial"/>
        </w:rPr>
      </w:pPr>
      <w:r w:rsidRPr="00C41307">
        <w:t>Risk analysis</w:t>
      </w:r>
    </w:p>
    <w:p w14:paraId="43A4C75C" w14:textId="77777777" w:rsidR="000A64E4" w:rsidRPr="00C01F65" w:rsidRDefault="000A64E4" w:rsidP="000A64E4">
      <w:pPr>
        <w:spacing w:line="259" w:lineRule="auto"/>
        <w:contextualSpacing/>
        <w:rPr>
          <w:rFonts w:cs="Arial"/>
          <w:lang w:val="en-US"/>
        </w:rPr>
      </w:pPr>
      <w:r w:rsidRPr="00C01F65">
        <w:rPr>
          <w:rFonts w:cs="Arial"/>
          <w:lang w:val="en-US"/>
        </w:rPr>
        <w:t>The outcomes of problem formulation guided the risk analysis stage, which included extensive collection and analysis of data from a wide range of sources including:</w:t>
      </w:r>
    </w:p>
    <w:p w14:paraId="22A364A3" w14:textId="77777777" w:rsidR="000A64E4" w:rsidRPr="00C01F65" w:rsidRDefault="000A64E4" w:rsidP="00C72B13">
      <w:pPr>
        <w:pStyle w:val="ListBullet"/>
      </w:pPr>
      <w:r w:rsidRPr="00C01F65">
        <w:t>Spring and Reedy creeks water quality data</w:t>
      </w:r>
    </w:p>
    <w:p w14:paraId="71588639" w14:textId="77777777" w:rsidR="000A64E4" w:rsidRPr="00C01F65" w:rsidRDefault="000A64E4" w:rsidP="00C72B13">
      <w:pPr>
        <w:pStyle w:val="ListBullet"/>
      </w:pPr>
      <w:r w:rsidRPr="00C01F65">
        <w:t>wastewater discharge quality data</w:t>
      </w:r>
    </w:p>
    <w:p w14:paraId="6C221DB5" w14:textId="3604634D" w:rsidR="000A64E4" w:rsidRPr="00C01F65" w:rsidRDefault="000A64E4" w:rsidP="00C72B13">
      <w:pPr>
        <w:pStyle w:val="ListBullet"/>
      </w:pPr>
      <w:r w:rsidRPr="00C01F65">
        <w:t>model</w:t>
      </w:r>
      <w:r w:rsidR="00DD7B99">
        <w:t>l</w:t>
      </w:r>
      <w:r w:rsidRPr="00C01F65">
        <w:t xml:space="preserve">ed </w:t>
      </w:r>
      <w:r w:rsidR="00DD7B99" w:rsidRPr="00C01F65">
        <w:t>flow volume data</w:t>
      </w:r>
      <w:r w:rsidR="00DD7B99">
        <w:t xml:space="preserve"> from</w:t>
      </w:r>
      <w:r w:rsidR="00DD7B99" w:rsidRPr="00C01F65">
        <w:t xml:space="preserve"> </w:t>
      </w:r>
      <w:r w:rsidRPr="00C01F65">
        <w:t xml:space="preserve">Spring and Reedy creeks </w:t>
      </w:r>
    </w:p>
    <w:p w14:paraId="73DAA342" w14:textId="616245D4" w:rsidR="000A64E4" w:rsidRPr="00C01F65" w:rsidRDefault="00DD7B99" w:rsidP="00C72B13">
      <w:pPr>
        <w:pStyle w:val="ListBullet"/>
      </w:pPr>
      <w:r w:rsidRPr="00C01F65">
        <w:t xml:space="preserve">biological assessment data </w:t>
      </w:r>
      <w:r>
        <w:t xml:space="preserve">from </w:t>
      </w:r>
      <w:r w:rsidR="000A64E4" w:rsidRPr="00C01F65">
        <w:t xml:space="preserve">Spring, Reedy and other ephemeral creeks </w:t>
      </w:r>
    </w:p>
    <w:p w14:paraId="25B61A95" w14:textId="77777777" w:rsidR="000A64E4" w:rsidRPr="00C01F65" w:rsidRDefault="000A64E4" w:rsidP="00C72B13">
      <w:pPr>
        <w:pStyle w:val="ListBullet"/>
      </w:pPr>
      <w:r w:rsidRPr="00C01F65">
        <w:t>groundwater monitoring bore data</w:t>
      </w:r>
    </w:p>
    <w:p w14:paraId="5626867E" w14:textId="77777777" w:rsidR="000A64E4" w:rsidRPr="00C01F65" w:rsidRDefault="000A64E4" w:rsidP="00C72B13">
      <w:pPr>
        <w:pStyle w:val="ListBullet"/>
      </w:pPr>
      <w:r w:rsidRPr="10077A7C">
        <w:t>attached algae chlorophyll</w:t>
      </w:r>
      <w:r w:rsidRPr="10077A7C">
        <w:rPr>
          <w:i/>
          <w:iCs/>
        </w:rPr>
        <w:t xml:space="preserve"> </w:t>
      </w:r>
      <w:bookmarkStart w:id="160" w:name="_Int_pkZYB1pC"/>
      <w:r w:rsidRPr="10077A7C">
        <w:t>a data</w:t>
      </w:r>
      <w:bookmarkEnd w:id="160"/>
    </w:p>
    <w:p w14:paraId="1F026ABD" w14:textId="77777777" w:rsidR="000A64E4" w:rsidRPr="00C01F65" w:rsidRDefault="000A64E4" w:rsidP="00C72B13">
      <w:pPr>
        <w:pStyle w:val="ListBullet"/>
      </w:pPr>
      <w:r w:rsidRPr="00C01F65">
        <w:t>literature review</w:t>
      </w:r>
    </w:p>
    <w:p w14:paraId="49F59681" w14:textId="0FEA1A1E" w:rsidR="000A64E4" w:rsidRPr="00F21050" w:rsidRDefault="000A64E4" w:rsidP="00C72B13">
      <w:pPr>
        <w:pStyle w:val="ListBullet"/>
      </w:pPr>
      <w:r w:rsidRPr="00C01F65">
        <w:t>expert advice.</w:t>
      </w:r>
    </w:p>
    <w:p w14:paraId="6D9BA6B5" w14:textId="58D8A326" w:rsidR="000A64E4" w:rsidRPr="00C01F65" w:rsidRDefault="000A64E4" w:rsidP="000A64E4">
      <w:pPr>
        <w:spacing w:line="259" w:lineRule="auto"/>
        <w:contextualSpacing/>
        <w:rPr>
          <w:rFonts w:cs="Arial"/>
        </w:rPr>
      </w:pPr>
      <w:r w:rsidRPr="00C01F65">
        <w:rPr>
          <w:rFonts w:cs="Arial"/>
        </w:rPr>
        <w:t>The risk analysis identified four environmental values that were at risk from the wastewater discharge (</w:t>
      </w:r>
      <w:r w:rsidR="00CF5BE4" w:rsidRPr="00CF5BE4">
        <w:rPr>
          <w:rFonts w:cs="Arial"/>
        </w:rPr>
        <w:fldChar w:fldCharType="begin"/>
      </w:r>
      <w:r w:rsidR="00CF5BE4" w:rsidRPr="00CF5BE4">
        <w:rPr>
          <w:rFonts w:cs="Arial"/>
        </w:rPr>
        <w:instrText xml:space="preserve"> REF _Ref88224810 \h  \* MERGEFORMAT </w:instrText>
      </w:r>
      <w:r w:rsidR="00CF5BE4" w:rsidRPr="00CF5BE4">
        <w:rPr>
          <w:rFonts w:cs="Arial"/>
        </w:rPr>
      </w:r>
      <w:r w:rsidR="00CF5BE4" w:rsidRPr="00CF5BE4">
        <w:rPr>
          <w:rFonts w:cs="Arial"/>
        </w:rPr>
        <w:fldChar w:fldCharType="separate"/>
      </w:r>
      <w:r w:rsidR="00FD64B0" w:rsidRPr="004B788D">
        <w:t>Table B</w:t>
      </w:r>
      <w:r w:rsidR="00FD64B0">
        <w:t>14</w:t>
      </w:r>
      <w:r w:rsidR="00CF5BE4" w:rsidRPr="00CF5BE4">
        <w:rPr>
          <w:rFonts w:cs="Arial"/>
        </w:rPr>
        <w:fldChar w:fldCharType="end"/>
      </w:r>
      <w:r w:rsidRPr="00C01F65">
        <w:rPr>
          <w:rFonts w:cs="Arial"/>
        </w:rPr>
        <w:t xml:space="preserve">). </w:t>
      </w:r>
    </w:p>
    <w:tbl>
      <w:tblPr>
        <w:tblW w:w="5000" w:type="pct"/>
        <w:jc w:val="center"/>
        <w:tblLook w:val="04A0" w:firstRow="1" w:lastRow="0" w:firstColumn="1" w:lastColumn="0" w:noHBand="0" w:noVBand="1"/>
      </w:tblPr>
      <w:tblGrid>
        <w:gridCol w:w="5335"/>
        <w:gridCol w:w="1535"/>
        <w:gridCol w:w="1944"/>
        <w:gridCol w:w="1362"/>
      </w:tblGrid>
      <w:tr w:rsidR="00D94E6B" w:rsidRPr="00D10290" w14:paraId="6D0719AB" w14:textId="77777777" w:rsidTr="00D94E6B">
        <w:trPr>
          <w:trHeight w:val="244"/>
          <w:jc w:val="center"/>
        </w:trPr>
        <w:tc>
          <w:tcPr>
            <w:tcW w:w="5000" w:type="pct"/>
            <w:gridSpan w:val="4"/>
            <w:tcBorders>
              <w:bottom w:val="single" w:sz="4" w:space="0" w:color="auto"/>
            </w:tcBorders>
            <w:shd w:val="clear" w:color="auto" w:fill="auto"/>
            <w:vAlign w:val="center"/>
          </w:tcPr>
          <w:p w14:paraId="3EDADAC2" w14:textId="3877618C" w:rsidR="00D94E6B" w:rsidRPr="004B788D" w:rsidRDefault="004D0DE9" w:rsidP="000B1A7B">
            <w:pPr>
              <w:pStyle w:val="Caption"/>
              <w:spacing w:after="0"/>
            </w:pPr>
            <w:bookmarkStart w:id="161" w:name="_Ref88224810"/>
            <w:bookmarkStart w:id="162" w:name="_Ref57142326"/>
            <w:r w:rsidRPr="004B788D">
              <w:t>Table B</w:t>
            </w:r>
            <w:fldSimple w:instr=" SEQ Table_B \* ARABIC ">
              <w:r w:rsidR="00FD64B0">
                <w:rPr>
                  <w:noProof/>
                </w:rPr>
                <w:t>14</w:t>
              </w:r>
            </w:fldSimple>
            <w:bookmarkEnd w:id="161"/>
            <w:r w:rsidR="00D10290" w:rsidRPr="004B788D">
              <w:t xml:space="preserve"> -</w:t>
            </w:r>
            <w:r w:rsidR="00D94E6B" w:rsidRPr="004B788D">
              <w:t xml:space="preserve"> Environmental risk matrix</w:t>
            </w:r>
            <w:bookmarkEnd w:id="162"/>
          </w:p>
        </w:tc>
      </w:tr>
      <w:tr w:rsidR="00D10290" w:rsidRPr="00D10290" w14:paraId="2BE76023" w14:textId="77777777" w:rsidTr="00D94E6B">
        <w:trPr>
          <w:trHeight w:val="244"/>
          <w:jc w:val="center"/>
        </w:trPr>
        <w:tc>
          <w:tcPr>
            <w:tcW w:w="2622" w:type="pct"/>
            <w:tcBorders>
              <w:top w:val="single" w:sz="4" w:space="0" w:color="auto"/>
              <w:left w:val="single" w:sz="4" w:space="0" w:color="auto"/>
              <w:bottom w:val="single" w:sz="4" w:space="0" w:color="auto"/>
              <w:right w:val="single" w:sz="4" w:space="0" w:color="auto"/>
            </w:tcBorders>
            <w:shd w:val="clear" w:color="auto" w:fill="003F72"/>
            <w:vAlign w:val="center"/>
            <w:hideMark/>
          </w:tcPr>
          <w:p w14:paraId="59ACEAA2" w14:textId="77777777" w:rsidR="000A64E4" w:rsidRPr="00F75A6B" w:rsidRDefault="000A64E4" w:rsidP="000B1A7B">
            <w:pPr>
              <w:pStyle w:val="Tabletext0"/>
              <w:spacing w:after="0"/>
            </w:pPr>
            <w:r w:rsidRPr="00F75A6B">
              <w:t>Environmental value</w:t>
            </w:r>
          </w:p>
        </w:tc>
        <w:tc>
          <w:tcPr>
            <w:tcW w:w="754" w:type="pct"/>
            <w:tcBorders>
              <w:top w:val="single" w:sz="4" w:space="0" w:color="auto"/>
              <w:left w:val="nil"/>
              <w:bottom w:val="single" w:sz="4" w:space="0" w:color="auto"/>
              <w:right w:val="single" w:sz="4" w:space="0" w:color="auto"/>
            </w:tcBorders>
            <w:shd w:val="clear" w:color="auto" w:fill="003F72"/>
            <w:vAlign w:val="center"/>
            <w:hideMark/>
          </w:tcPr>
          <w:p w14:paraId="59B23FE9" w14:textId="77777777" w:rsidR="000A64E4" w:rsidRPr="00F75A6B" w:rsidRDefault="000A64E4" w:rsidP="000B1A7B">
            <w:pPr>
              <w:pStyle w:val="Tabletext0"/>
              <w:spacing w:after="0"/>
            </w:pPr>
            <w:r w:rsidRPr="00F75A6B">
              <w:t>Likelihood</w:t>
            </w:r>
          </w:p>
        </w:tc>
        <w:tc>
          <w:tcPr>
            <w:tcW w:w="955" w:type="pct"/>
            <w:tcBorders>
              <w:top w:val="single" w:sz="4" w:space="0" w:color="auto"/>
              <w:left w:val="nil"/>
              <w:bottom w:val="single" w:sz="4" w:space="0" w:color="auto"/>
              <w:right w:val="single" w:sz="4" w:space="0" w:color="auto"/>
            </w:tcBorders>
            <w:shd w:val="clear" w:color="auto" w:fill="003F72"/>
            <w:vAlign w:val="center"/>
            <w:hideMark/>
          </w:tcPr>
          <w:p w14:paraId="264ABF8A" w14:textId="77777777" w:rsidR="000A64E4" w:rsidRPr="00F75A6B" w:rsidRDefault="000A64E4" w:rsidP="000B1A7B">
            <w:pPr>
              <w:pStyle w:val="Tabletext0"/>
              <w:spacing w:after="0"/>
            </w:pPr>
            <w:r w:rsidRPr="00F75A6B">
              <w:t>Consequence</w:t>
            </w:r>
          </w:p>
        </w:tc>
        <w:tc>
          <w:tcPr>
            <w:tcW w:w="669" w:type="pct"/>
            <w:tcBorders>
              <w:top w:val="single" w:sz="4" w:space="0" w:color="auto"/>
              <w:left w:val="nil"/>
              <w:bottom w:val="single" w:sz="4" w:space="0" w:color="auto"/>
              <w:right w:val="single" w:sz="4" w:space="0" w:color="auto"/>
            </w:tcBorders>
            <w:shd w:val="clear" w:color="auto" w:fill="003F72"/>
            <w:vAlign w:val="center"/>
            <w:hideMark/>
          </w:tcPr>
          <w:p w14:paraId="1CA2C835" w14:textId="77777777" w:rsidR="000A64E4" w:rsidRPr="00F75A6B" w:rsidRDefault="000A64E4" w:rsidP="000B1A7B">
            <w:pPr>
              <w:pStyle w:val="Tabletext0"/>
              <w:spacing w:after="0"/>
            </w:pPr>
            <w:r w:rsidRPr="00F75A6B">
              <w:t>Risk</w:t>
            </w:r>
          </w:p>
        </w:tc>
      </w:tr>
      <w:tr w:rsidR="000A64E4" w:rsidRPr="00D10290" w14:paraId="406702E5"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665FF21C" w14:textId="77777777" w:rsidR="000A64E4" w:rsidRPr="00F75A6B" w:rsidRDefault="000A64E4" w:rsidP="000B1A7B">
            <w:pPr>
              <w:pStyle w:val="Tabletext0"/>
              <w:spacing w:after="0"/>
            </w:pPr>
            <w:r w:rsidRPr="00F75A6B">
              <w:t>Ephemeral stream habitat</w:t>
            </w:r>
          </w:p>
        </w:tc>
        <w:tc>
          <w:tcPr>
            <w:tcW w:w="754" w:type="pct"/>
            <w:tcBorders>
              <w:top w:val="nil"/>
              <w:left w:val="nil"/>
              <w:bottom w:val="single" w:sz="4" w:space="0" w:color="auto"/>
              <w:right w:val="single" w:sz="4" w:space="0" w:color="auto"/>
            </w:tcBorders>
            <w:shd w:val="clear" w:color="auto" w:fill="FFFFFF"/>
            <w:noWrap/>
            <w:vAlign w:val="center"/>
            <w:hideMark/>
          </w:tcPr>
          <w:p w14:paraId="09D7FC62" w14:textId="77777777" w:rsidR="000A64E4" w:rsidRPr="00F75A6B" w:rsidRDefault="000A64E4" w:rsidP="000B1A7B">
            <w:pPr>
              <w:pStyle w:val="Tabletext0"/>
              <w:spacing w:after="0"/>
            </w:pPr>
            <w:r w:rsidRPr="00F75A6B">
              <w:t>Likely</w:t>
            </w:r>
          </w:p>
        </w:tc>
        <w:tc>
          <w:tcPr>
            <w:tcW w:w="955" w:type="pct"/>
            <w:tcBorders>
              <w:top w:val="nil"/>
              <w:left w:val="nil"/>
              <w:bottom w:val="single" w:sz="4" w:space="0" w:color="auto"/>
              <w:right w:val="single" w:sz="4" w:space="0" w:color="auto"/>
            </w:tcBorders>
            <w:shd w:val="clear" w:color="auto" w:fill="FFFFFF"/>
            <w:noWrap/>
            <w:vAlign w:val="center"/>
            <w:hideMark/>
          </w:tcPr>
          <w:p w14:paraId="3DF9F7C5" w14:textId="77777777" w:rsidR="000A64E4" w:rsidRPr="00F75A6B" w:rsidRDefault="000A64E4" w:rsidP="000B1A7B">
            <w:pPr>
              <w:pStyle w:val="Tabletext0"/>
              <w:spacing w:after="0"/>
            </w:pPr>
            <w:r w:rsidRPr="00F75A6B">
              <w:t>Moderate</w:t>
            </w:r>
          </w:p>
        </w:tc>
        <w:tc>
          <w:tcPr>
            <w:tcW w:w="669" w:type="pct"/>
            <w:tcBorders>
              <w:top w:val="single" w:sz="4" w:space="0" w:color="auto"/>
              <w:left w:val="nil"/>
              <w:bottom w:val="single" w:sz="4" w:space="0" w:color="auto"/>
              <w:right w:val="single" w:sz="4" w:space="0" w:color="auto"/>
            </w:tcBorders>
            <w:shd w:val="clear" w:color="auto" w:fill="FF6600"/>
            <w:noWrap/>
            <w:vAlign w:val="center"/>
            <w:hideMark/>
          </w:tcPr>
          <w:p w14:paraId="39A314F0" w14:textId="77777777" w:rsidR="000A64E4" w:rsidRPr="00F75A6B" w:rsidRDefault="000A64E4" w:rsidP="000B1A7B">
            <w:pPr>
              <w:pStyle w:val="Tabletext0"/>
              <w:spacing w:after="0"/>
            </w:pPr>
            <w:r w:rsidRPr="00F75A6B">
              <w:t>High</w:t>
            </w:r>
          </w:p>
        </w:tc>
      </w:tr>
      <w:tr w:rsidR="000A64E4" w:rsidRPr="00D10290" w14:paraId="51525120"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4AE6DE83" w14:textId="77777777" w:rsidR="000A64E4" w:rsidRPr="00F75A6B" w:rsidRDefault="000A64E4" w:rsidP="000B1A7B">
            <w:pPr>
              <w:pStyle w:val="Tabletext0"/>
              <w:spacing w:after="0"/>
            </w:pPr>
            <w:r w:rsidRPr="00F75A6B">
              <w:t>Appearance of plant and algae communities</w:t>
            </w:r>
          </w:p>
        </w:tc>
        <w:tc>
          <w:tcPr>
            <w:tcW w:w="754" w:type="pct"/>
            <w:tcBorders>
              <w:top w:val="nil"/>
              <w:left w:val="nil"/>
              <w:bottom w:val="single" w:sz="4" w:space="0" w:color="auto"/>
              <w:right w:val="single" w:sz="4" w:space="0" w:color="auto"/>
            </w:tcBorders>
            <w:shd w:val="clear" w:color="auto" w:fill="FFFFFF"/>
            <w:noWrap/>
            <w:vAlign w:val="center"/>
            <w:hideMark/>
          </w:tcPr>
          <w:p w14:paraId="15F320D5"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2B3F4BAB" w14:textId="77777777" w:rsidR="000A64E4" w:rsidRPr="00F75A6B" w:rsidRDefault="000A64E4" w:rsidP="000B1A7B">
            <w:pPr>
              <w:pStyle w:val="Tabletext0"/>
              <w:spacing w:after="0"/>
            </w:pPr>
            <w:r w:rsidRPr="00F75A6B">
              <w:t>Minor</w:t>
            </w:r>
          </w:p>
        </w:tc>
        <w:tc>
          <w:tcPr>
            <w:tcW w:w="669" w:type="pct"/>
            <w:tcBorders>
              <w:top w:val="single" w:sz="4" w:space="0" w:color="auto"/>
              <w:left w:val="nil"/>
              <w:bottom w:val="single" w:sz="4" w:space="0" w:color="auto"/>
              <w:right w:val="single" w:sz="4" w:space="0" w:color="auto"/>
            </w:tcBorders>
            <w:shd w:val="clear" w:color="auto" w:fill="FFCC00"/>
            <w:noWrap/>
            <w:vAlign w:val="center"/>
            <w:hideMark/>
          </w:tcPr>
          <w:p w14:paraId="3646B31E" w14:textId="77777777" w:rsidR="000A64E4" w:rsidRPr="00F75A6B" w:rsidRDefault="000A64E4" w:rsidP="000B1A7B">
            <w:pPr>
              <w:pStyle w:val="Tabletext0"/>
              <w:spacing w:after="0"/>
            </w:pPr>
            <w:r w:rsidRPr="00F75A6B">
              <w:t>Medium</w:t>
            </w:r>
          </w:p>
        </w:tc>
      </w:tr>
      <w:tr w:rsidR="000A64E4" w:rsidRPr="00D10290" w14:paraId="0E7E6C3A"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5DFF208D" w14:textId="77777777" w:rsidR="000A64E4" w:rsidRPr="00F75A6B" w:rsidRDefault="000A64E4" w:rsidP="000B1A7B">
            <w:pPr>
              <w:pStyle w:val="Tabletext0"/>
              <w:spacing w:after="0"/>
            </w:pPr>
            <w:r w:rsidRPr="00F75A6B">
              <w:t>Macroinvertebrate communities</w:t>
            </w:r>
          </w:p>
        </w:tc>
        <w:tc>
          <w:tcPr>
            <w:tcW w:w="754" w:type="pct"/>
            <w:tcBorders>
              <w:top w:val="nil"/>
              <w:left w:val="nil"/>
              <w:bottom w:val="single" w:sz="4" w:space="0" w:color="auto"/>
              <w:right w:val="single" w:sz="4" w:space="0" w:color="auto"/>
            </w:tcBorders>
            <w:shd w:val="clear" w:color="auto" w:fill="FFFFFF"/>
            <w:noWrap/>
            <w:vAlign w:val="center"/>
            <w:hideMark/>
          </w:tcPr>
          <w:p w14:paraId="1F909897"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093AAAC1" w14:textId="77777777" w:rsidR="000A64E4" w:rsidRPr="00F75A6B" w:rsidRDefault="000A64E4" w:rsidP="000B1A7B">
            <w:pPr>
              <w:pStyle w:val="Tabletext0"/>
              <w:spacing w:after="0"/>
            </w:pPr>
            <w:r w:rsidRPr="00F75A6B">
              <w:t>Minor</w:t>
            </w:r>
          </w:p>
        </w:tc>
        <w:tc>
          <w:tcPr>
            <w:tcW w:w="669" w:type="pct"/>
            <w:tcBorders>
              <w:top w:val="single" w:sz="4" w:space="0" w:color="auto"/>
              <w:left w:val="nil"/>
              <w:bottom w:val="single" w:sz="4" w:space="0" w:color="auto"/>
              <w:right w:val="single" w:sz="4" w:space="0" w:color="auto"/>
            </w:tcBorders>
            <w:shd w:val="clear" w:color="auto" w:fill="FFCC00"/>
            <w:noWrap/>
            <w:vAlign w:val="center"/>
            <w:hideMark/>
          </w:tcPr>
          <w:p w14:paraId="2AB5760C" w14:textId="77777777" w:rsidR="000A64E4" w:rsidRPr="00F75A6B" w:rsidRDefault="000A64E4" w:rsidP="000B1A7B">
            <w:pPr>
              <w:pStyle w:val="Tabletext0"/>
              <w:spacing w:after="0"/>
            </w:pPr>
            <w:r w:rsidRPr="00F75A6B">
              <w:t>Medium</w:t>
            </w:r>
          </w:p>
        </w:tc>
      </w:tr>
      <w:tr w:rsidR="000A64E4" w:rsidRPr="00D10290" w14:paraId="7F682A28"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230A9396" w14:textId="77777777" w:rsidR="000A64E4" w:rsidRPr="00F75A6B" w:rsidRDefault="000A64E4" w:rsidP="000B1A7B">
            <w:pPr>
              <w:pStyle w:val="Tabletext0"/>
              <w:spacing w:after="0"/>
            </w:pPr>
            <w:r w:rsidRPr="00F75A6B">
              <w:t>Native fish populations</w:t>
            </w:r>
          </w:p>
        </w:tc>
        <w:tc>
          <w:tcPr>
            <w:tcW w:w="754" w:type="pct"/>
            <w:tcBorders>
              <w:top w:val="nil"/>
              <w:left w:val="nil"/>
              <w:bottom w:val="single" w:sz="4" w:space="0" w:color="auto"/>
              <w:right w:val="single" w:sz="4" w:space="0" w:color="auto"/>
            </w:tcBorders>
            <w:shd w:val="clear" w:color="auto" w:fill="FFFFFF"/>
            <w:noWrap/>
            <w:vAlign w:val="center"/>
            <w:hideMark/>
          </w:tcPr>
          <w:p w14:paraId="67CCA2E7"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309267B6" w14:textId="77777777" w:rsidR="000A64E4" w:rsidRPr="00F75A6B" w:rsidRDefault="000A64E4" w:rsidP="000B1A7B">
            <w:pPr>
              <w:pStyle w:val="Tabletext0"/>
              <w:spacing w:after="0"/>
            </w:pPr>
            <w:r w:rsidRPr="00F75A6B">
              <w:t>Negligible</w:t>
            </w:r>
          </w:p>
        </w:tc>
        <w:tc>
          <w:tcPr>
            <w:tcW w:w="669" w:type="pct"/>
            <w:tcBorders>
              <w:top w:val="single" w:sz="4" w:space="0" w:color="auto"/>
              <w:left w:val="nil"/>
              <w:bottom w:val="single" w:sz="4" w:space="0" w:color="auto"/>
              <w:right w:val="single" w:sz="4" w:space="0" w:color="auto"/>
            </w:tcBorders>
            <w:shd w:val="clear" w:color="auto" w:fill="FFFF00"/>
            <w:noWrap/>
            <w:vAlign w:val="center"/>
            <w:hideMark/>
          </w:tcPr>
          <w:p w14:paraId="7BA18B41" w14:textId="77777777" w:rsidR="000A64E4" w:rsidRPr="00F75A6B" w:rsidRDefault="000A64E4" w:rsidP="000B1A7B">
            <w:pPr>
              <w:pStyle w:val="Tabletext0"/>
              <w:spacing w:after="0"/>
            </w:pPr>
            <w:r w:rsidRPr="00F75A6B">
              <w:t>Low</w:t>
            </w:r>
          </w:p>
        </w:tc>
      </w:tr>
    </w:tbl>
    <w:p w14:paraId="34F61618" w14:textId="03934FB5" w:rsidR="00D10290" w:rsidRDefault="00D10290">
      <w:pPr>
        <w:spacing w:after="0"/>
      </w:pPr>
    </w:p>
    <w:p w14:paraId="24211FC2" w14:textId="73439079" w:rsidR="00FD121E" w:rsidRPr="00CF5BE4" w:rsidRDefault="00FD121E" w:rsidP="00AA7232">
      <w:pPr>
        <w:pStyle w:val="Heading4"/>
        <w:rPr>
          <w:rFonts w:cs="Arial"/>
        </w:rPr>
      </w:pPr>
      <w:r w:rsidRPr="00CF5BE4">
        <w:lastRenderedPageBreak/>
        <w:t>Risk characterisation and management</w:t>
      </w:r>
    </w:p>
    <w:p w14:paraId="565264D8" w14:textId="73F54A43" w:rsidR="000A64E4" w:rsidRPr="00C01F65" w:rsidRDefault="000A64E4" w:rsidP="000A64E4">
      <w:pPr>
        <w:spacing w:line="259" w:lineRule="auto"/>
        <w:rPr>
          <w:rFonts w:cs="Arial"/>
        </w:rPr>
      </w:pPr>
      <w:r w:rsidRPr="00C01F65">
        <w:rPr>
          <w:rFonts w:cs="Arial"/>
        </w:rPr>
        <w:t>The risk ratings assigned to each of the environmental values (</w:t>
      </w:r>
      <w:r w:rsidR="00450B9F" w:rsidRPr="00450B9F">
        <w:rPr>
          <w:rFonts w:cs="Arial"/>
        </w:rPr>
        <w:fldChar w:fldCharType="begin"/>
      </w:r>
      <w:r w:rsidR="00450B9F" w:rsidRPr="00450B9F">
        <w:rPr>
          <w:rFonts w:cs="Arial"/>
        </w:rPr>
        <w:instrText xml:space="preserve"> REF _Ref88224810 \h  \* MERGEFORMAT </w:instrText>
      </w:r>
      <w:r w:rsidR="00450B9F" w:rsidRPr="00450B9F">
        <w:rPr>
          <w:rFonts w:cs="Arial"/>
        </w:rPr>
      </w:r>
      <w:r w:rsidR="00450B9F" w:rsidRPr="00450B9F">
        <w:rPr>
          <w:rFonts w:cs="Arial"/>
        </w:rPr>
        <w:fldChar w:fldCharType="separate"/>
      </w:r>
      <w:r w:rsidR="00FD64B0" w:rsidRPr="004B788D">
        <w:t>Table B</w:t>
      </w:r>
      <w:r w:rsidR="00FD64B0">
        <w:t>14</w:t>
      </w:r>
      <w:r w:rsidR="00450B9F" w:rsidRPr="00450B9F">
        <w:rPr>
          <w:rFonts w:cs="Arial"/>
        </w:rPr>
        <w:fldChar w:fldCharType="end"/>
      </w:r>
      <w:r w:rsidRPr="00C01F65">
        <w:rPr>
          <w:rFonts w:cs="Arial"/>
        </w:rPr>
        <w:t xml:space="preserve">) </w:t>
      </w:r>
      <w:bookmarkStart w:id="163" w:name="_Int_6ClSws3/"/>
      <w:r w:rsidRPr="00C01F65">
        <w:rPr>
          <w:rFonts w:cs="Arial"/>
        </w:rPr>
        <w:t>were</w:t>
      </w:r>
      <w:bookmarkEnd w:id="163"/>
      <w:r w:rsidRPr="00C01F65">
        <w:rPr>
          <w:rFonts w:cs="Arial"/>
        </w:rPr>
        <w:t xml:space="preserve"> used to assign priority for risk investigation and management. </w:t>
      </w:r>
    </w:p>
    <w:p w14:paraId="69AAA9BA" w14:textId="77777777" w:rsidR="000A64E4" w:rsidRPr="00C01F65" w:rsidRDefault="000A64E4" w:rsidP="000A64E4">
      <w:pPr>
        <w:spacing w:line="259" w:lineRule="auto"/>
        <w:rPr>
          <w:rFonts w:cs="Arial"/>
        </w:rPr>
      </w:pPr>
      <w:r w:rsidRPr="00C01F65">
        <w:rPr>
          <w:rFonts w:cs="Arial"/>
        </w:rPr>
        <w:t>The key risks to environmental values are outlined below:</w:t>
      </w:r>
    </w:p>
    <w:p w14:paraId="533E3F60" w14:textId="77777777" w:rsidR="000A64E4" w:rsidRPr="00C01F65" w:rsidRDefault="000A64E4" w:rsidP="00C72B13">
      <w:pPr>
        <w:pStyle w:val="ListBullet"/>
      </w:pPr>
      <w:r w:rsidRPr="00C01F65">
        <w:t>Elevated nitrogen and phosphorus concentrations in the discharge are likely to increase changes to ephemeral stream habitat, which could possibly impact aquatic organisms.</w:t>
      </w:r>
    </w:p>
    <w:p w14:paraId="16123AEA" w14:textId="77777777" w:rsidR="000A64E4" w:rsidRPr="00C01F65" w:rsidRDefault="000A64E4" w:rsidP="00C72B13">
      <w:pPr>
        <w:pStyle w:val="ListBullet"/>
      </w:pPr>
      <w:r w:rsidRPr="00C01F65">
        <w:t>Elevated nitrogen and phosphorus concentrations in the discharge could possibly contribute to algal blooms and impact the appearance of plant and algae communities.</w:t>
      </w:r>
    </w:p>
    <w:p w14:paraId="546AF235" w14:textId="77777777" w:rsidR="000A64E4" w:rsidRPr="00C01F65" w:rsidRDefault="000A64E4" w:rsidP="00C72B13">
      <w:pPr>
        <w:pStyle w:val="ListBullet"/>
      </w:pPr>
      <w:r w:rsidRPr="00C01F65">
        <w:t>A direct impact to macroinvertebrate communities was determined to be unlikely, but it is recognised that the discharge could possibly stimulate changes to macroinvertebrate habitat through nutrient enrichment.</w:t>
      </w:r>
    </w:p>
    <w:p w14:paraId="52598BC7" w14:textId="28719F4C" w:rsidR="000A64E4" w:rsidRPr="00F21050" w:rsidRDefault="000A64E4" w:rsidP="00C72B13">
      <w:pPr>
        <w:pStyle w:val="ListBullet"/>
      </w:pPr>
      <w:r w:rsidRPr="00C01F65">
        <w:t>Ammonia concentrations meet ANZG protection levels for ammonia toxicity in Reedy Creek</w:t>
      </w:r>
      <w:r>
        <w:t xml:space="preserve"> where fish might be present</w:t>
      </w:r>
      <w:r w:rsidRPr="00C01F65">
        <w:t>. However, it is recognised that under exceptional conditions, native fish populations could be impacted by ammonia toxicity.</w:t>
      </w:r>
    </w:p>
    <w:p w14:paraId="48307ABB" w14:textId="29F8E819" w:rsidR="00375013" w:rsidRPr="00C01F65" w:rsidRDefault="000A64E4" w:rsidP="00290AA4">
      <w:pPr>
        <w:spacing w:after="0"/>
        <w:rPr>
          <w:rFonts w:cs="Arial"/>
        </w:rPr>
      </w:pPr>
      <w:r w:rsidRPr="00C01F65">
        <w:rPr>
          <w:rFonts w:cs="Arial"/>
        </w:rPr>
        <w:t>An uncertainty analysis was conducted to recognise the limitations of data collection and assessment endpoints. These limitations included: insufficient nutrient data, unsuitable monitoring sites and unsuitability of ERS objective application to the study area.</w:t>
      </w:r>
      <w:r w:rsidR="0093500E">
        <w:rPr>
          <w:rFonts w:cs="Arial"/>
        </w:rPr>
        <w:t xml:space="preserve"> </w:t>
      </w:r>
      <w:r w:rsidRPr="00C01F65">
        <w:rPr>
          <w:rFonts w:cs="Arial"/>
        </w:rPr>
        <w:t>Monitoring and assessment</w:t>
      </w:r>
      <w:r w:rsidR="008D3942">
        <w:rPr>
          <w:rFonts w:cs="Arial"/>
        </w:rPr>
        <w:t xml:space="preserve"> </w:t>
      </w:r>
      <w:r w:rsidR="008D3942" w:rsidRPr="00C01F65">
        <w:rPr>
          <w:rFonts w:cs="Arial"/>
        </w:rPr>
        <w:t xml:space="preserve">programs were developed to address these uncertainties. </w:t>
      </w:r>
      <w:r w:rsidR="008D3942" w:rsidRPr="00C01F65">
        <w:rPr>
          <w:rFonts w:cs="Arial"/>
          <w:lang w:val="en-US"/>
        </w:rPr>
        <w:t xml:space="preserve">The broad objective of the programs was to eliminate uncertainties prior to risk management. </w:t>
      </w:r>
      <w:r w:rsidR="008D3942" w:rsidRPr="00C01F65">
        <w:rPr>
          <w:rFonts w:cs="Arial"/>
        </w:rPr>
        <w:t xml:space="preserve">The monitoring </w:t>
      </w:r>
      <w:r w:rsidR="0093500E">
        <w:rPr>
          <w:rFonts w:cs="Arial"/>
        </w:rPr>
        <w:t xml:space="preserve">and assessment </w:t>
      </w:r>
      <w:r w:rsidR="008D3942" w:rsidRPr="00C01F65">
        <w:rPr>
          <w:rFonts w:cs="Arial"/>
        </w:rPr>
        <w:t>program</w:t>
      </w:r>
      <w:r w:rsidR="0093500E">
        <w:rPr>
          <w:rFonts w:cs="Arial"/>
        </w:rPr>
        <w:t>s</w:t>
      </w:r>
      <w:r w:rsidR="008D3942" w:rsidRPr="00C01F65">
        <w:rPr>
          <w:rFonts w:cs="Arial"/>
        </w:rPr>
        <w:t xml:space="preserve"> were </w:t>
      </w:r>
      <w:r w:rsidR="00661EDD" w:rsidRPr="00C01F65">
        <w:rPr>
          <w:rFonts w:cs="Arial"/>
        </w:rPr>
        <w:t xml:space="preserve">implemented to specifically target at-risk environmental values </w:t>
      </w:r>
      <w:r w:rsidR="00290AA4">
        <w:rPr>
          <w:rFonts w:cs="Arial"/>
        </w:rPr>
        <w:t xml:space="preserve">and </w:t>
      </w:r>
      <w:r w:rsidR="008D3942" w:rsidRPr="00C01F65">
        <w:rPr>
          <w:rFonts w:cs="Arial"/>
        </w:rPr>
        <w:t>conducted in parallel with continued effluent management options analysis at the Beechworth WWTP.</w:t>
      </w:r>
      <w:r w:rsidR="00290AA4">
        <w:rPr>
          <w:rFonts w:cs="Arial"/>
        </w:rPr>
        <w:t xml:space="preserve"> </w:t>
      </w:r>
      <w:r w:rsidR="008D3942" w:rsidRPr="00C01F65">
        <w:rPr>
          <w:rFonts w:cs="Arial"/>
        </w:rPr>
        <w:t xml:space="preserve">The programs were assessed against measurable endpoints prior to NE Water commitment to management decisions. </w:t>
      </w:r>
    </w:p>
    <w:p w14:paraId="2A025598" w14:textId="06E122B7" w:rsidR="008D3942" w:rsidRPr="00C01F65" w:rsidRDefault="008D3942" w:rsidP="008D3942">
      <w:pPr>
        <w:spacing w:line="259" w:lineRule="auto"/>
        <w:rPr>
          <w:rFonts w:cs="Arial"/>
        </w:rPr>
      </w:pPr>
      <w:r w:rsidRPr="00C01F65">
        <w:rPr>
          <w:rFonts w:cs="Arial"/>
        </w:rPr>
        <w:t xml:space="preserve">A </w:t>
      </w:r>
      <w:r>
        <w:rPr>
          <w:rFonts w:cs="Arial"/>
        </w:rPr>
        <w:t>r</w:t>
      </w:r>
      <w:r w:rsidRPr="00C01F65">
        <w:rPr>
          <w:rFonts w:cs="Arial"/>
        </w:rPr>
        <w:t xml:space="preserve">isk </w:t>
      </w:r>
      <w:r>
        <w:rPr>
          <w:rFonts w:cs="Arial"/>
        </w:rPr>
        <w:t>m</w:t>
      </w:r>
      <w:r w:rsidRPr="00C01F65">
        <w:rPr>
          <w:rFonts w:cs="Arial"/>
        </w:rPr>
        <w:t xml:space="preserve">anagement </w:t>
      </w:r>
      <w:r>
        <w:rPr>
          <w:rFonts w:cs="Arial"/>
        </w:rPr>
        <w:t>p</w:t>
      </w:r>
      <w:r w:rsidRPr="00C01F65">
        <w:rPr>
          <w:rFonts w:cs="Arial"/>
        </w:rPr>
        <w:t>lan was developed for Beechworth WWTP. The plan included:</w:t>
      </w:r>
    </w:p>
    <w:p w14:paraId="5EBBDF4B" w14:textId="77777777" w:rsidR="008D3942" w:rsidRPr="00C01F65" w:rsidRDefault="008D3942" w:rsidP="00C72B13">
      <w:pPr>
        <w:pStyle w:val="ListBullet"/>
      </w:pPr>
      <w:r w:rsidRPr="00C01F65">
        <w:t>risk assessment outcome</w:t>
      </w:r>
    </w:p>
    <w:p w14:paraId="687236B5" w14:textId="77777777" w:rsidR="008D3942" w:rsidRPr="00C01F65" w:rsidRDefault="008D3942" w:rsidP="00C72B13">
      <w:pPr>
        <w:pStyle w:val="ListBullet"/>
      </w:pPr>
      <w:r w:rsidRPr="00C01F65">
        <w:t>management targets and objectives</w:t>
      </w:r>
    </w:p>
    <w:p w14:paraId="00A99E44" w14:textId="77777777" w:rsidR="008D3942" w:rsidRPr="00C01F65" w:rsidRDefault="008D3942" w:rsidP="00C72B13">
      <w:pPr>
        <w:pStyle w:val="ListBullet"/>
      </w:pPr>
      <w:r w:rsidRPr="00C01F65">
        <w:t>effluent management and plant upgrade options for risk mitigation</w:t>
      </w:r>
    </w:p>
    <w:p w14:paraId="78CA9B7C" w14:textId="7105A29A" w:rsidR="008D3942" w:rsidRPr="00F21050" w:rsidRDefault="008D3942" w:rsidP="00C72B13">
      <w:pPr>
        <w:pStyle w:val="ListBullet"/>
      </w:pPr>
      <w:r w:rsidRPr="00C01F65">
        <w:t>risk mitigation timeframe.</w:t>
      </w:r>
    </w:p>
    <w:p w14:paraId="0FBBDF1D" w14:textId="77777777" w:rsidR="008D3942" w:rsidRDefault="008D3942" w:rsidP="008D3942">
      <w:pPr>
        <w:spacing w:line="259" w:lineRule="auto"/>
        <w:rPr>
          <w:rFonts w:cs="Arial"/>
        </w:rPr>
      </w:pPr>
      <w:r w:rsidRPr="00C01F65">
        <w:rPr>
          <w:rFonts w:cs="Arial"/>
        </w:rPr>
        <w:t xml:space="preserve">The </w:t>
      </w:r>
      <w:r>
        <w:rPr>
          <w:rFonts w:cs="Arial"/>
        </w:rPr>
        <w:t>r</w:t>
      </w:r>
      <w:r w:rsidRPr="00C01F65">
        <w:rPr>
          <w:rFonts w:cs="Arial"/>
        </w:rPr>
        <w:t xml:space="preserve">isk </w:t>
      </w:r>
      <w:r>
        <w:rPr>
          <w:rFonts w:cs="Arial"/>
        </w:rPr>
        <w:t>m</w:t>
      </w:r>
      <w:r w:rsidRPr="00C01F65">
        <w:rPr>
          <w:rFonts w:cs="Arial"/>
        </w:rPr>
        <w:t xml:space="preserve">anagement </w:t>
      </w:r>
      <w:r>
        <w:rPr>
          <w:rFonts w:cs="Arial"/>
        </w:rPr>
        <w:t>p</w:t>
      </w:r>
      <w:r w:rsidRPr="00C01F65">
        <w:rPr>
          <w:rFonts w:cs="Arial"/>
        </w:rPr>
        <w:t>lan was submitted to EPA after the completion of monitoring programs. The plan provide</w:t>
      </w:r>
      <w:r>
        <w:rPr>
          <w:rFonts w:cs="Arial"/>
        </w:rPr>
        <w:t>d</w:t>
      </w:r>
      <w:r w:rsidRPr="00C01F65">
        <w:rPr>
          <w:rFonts w:cs="Arial"/>
        </w:rPr>
        <w:t xml:space="preserve"> NE Water and EPA with a robust risk assessment and the required mechanisms to manage risks to environmental values through effluent management and plant upgrade options.</w:t>
      </w:r>
      <w:r>
        <w:rPr>
          <w:rFonts w:cs="Arial"/>
        </w:rPr>
        <w:t xml:space="preserve"> </w:t>
      </w:r>
    </w:p>
    <w:p w14:paraId="6AE60CD3" w14:textId="0DCB1650" w:rsidR="008D3942" w:rsidRDefault="008D3942" w:rsidP="008D3942">
      <w:r>
        <w:t>Since the first publication of this</w:t>
      </w:r>
      <w:r w:rsidR="00FE2079">
        <w:t xml:space="preserve"> </w:t>
      </w:r>
      <w:r>
        <w:t xml:space="preserve">guidance </w:t>
      </w:r>
      <w:r>
        <w:rPr>
          <w:rFonts w:cs="Arial"/>
        </w:rPr>
        <w:t xml:space="preserve">in 2009, </w:t>
      </w:r>
      <w:r>
        <w:t xml:space="preserve">the Beechworth WWTP risk assessment </w:t>
      </w:r>
      <w:r>
        <w:rPr>
          <w:rFonts w:cs="Arial"/>
        </w:rPr>
        <w:t xml:space="preserve">delivered key outcomes, including, </w:t>
      </w:r>
      <w:r>
        <w:t>a</w:t>
      </w:r>
      <w:r w:rsidRPr="0044047E">
        <w:t xml:space="preserve">n informed process improvement </w:t>
      </w:r>
      <w:r>
        <w:t>(</w:t>
      </w:r>
      <w:r w:rsidRPr="0044047E">
        <w:t>fixed media nitrogen reduction</w:t>
      </w:r>
      <w:r>
        <w:t>) and</w:t>
      </w:r>
      <w:r>
        <w:rPr>
          <w:rFonts w:ascii="Calibri" w:hAnsi="Calibri"/>
        </w:rPr>
        <w:t xml:space="preserve"> </w:t>
      </w:r>
      <w:r w:rsidRPr="00DF7AC3">
        <w:t>an informed licence amendment</w:t>
      </w:r>
      <w:r>
        <w:t>.</w:t>
      </w:r>
      <w:r>
        <w:rPr>
          <w:rFonts w:ascii="Calibri" w:hAnsi="Calibri"/>
        </w:rPr>
        <w:t xml:space="preserve"> </w:t>
      </w:r>
      <w:r>
        <w:t xml:space="preserve">NE Water has reviewed the </w:t>
      </w:r>
      <w:r w:rsidRPr="001967F0">
        <w:rPr>
          <w:rFonts w:cs="Arial"/>
        </w:rPr>
        <w:t xml:space="preserve">risk assessment to determine </w:t>
      </w:r>
      <w:r>
        <w:rPr>
          <w:rFonts w:cs="Arial"/>
        </w:rPr>
        <w:t xml:space="preserve">any changes in the </w:t>
      </w:r>
      <w:r w:rsidRPr="001967F0">
        <w:t>risk profile</w:t>
      </w:r>
      <w:r>
        <w:t xml:space="preserve"> and undertaken </w:t>
      </w:r>
      <w:r w:rsidRPr="00147A7D">
        <w:t>ongoing waterway monitoring programs</w:t>
      </w:r>
      <w:r>
        <w:t>. T</w:t>
      </w:r>
      <w:r w:rsidRPr="0044047E">
        <w:t>he Beechworth WWTP (</w:t>
      </w:r>
      <w:r>
        <w:t>and</w:t>
      </w:r>
      <w:r w:rsidRPr="0044047E">
        <w:t xml:space="preserve"> collection system) is currently being upgraded to support growth and to ensure risks are managed</w:t>
      </w:r>
      <w:r>
        <w:t>.</w:t>
      </w:r>
    </w:p>
    <w:p w14:paraId="4F6FE20D" w14:textId="6B6F6F58" w:rsidR="008D3942" w:rsidRPr="00F46C15" w:rsidRDefault="008D3942" w:rsidP="00F46C15">
      <w:pPr>
        <w:pStyle w:val="AppendixA1"/>
      </w:pPr>
      <w:bookmarkStart w:id="164" w:name="_Toc51929035"/>
      <w:bookmarkStart w:id="165" w:name="_Toc87369303"/>
      <w:bookmarkStart w:id="166" w:name="_Toc133938163"/>
      <w:r w:rsidRPr="00F46C15">
        <w:lastRenderedPageBreak/>
        <w:t>Risk assessment for a small wastewater treatment plant</w:t>
      </w:r>
      <w:bookmarkEnd w:id="164"/>
      <w:bookmarkEnd w:id="165"/>
      <w:bookmarkEnd w:id="166"/>
    </w:p>
    <w:p w14:paraId="123FF387" w14:textId="121DD373" w:rsidR="008D3942" w:rsidRPr="00C01F65" w:rsidRDefault="008D3942" w:rsidP="008D3942">
      <w:pPr>
        <w:spacing w:line="259" w:lineRule="auto"/>
        <w:rPr>
          <w:rFonts w:cs="Arial"/>
        </w:rPr>
      </w:pPr>
      <w:r w:rsidRPr="073E3263">
        <w:rPr>
          <w:rFonts w:cs="Arial"/>
        </w:rPr>
        <w:t xml:space="preserve">A small caravan park is applying for a discharge-to-water permission to EPA. The wastewater is from the on-site cabins and shower block facility and contains treated human effluent. Some of the treated water is recycled and used for irrigating the gardens on site, but a small quantity (0.3 ML year) is discharged to a local stream. The treatment process is an aerated lagoon system and chlorine dosing. </w:t>
      </w:r>
    </w:p>
    <w:p w14:paraId="2CA6B318" w14:textId="77777777" w:rsidR="00FD121E" w:rsidRPr="00AA7232" w:rsidRDefault="00FD121E" w:rsidP="00AA7232">
      <w:pPr>
        <w:pStyle w:val="Heading4"/>
      </w:pPr>
      <w:r w:rsidRPr="00AA7232">
        <w:t>Problem formulation</w:t>
      </w:r>
    </w:p>
    <w:p w14:paraId="20CF6F7E" w14:textId="2305EDD2" w:rsidR="008D3942" w:rsidRPr="00C01F65" w:rsidRDefault="008D3942" w:rsidP="008D3942">
      <w:pPr>
        <w:spacing w:line="259" w:lineRule="auto"/>
        <w:rPr>
          <w:rFonts w:cs="Arial"/>
        </w:rPr>
      </w:pPr>
      <w:r w:rsidRPr="00C01F65">
        <w:rPr>
          <w:rFonts w:cs="Arial"/>
        </w:rPr>
        <w:t xml:space="preserve">The focus of the risk assessment was to investigate the potential risks posed by the discharge from the caravan park to the environmental values of the receiving waters. The problem formulation included the identification of the caravan parks’ key management goals. These goals were to protect the </w:t>
      </w:r>
      <w:r>
        <w:rPr>
          <w:rFonts w:cs="Arial"/>
        </w:rPr>
        <w:t>environmental values</w:t>
      </w:r>
      <w:r w:rsidRPr="00C01F65">
        <w:rPr>
          <w:rFonts w:cs="Arial"/>
        </w:rPr>
        <w:t xml:space="preserve"> from discharge impacts through: </w:t>
      </w:r>
    </w:p>
    <w:p w14:paraId="62D15F21" w14:textId="77777777" w:rsidR="008D3942" w:rsidRPr="00C01F65" w:rsidRDefault="008D3942" w:rsidP="00C72B13">
      <w:pPr>
        <w:pStyle w:val="ListBullet"/>
      </w:pPr>
      <w:r w:rsidRPr="00C01F65">
        <w:t xml:space="preserve">identifying the environmental values of the receiving waters </w:t>
      </w:r>
    </w:p>
    <w:p w14:paraId="153B6708" w14:textId="70F24619" w:rsidR="008D3942" w:rsidRPr="00C01F65" w:rsidRDefault="008D3942" w:rsidP="00C72B13">
      <w:pPr>
        <w:pStyle w:val="ListBullet"/>
      </w:pPr>
      <w:r w:rsidRPr="00C01F65">
        <w:t>collating information on the discharge</w:t>
      </w:r>
      <w:r w:rsidR="00A03A38">
        <w:t xml:space="preserve"> </w:t>
      </w:r>
      <w:r w:rsidRPr="00C01F65">
        <w:t>and receiving waters</w:t>
      </w:r>
    </w:p>
    <w:p w14:paraId="22EC62EB" w14:textId="716CD2A0" w:rsidR="008D3942" w:rsidRPr="00C01F65" w:rsidRDefault="008D3942" w:rsidP="00C72B13">
      <w:pPr>
        <w:pStyle w:val="ListBullet"/>
      </w:pPr>
      <w:r w:rsidRPr="00C01F65">
        <w:t xml:space="preserve">identifying the potential </w:t>
      </w:r>
      <w:r w:rsidR="007372BA">
        <w:t>hazard</w:t>
      </w:r>
      <w:r w:rsidRPr="00C01F65">
        <w:t>s from the discharge and the pathways for risks occurring</w:t>
      </w:r>
    </w:p>
    <w:p w14:paraId="6422A6D1" w14:textId="12B4E165" w:rsidR="00CC0E0B" w:rsidRPr="00F21050" w:rsidRDefault="008D3942" w:rsidP="00C72B13">
      <w:pPr>
        <w:pStyle w:val="ListBullet"/>
      </w:pPr>
      <w:r w:rsidRPr="00C01F65">
        <w:t xml:space="preserve">developing an appropriate monitoring program. </w:t>
      </w:r>
    </w:p>
    <w:p w14:paraId="20668D19" w14:textId="77777777" w:rsidR="00CC0E0B" w:rsidRPr="00AA7232" w:rsidRDefault="00CC0E0B" w:rsidP="00AA7232">
      <w:pPr>
        <w:pStyle w:val="Heading4"/>
      </w:pPr>
      <w:r w:rsidRPr="00AA7232">
        <w:t>Identification of the receiving waters’ environmental values</w:t>
      </w:r>
    </w:p>
    <w:p w14:paraId="2F595077" w14:textId="437CFD1E" w:rsidR="008D3942" w:rsidRDefault="00CC0E0B" w:rsidP="00F21050">
      <w:pPr>
        <w:spacing w:line="259" w:lineRule="auto"/>
        <w:rPr>
          <w:rFonts w:cs="Arial"/>
        </w:rPr>
      </w:pPr>
      <w:r w:rsidRPr="00C01F65">
        <w:rPr>
          <w:rFonts w:cs="Arial"/>
        </w:rPr>
        <w:t xml:space="preserve">The caravan park owner engaged a suitably qualified consultant to assist with the development of their environmental risk assessment. Based on information in the local </w:t>
      </w:r>
      <w:r>
        <w:rPr>
          <w:rFonts w:cs="Arial"/>
        </w:rPr>
        <w:t>c</w:t>
      </w:r>
      <w:r w:rsidRPr="00C01F65">
        <w:rPr>
          <w:rFonts w:cs="Arial"/>
        </w:rPr>
        <w:t xml:space="preserve">atchment </w:t>
      </w:r>
      <w:r>
        <w:rPr>
          <w:rFonts w:cs="Arial"/>
        </w:rPr>
        <w:t>m</w:t>
      </w:r>
      <w:r w:rsidRPr="00C01F65">
        <w:rPr>
          <w:rFonts w:cs="Arial"/>
        </w:rPr>
        <w:t>anagement</w:t>
      </w:r>
      <w:r>
        <w:rPr>
          <w:rFonts w:cs="Arial"/>
        </w:rPr>
        <w:t xml:space="preserve"> authority’s </w:t>
      </w:r>
      <w:r w:rsidRPr="00C01F65">
        <w:rPr>
          <w:rFonts w:cs="Arial"/>
        </w:rPr>
        <w:t xml:space="preserve">regional strategy and local knowledge, the consultant and the park owner identified that the discharge site is a degraded ecosystem. Identified environmental values and management objectives are shown in </w:t>
      </w:r>
      <w:r w:rsidR="002C4F0B" w:rsidRPr="00892BA7">
        <w:rPr>
          <w:rFonts w:cs="Arial"/>
        </w:rPr>
        <w:fldChar w:fldCharType="begin"/>
      </w:r>
      <w:r w:rsidR="002C4F0B" w:rsidRPr="00892BA7">
        <w:rPr>
          <w:rFonts w:cs="Arial"/>
        </w:rPr>
        <w:instrText xml:space="preserve"> REF _Ref88224918 \h </w:instrText>
      </w:r>
      <w:r w:rsidR="00892BA7" w:rsidRPr="00892BA7">
        <w:rPr>
          <w:rFonts w:cs="Arial"/>
        </w:rPr>
        <w:instrText xml:space="preserve"> \* MERGEFORMAT </w:instrText>
      </w:r>
      <w:r w:rsidR="002C4F0B" w:rsidRPr="00892BA7">
        <w:rPr>
          <w:rFonts w:cs="Arial"/>
        </w:rPr>
      </w:r>
      <w:r w:rsidR="002C4F0B" w:rsidRPr="00892BA7">
        <w:rPr>
          <w:rFonts w:cs="Arial"/>
        </w:rPr>
        <w:fldChar w:fldCharType="separate"/>
      </w:r>
      <w:r w:rsidR="00FD64B0" w:rsidRPr="00FD64B0">
        <w:rPr>
          <w:rFonts w:asciiTheme="majorHAnsi" w:hAnsiTheme="majorHAnsi" w:cs="Arial"/>
        </w:rPr>
        <w:t>Table B15</w:t>
      </w:r>
      <w:r w:rsidR="002C4F0B" w:rsidRPr="00892BA7">
        <w:rPr>
          <w:rFonts w:cs="Arial"/>
        </w:rPr>
        <w:fldChar w:fldCharType="end"/>
      </w:r>
      <w:r w:rsidR="00450B9F">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3568"/>
        <w:gridCol w:w="4815"/>
      </w:tblGrid>
      <w:tr w:rsidR="00CC0E0B" w:rsidRPr="00CC0E0B" w14:paraId="3E6CEED7" w14:textId="77777777" w:rsidTr="00CC0E0B">
        <w:tc>
          <w:tcPr>
            <w:tcW w:w="5000" w:type="pct"/>
            <w:gridSpan w:val="3"/>
            <w:tcBorders>
              <w:top w:val="nil"/>
              <w:left w:val="nil"/>
              <w:right w:val="nil"/>
            </w:tcBorders>
            <w:shd w:val="clear" w:color="auto" w:fill="auto"/>
          </w:tcPr>
          <w:p w14:paraId="0089B838" w14:textId="45BB471E" w:rsidR="00CC0E0B" w:rsidRPr="00CC0E0B" w:rsidRDefault="00CC0E0B" w:rsidP="00A4665C">
            <w:pPr>
              <w:pStyle w:val="Caption"/>
            </w:pPr>
            <w:bookmarkStart w:id="167" w:name="_Ref88224918"/>
            <w:bookmarkStart w:id="168" w:name="_Ref57142431"/>
            <w:r w:rsidRPr="00CC0E0B">
              <w:t>Table B</w:t>
            </w:r>
            <w:fldSimple w:instr=" SEQ Table_B \* ARABIC ">
              <w:r w:rsidR="00FD64B0">
                <w:rPr>
                  <w:noProof/>
                </w:rPr>
                <w:t>15</w:t>
              </w:r>
            </w:fldSimple>
            <w:bookmarkEnd w:id="167"/>
            <w:r w:rsidR="00450B9F">
              <w:t xml:space="preserve"> </w:t>
            </w:r>
            <w:r w:rsidR="00450B9F" w:rsidRPr="00450B9F">
              <w:t>–</w:t>
            </w:r>
            <w:r w:rsidRPr="00CC0E0B">
              <w:t xml:space="preserve"> Small wastewater treatment plant values and management objectives</w:t>
            </w:r>
            <w:bookmarkEnd w:id="168"/>
          </w:p>
        </w:tc>
      </w:tr>
      <w:tr w:rsidR="00CC0E0B" w:rsidRPr="00CC0E0B" w14:paraId="0BBF822F" w14:textId="77777777" w:rsidTr="00D132A7">
        <w:tc>
          <w:tcPr>
            <w:tcW w:w="881" w:type="pct"/>
            <w:shd w:val="clear" w:color="auto" w:fill="003F72"/>
          </w:tcPr>
          <w:p w14:paraId="7EC3B901" w14:textId="77777777" w:rsidR="00CC0E0B" w:rsidRPr="00CC0E0B" w:rsidRDefault="00CC0E0B" w:rsidP="00C72B13">
            <w:pPr>
              <w:pStyle w:val="Tabletext0"/>
              <w:spacing w:before="0" w:after="0"/>
            </w:pPr>
            <w:r w:rsidRPr="00CC0E0B">
              <w:t>Environmental value</w:t>
            </w:r>
          </w:p>
        </w:tc>
        <w:tc>
          <w:tcPr>
            <w:tcW w:w="1753" w:type="pct"/>
            <w:shd w:val="clear" w:color="auto" w:fill="003F72"/>
          </w:tcPr>
          <w:p w14:paraId="359D6588" w14:textId="77777777" w:rsidR="00CC0E0B" w:rsidRPr="00CC0E0B" w:rsidRDefault="00CC0E0B" w:rsidP="00C72B13">
            <w:pPr>
              <w:pStyle w:val="Tabletext0"/>
              <w:spacing w:before="0" w:after="0"/>
            </w:pPr>
            <w:r w:rsidRPr="00CC0E0B">
              <w:t>Values</w:t>
            </w:r>
          </w:p>
        </w:tc>
        <w:tc>
          <w:tcPr>
            <w:tcW w:w="2366" w:type="pct"/>
            <w:shd w:val="clear" w:color="auto" w:fill="003F72"/>
          </w:tcPr>
          <w:p w14:paraId="724CEA25" w14:textId="77777777" w:rsidR="00CC0E0B" w:rsidRPr="00CC0E0B" w:rsidRDefault="00CC0E0B" w:rsidP="00C72B13">
            <w:pPr>
              <w:pStyle w:val="Tabletext0"/>
              <w:spacing w:before="0" w:after="0"/>
            </w:pPr>
            <w:r w:rsidRPr="00CC0E0B">
              <w:t xml:space="preserve">Management objectives </w:t>
            </w:r>
          </w:p>
        </w:tc>
      </w:tr>
      <w:tr w:rsidR="00CC0E0B" w:rsidRPr="00CC0E0B" w14:paraId="379DEB7E" w14:textId="77777777" w:rsidTr="00D132A7">
        <w:tc>
          <w:tcPr>
            <w:tcW w:w="881" w:type="pct"/>
            <w:shd w:val="clear" w:color="auto" w:fill="auto"/>
          </w:tcPr>
          <w:p w14:paraId="4CF1F88D" w14:textId="77777777" w:rsidR="00CC0E0B" w:rsidRPr="00CC0E0B" w:rsidRDefault="00CC0E0B" w:rsidP="00C72B13">
            <w:pPr>
              <w:pStyle w:val="Tabletext0"/>
              <w:spacing w:before="0" w:after="0"/>
            </w:pPr>
            <w:r w:rsidRPr="00CC0E0B">
              <w:t>Water dependent ecosystems and species</w:t>
            </w:r>
          </w:p>
        </w:tc>
        <w:tc>
          <w:tcPr>
            <w:tcW w:w="1753" w:type="pct"/>
          </w:tcPr>
          <w:p w14:paraId="79D90AE4" w14:textId="77777777" w:rsidR="00CC0E0B" w:rsidRPr="00CC0E0B" w:rsidRDefault="00CC0E0B" w:rsidP="00C72B13">
            <w:pPr>
              <w:pStyle w:val="Tabletext0"/>
              <w:spacing w:before="0" w:after="0"/>
            </w:pPr>
            <w:r w:rsidRPr="00CC0E0B">
              <w:t>Macroinvertebrate communities, native fish populations, natural in-stream habitat, natural flow regime, natural plant and algae community composition and distribution, water quality</w:t>
            </w:r>
          </w:p>
        </w:tc>
        <w:tc>
          <w:tcPr>
            <w:tcW w:w="2366" w:type="pct"/>
            <w:shd w:val="clear" w:color="auto" w:fill="auto"/>
          </w:tcPr>
          <w:p w14:paraId="1683CC95" w14:textId="77777777" w:rsidR="00CC0E0B" w:rsidRPr="00CC0E0B" w:rsidRDefault="00CC0E0B" w:rsidP="00C72B13">
            <w:pPr>
              <w:pStyle w:val="Tabletext0"/>
              <w:spacing w:before="0" w:after="0"/>
            </w:pPr>
            <w:r w:rsidRPr="00CC0E0B">
              <w:t>Maintain biodiversity and ecosystem processes</w:t>
            </w:r>
          </w:p>
          <w:p w14:paraId="594C3E6E" w14:textId="3B576178" w:rsidR="00CC0E0B" w:rsidRPr="00CC0E0B" w:rsidRDefault="00CC0E0B" w:rsidP="00C72B13">
            <w:pPr>
              <w:pStyle w:val="Tabletext0"/>
              <w:spacing w:before="0" w:after="0"/>
            </w:pPr>
            <w:r w:rsidRPr="00CC0E0B">
              <w:t xml:space="preserve">No increase suspended solids above ambient levels </w:t>
            </w:r>
          </w:p>
          <w:p w14:paraId="5D03D4AE" w14:textId="22430BB1" w:rsidR="00CC0E0B" w:rsidRPr="00CC0E0B" w:rsidRDefault="00CC0E0B" w:rsidP="00C72B13">
            <w:pPr>
              <w:pStyle w:val="Tabletext0"/>
              <w:spacing w:before="0" w:after="0"/>
            </w:pPr>
            <w:r w:rsidRPr="00CC0E0B">
              <w:t>No deplete dissolved oxygen levels</w:t>
            </w:r>
          </w:p>
          <w:p w14:paraId="7703056D" w14:textId="77777777" w:rsidR="00CC0E0B" w:rsidRPr="00CC0E0B" w:rsidRDefault="00CC0E0B" w:rsidP="00C72B13">
            <w:pPr>
              <w:pStyle w:val="Tabletext0"/>
              <w:spacing w:before="0" w:after="0"/>
            </w:pPr>
            <w:r w:rsidRPr="00CC0E0B">
              <w:t>No occurrence of bioaccumulation, concentration or magnification of toxic substances</w:t>
            </w:r>
          </w:p>
          <w:p w14:paraId="49F42E38" w14:textId="77777777" w:rsidR="00CC0E0B" w:rsidRPr="00CC0E0B" w:rsidRDefault="00CC0E0B" w:rsidP="00C72B13">
            <w:pPr>
              <w:pStyle w:val="Tabletext0"/>
              <w:spacing w:before="0" w:after="0"/>
            </w:pPr>
            <w:r w:rsidRPr="00CC0E0B">
              <w:t xml:space="preserve">No nutrient enrichment </w:t>
            </w:r>
          </w:p>
        </w:tc>
      </w:tr>
      <w:tr w:rsidR="00CC0E0B" w:rsidRPr="00CC0E0B" w14:paraId="43A55B42" w14:textId="77777777" w:rsidTr="00D132A7">
        <w:tc>
          <w:tcPr>
            <w:tcW w:w="881" w:type="pct"/>
            <w:shd w:val="clear" w:color="auto" w:fill="auto"/>
            <w:vAlign w:val="center"/>
          </w:tcPr>
          <w:p w14:paraId="40600FC0" w14:textId="77777777" w:rsidR="00CC0E0B" w:rsidRPr="00CC0E0B" w:rsidRDefault="00CC0E0B" w:rsidP="00C72B13">
            <w:pPr>
              <w:pStyle w:val="Tabletext0"/>
              <w:spacing w:before="0" w:after="0"/>
            </w:pPr>
            <w:r w:rsidRPr="00CC0E0B">
              <w:t>Water-based recreation (aesthetic enjoyment)</w:t>
            </w:r>
          </w:p>
        </w:tc>
        <w:tc>
          <w:tcPr>
            <w:tcW w:w="1753" w:type="pct"/>
          </w:tcPr>
          <w:p w14:paraId="4048FD76" w14:textId="77777777" w:rsidR="00CC0E0B" w:rsidRPr="00CC0E0B" w:rsidRDefault="00CC0E0B" w:rsidP="00C72B13">
            <w:pPr>
              <w:pStyle w:val="Tabletext0"/>
              <w:spacing w:before="0" w:after="0"/>
            </w:pPr>
            <w:r w:rsidRPr="00CC0E0B">
              <w:t xml:space="preserve">Natural plant and algae community composition and distribution </w:t>
            </w:r>
          </w:p>
        </w:tc>
        <w:tc>
          <w:tcPr>
            <w:tcW w:w="2366" w:type="pct"/>
            <w:shd w:val="clear" w:color="auto" w:fill="auto"/>
          </w:tcPr>
          <w:p w14:paraId="4B3060FF" w14:textId="77777777" w:rsidR="00CC0E0B" w:rsidRPr="00CC0E0B" w:rsidRDefault="00CC0E0B" w:rsidP="00C72B13">
            <w:pPr>
              <w:pStyle w:val="Tabletext0"/>
              <w:spacing w:before="0" w:after="0"/>
            </w:pPr>
            <w:r w:rsidRPr="00CC0E0B">
              <w:t>No oils, slicks, scums or films</w:t>
            </w:r>
          </w:p>
          <w:p w14:paraId="1A05FB45" w14:textId="77777777" w:rsidR="00CC0E0B" w:rsidRPr="00CC0E0B" w:rsidRDefault="00CC0E0B" w:rsidP="00C72B13">
            <w:pPr>
              <w:pStyle w:val="Tabletext0"/>
              <w:spacing w:before="0" w:after="0"/>
            </w:pPr>
            <w:r w:rsidRPr="00CC0E0B">
              <w:t>No impact on ambient levels of turbidity</w:t>
            </w:r>
          </w:p>
          <w:p w14:paraId="7285375E" w14:textId="77777777" w:rsidR="00CC0E0B" w:rsidRPr="00CC0E0B" w:rsidRDefault="00CC0E0B" w:rsidP="00C72B13">
            <w:pPr>
              <w:pStyle w:val="Tabletext0"/>
              <w:spacing w:before="0" w:after="0"/>
            </w:pPr>
            <w:r w:rsidRPr="00CC0E0B">
              <w:t>No odour</w:t>
            </w:r>
          </w:p>
          <w:p w14:paraId="7BA9FEEA" w14:textId="77777777" w:rsidR="00CC0E0B" w:rsidRPr="00CC0E0B" w:rsidRDefault="00CC0E0B" w:rsidP="00C72B13">
            <w:pPr>
              <w:pStyle w:val="Tabletext0"/>
              <w:spacing w:before="0" w:after="0"/>
            </w:pPr>
            <w:r w:rsidRPr="00CC0E0B">
              <w:t>No occurrence of algal blooms</w:t>
            </w:r>
          </w:p>
        </w:tc>
      </w:tr>
    </w:tbl>
    <w:p w14:paraId="39AABD62" w14:textId="5B96A253" w:rsidR="00CC0E0B" w:rsidRPr="00C01F65" w:rsidRDefault="00CC0E0B" w:rsidP="00CC0E0B">
      <w:pPr>
        <w:pStyle w:val="Bulletbody"/>
      </w:pPr>
    </w:p>
    <w:p w14:paraId="32604E51" w14:textId="7ED973C8" w:rsidR="00CC0E0B" w:rsidRPr="00C01F65" w:rsidRDefault="00CC0E0B" w:rsidP="001A2427">
      <w:pPr>
        <w:pStyle w:val="Heading4"/>
      </w:pPr>
      <w:r w:rsidRPr="00C01F65">
        <w:lastRenderedPageBreak/>
        <w:t>Collation of information on the discharge</w:t>
      </w:r>
      <w:r w:rsidR="00A03A38">
        <w:t xml:space="preserve"> </w:t>
      </w:r>
      <w:r w:rsidRPr="00C01F65">
        <w:t>and receiving waters</w:t>
      </w:r>
    </w:p>
    <w:p w14:paraId="33A937C4" w14:textId="2F82AACC" w:rsidR="00CC0E0B" w:rsidRPr="00C01F65" w:rsidRDefault="00CC0E0B" w:rsidP="00CC0E0B">
      <w:pPr>
        <w:spacing w:line="259" w:lineRule="auto"/>
        <w:rPr>
          <w:rFonts w:cs="Arial"/>
        </w:rPr>
      </w:pPr>
      <w:r w:rsidRPr="00C01F65">
        <w:rPr>
          <w:rFonts w:cs="Arial"/>
        </w:rPr>
        <w:t xml:space="preserve">The park owner and consultant compiled and summarised all available information and data on the discharge effluent and receiving waters. This was done by laboratory testing of the effluent quality. The flow rates of the stream were obtained from Melbourne Water. The volume of discharge water was calculated from a water balance of the site, which considered historical information </w:t>
      </w:r>
      <w:r w:rsidR="0037784D" w:rsidRPr="00C01F65">
        <w:rPr>
          <w:rFonts w:cs="Arial"/>
        </w:rPr>
        <w:t>o</w:t>
      </w:r>
      <w:r w:rsidR="0037784D">
        <w:rPr>
          <w:rFonts w:cs="Arial"/>
        </w:rPr>
        <w:t>f</w:t>
      </w:r>
      <w:r w:rsidR="0037784D" w:rsidRPr="00C01F65">
        <w:rPr>
          <w:rFonts w:cs="Arial"/>
        </w:rPr>
        <w:t xml:space="preserve"> </w:t>
      </w:r>
      <w:r w:rsidRPr="00C01F65">
        <w:rPr>
          <w:rFonts w:cs="Arial"/>
        </w:rPr>
        <w:t xml:space="preserve">the number of visitors, number of cabins, and the volume of water that is recycled for garden irrigation. </w:t>
      </w:r>
    </w:p>
    <w:p w14:paraId="450A5364" w14:textId="46A23E99" w:rsidR="00CC0E0B" w:rsidRPr="00C01F65" w:rsidRDefault="00CC0E0B" w:rsidP="001A2427">
      <w:pPr>
        <w:pStyle w:val="Heading4"/>
      </w:pPr>
      <w:r w:rsidRPr="00C01F65">
        <w:t xml:space="preserve">Identification of the potential </w:t>
      </w:r>
      <w:r w:rsidR="007372BA">
        <w:t>hazard</w:t>
      </w:r>
      <w:r w:rsidRPr="00C01F65">
        <w:t>s from the discharge and the pathways for risks occurring</w:t>
      </w:r>
    </w:p>
    <w:p w14:paraId="382E01AA" w14:textId="3C47743D" w:rsidR="00CC0E0B" w:rsidRPr="00C01F65" w:rsidRDefault="00CC0E0B" w:rsidP="00CC0E0B">
      <w:pPr>
        <w:spacing w:line="259" w:lineRule="auto"/>
        <w:rPr>
          <w:rFonts w:cs="Arial"/>
        </w:rPr>
      </w:pPr>
      <w:r w:rsidRPr="00C01F65">
        <w:rPr>
          <w:rFonts w:cs="Arial"/>
        </w:rPr>
        <w:t>The consultant considered the:</w:t>
      </w:r>
    </w:p>
    <w:p w14:paraId="786EE412" w14:textId="2E6183CC" w:rsidR="00CC0E0B" w:rsidRPr="00C01F65" w:rsidRDefault="00CC0E0B" w:rsidP="00C72B13">
      <w:pPr>
        <w:pStyle w:val="ListBullet"/>
      </w:pPr>
      <w:r w:rsidRPr="00C01F65">
        <w:t xml:space="preserve">composition of the treated discharge water, that is, the potential </w:t>
      </w:r>
      <w:r w:rsidR="007372BA">
        <w:t>hazard</w:t>
      </w:r>
      <w:r w:rsidRPr="00C01F65">
        <w:t>s and their concentrations and loads</w:t>
      </w:r>
    </w:p>
    <w:p w14:paraId="5130919B" w14:textId="0A0B2905" w:rsidR="00CC0E0B" w:rsidRPr="00C01F65" w:rsidRDefault="00CC0E0B" w:rsidP="00C72B13">
      <w:pPr>
        <w:pStyle w:val="ListBullet"/>
      </w:pPr>
      <w:r w:rsidRPr="00C01F65">
        <w:t>volume of discharge water</w:t>
      </w:r>
    </w:p>
    <w:p w14:paraId="4F4EC5F1" w14:textId="341EDE2F" w:rsidR="00CC0E0B" w:rsidRDefault="00CC0E0B" w:rsidP="00C72B13">
      <w:pPr>
        <w:pStyle w:val="ListBullet"/>
      </w:pPr>
      <w:r w:rsidRPr="10077A7C">
        <w:t xml:space="preserve">nature of </w:t>
      </w:r>
      <w:bookmarkStart w:id="169" w:name="_Int_9m7D4Fk0"/>
      <w:r w:rsidRPr="10077A7C">
        <w:t>the environmental</w:t>
      </w:r>
      <w:bookmarkEnd w:id="169"/>
      <w:r w:rsidRPr="10077A7C">
        <w:t xml:space="preserve"> values</w:t>
      </w:r>
    </w:p>
    <w:p w14:paraId="7203397F" w14:textId="3BE8D496" w:rsidR="00A02DA2" w:rsidRDefault="00A02DA2" w:rsidP="00C72B13">
      <w:pPr>
        <w:pStyle w:val="ListBullet"/>
      </w:pPr>
      <w:r w:rsidRPr="00A02DA2">
        <w:t>nature of exposure and proximity of environmental values to the discharge water.</w:t>
      </w:r>
    </w:p>
    <w:p w14:paraId="6E3043B9" w14:textId="34E5C874" w:rsidR="00021F22" w:rsidRDefault="00417A88" w:rsidP="00021F22">
      <w:pPr>
        <w:spacing w:after="0"/>
        <w:rPr>
          <w:rFonts w:cs="Arial"/>
        </w:rPr>
      </w:pPr>
      <w:r>
        <w:rPr>
          <w:rFonts w:cs="Arial"/>
        </w:rPr>
        <w:fldChar w:fldCharType="begin"/>
      </w:r>
      <w:r>
        <w:rPr>
          <w:rFonts w:cs="Arial"/>
        </w:rPr>
        <w:instrText xml:space="preserve"> REF _Ref132747475 \h </w:instrText>
      </w:r>
      <w:r>
        <w:rPr>
          <w:rFonts w:cs="Arial"/>
        </w:rPr>
      </w:r>
      <w:r>
        <w:rPr>
          <w:rFonts w:cs="Arial"/>
        </w:rPr>
        <w:fldChar w:fldCharType="separate"/>
      </w:r>
      <w:r w:rsidR="00FD64B0">
        <w:t>Figure B</w:t>
      </w:r>
      <w:r w:rsidR="00FD64B0">
        <w:rPr>
          <w:noProof/>
        </w:rPr>
        <w:t>8</w:t>
      </w:r>
      <w:r>
        <w:rPr>
          <w:rFonts w:cs="Arial"/>
        </w:rPr>
        <w:fldChar w:fldCharType="end"/>
      </w:r>
      <w:r>
        <w:rPr>
          <w:rFonts w:cs="Arial"/>
        </w:rPr>
        <w:t xml:space="preserve"> </w:t>
      </w:r>
      <w:r w:rsidR="00B20D9C">
        <w:rPr>
          <w:rFonts w:cs="Arial"/>
        </w:rPr>
        <w:t xml:space="preserve">is a conceptual model </w:t>
      </w:r>
      <w:r w:rsidR="0022586E">
        <w:rPr>
          <w:rFonts w:cs="Arial"/>
        </w:rPr>
        <w:t xml:space="preserve">showing the key interactions between </w:t>
      </w:r>
      <w:r w:rsidR="007A3892">
        <w:rPr>
          <w:rFonts w:cs="Arial"/>
        </w:rPr>
        <w:t>hazard</w:t>
      </w:r>
      <w:r w:rsidR="00265512">
        <w:rPr>
          <w:rFonts w:cs="Arial"/>
        </w:rPr>
        <w:t>s</w:t>
      </w:r>
      <w:r w:rsidR="007A3892">
        <w:rPr>
          <w:rFonts w:cs="Arial"/>
        </w:rPr>
        <w:t xml:space="preserve"> and </w:t>
      </w:r>
      <w:r w:rsidR="00265512">
        <w:rPr>
          <w:rFonts w:cs="Arial"/>
        </w:rPr>
        <w:t>environmental values.</w:t>
      </w:r>
    </w:p>
    <w:p w14:paraId="406EA3CE" w14:textId="77777777" w:rsidR="00F75A6B" w:rsidRDefault="001A2427" w:rsidP="00F75A6B">
      <w:pPr>
        <w:keepNext/>
        <w:spacing w:after="0"/>
      </w:pPr>
      <w:r>
        <w:rPr>
          <w:noProof/>
        </w:rPr>
        <w:drawing>
          <wp:inline distT="0" distB="0" distL="0" distR="0" wp14:anchorId="33D15CEF" wp14:editId="16EE5D50">
            <wp:extent cx="6430460" cy="3995531"/>
            <wp:effectExtent l="0" t="0" r="0" b="5080"/>
            <wp:docPr id="477" name="Picture 477" descr="Conceptu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Conceptual model"/>
                    <pic:cNvPicPr>
                      <a:picLocks noChangeAspect="1"/>
                    </pic:cNvPicPr>
                  </pic:nvPicPr>
                  <pic:blipFill rotWithShape="1">
                    <a:blip r:embed="rId67"/>
                    <a:srcRect t="6940" r="16947"/>
                    <a:stretch/>
                  </pic:blipFill>
                  <pic:spPr bwMode="auto">
                    <a:xfrm>
                      <a:off x="0" y="0"/>
                      <a:ext cx="6498531" cy="4037826"/>
                    </a:xfrm>
                    <a:prstGeom prst="rect">
                      <a:avLst/>
                    </a:prstGeom>
                    <a:noFill/>
                    <a:ln>
                      <a:noFill/>
                    </a:ln>
                    <a:extLst>
                      <a:ext uri="{53640926-AAD7-44D8-BBD7-CCE9431645EC}">
                        <a14:shadowObscured xmlns:a14="http://schemas.microsoft.com/office/drawing/2010/main"/>
                      </a:ext>
                    </a:extLst>
                  </pic:spPr>
                </pic:pic>
              </a:graphicData>
            </a:graphic>
          </wp:inline>
        </w:drawing>
      </w:r>
    </w:p>
    <w:p w14:paraId="357BDA75" w14:textId="06C176C4" w:rsidR="001A2427" w:rsidRDefault="00F75A6B" w:rsidP="00F75A6B">
      <w:pPr>
        <w:pStyle w:val="Caption"/>
        <w:rPr>
          <w:rFonts w:cs="Arial"/>
        </w:rPr>
      </w:pPr>
      <w:bookmarkStart w:id="170" w:name="_Ref132747475"/>
      <w:r>
        <w:t>Figure B</w:t>
      </w:r>
      <w:fldSimple w:instr=" SEQ Figure_B \* ARABIC ">
        <w:r w:rsidR="00FD64B0">
          <w:rPr>
            <w:noProof/>
          </w:rPr>
          <w:t>8</w:t>
        </w:r>
      </w:fldSimple>
      <w:bookmarkEnd w:id="170"/>
      <w:r>
        <w:t xml:space="preserve"> – </w:t>
      </w:r>
      <w:r w:rsidRPr="00507EA7">
        <w:t>Conceptual model of the interactions of ecosystem and aesthetic values with a small wastewater treatment plant discharge</w:t>
      </w:r>
    </w:p>
    <w:p w14:paraId="64881ABA" w14:textId="77777777" w:rsidR="00A02DA2" w:rsidRPr="004E69D4" w:rsidRDefault="00A02DA2" w:rsidP="00A02DA2">
      <w:pPr>
        <w:pStyle w:val="Heading4"/>
        <w:rPr>
          <w:rFonts w:cs="Arial"/>
        </w:rPr>
      </w:pPr>
      <w:r w:rsidRPr="004E69D4">
        <w:lastRenderedPageBreak/>
        <w:t>Risk analysis</w:t>
      </w:r>
    </w:p>
    <w:p w14:paraId="547650F3" w14:textId="77FC8F1E" w:rsidR="00A02DA2" w:rsidRPr="00244853" w:rsidRDefault="00A02DA2" w:rsidP="00A02DA2">
      <w:pPr>
        <w:spacing w:line="259" w:lineRule="auto"/>
        <w:rPr>
          <w:rFonts w:asciiTheme="majorHAnsi" w:hAnsiTheme="majorHAnsi" w:cs="Arial"/>
        </w:rPr>
      </w:pPr>
      <w:r w:rsidRPr="00C01F65">
        <w:rPr>
          <w:rFonts w:cs="Arial"/>
        </w:rPr>
        <w:t>The risk analysis was conducted using a qualitative approach. The likelihood and consequence definitions were defined as shown in</w:t>
      </w:r>
      <w:r>
        <w:rPr>
          <w:rFonts w:cs="Arial"/>
        </w:rPr>
        <w:t xml:space="preserve"> Tables B16 and B17. </w:t>
      </w:r>
      <w:r w:rsidRPr="00C01F65">
        <w:rPr>
          <w:rFonts w:cs="Arial"/>
        </w:rPr>
        <w:t>Evaluation of risk to the environmental values was determined from the consequence and likelihood levels using a risk matrix (</w:t>
      </w:r>
      <w:r w:rsidRPr="00736BE9">
        <w:rPr>
          <w:rFonts w:cs="Arial"/>
        </w:rPr>
        <w:fldChar w:fldCharType="begin"/>
      </w:r>
      <w:r w:rsidRPr="00736BE9">
        <w:rPr>
          <w:rFonts w:cs="Arial"/>
        </w:rPr>
        <w:instrText xml:space="preserve"> REF _Ref88225374 \h  \* MERGEFORMAT </w:instrText>
      </w:r>
      <w:r w:rsidRPr="00736BE9">
        <w:rPr>
          <w:rFonts w:cs="Arial"/>
        </w:rPr>
      </w:r>
      <w:r w:rsidRPr="00736BE9">
        <w:rPr>
          <w:rFonts w:cs="Arial"/>
        </w:rPr>
        <w:fldChar w:fldCharType="separate"/>
      </w:r>
      <w:r w:rsidR="00FD64B0" w:rsidRPr="00A4665C">
        <w:t>Table B</w:t>
      </w:r>
      <w:r w:rsidR="00FD64B0">
        <w:t>18</w:t>
      </w:r>
      <w:r w:rsidRPr="00736BE9">
        <w:rPr>
          <w:rFonts w:cs="Arial"/>
        </w:rPr>
        <w:fldChar w:fldCharType="end"/>
      </w:r>
      <w:r w:rsidRPr="00C01F65">
        <w:rPr>
          <w:rFonts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8"/>
        <w:gridCol w:w="7378"/>
      </w:tblGrid>
      <w:tr w:rsidR="00A02DA2" w:rsidRPr="005A3DDA" w14:paraId="24CD628A" w14:textId="77777777" w:rsidTr="00522185">
        <w:trPr>
          <w:jc w:val="center"/>
        </w:trPr>
        <w:tc>
          <w:tcPr>
            <w:tcW w:w="5000" w:type="pct"/>
            <w:gridSpan w:val="2"/>
            <w:tcBorders>
              <w:top w:val="nil"/>
              <w:left w:val="nil"/>
              <w:right w:val="nil"/>
            </w:tcBorders>
            <w:shd w:val="clear" w:color="auto" w:fill="auto"/>
            <w:vAlign w:val="center"/>
          </w:tcPr>
          <w:p w14:paraId="5A0C4C06" w14:textId="73ECE5B8" w:rsidR="00A02DA2" w:rsidRPr="005A3DDA" w:rsidRDefault="00A02DA2" w:rsidP="00522185">
            <w:pPr>
              <w:pStyle w:val="Caption"/>
            </w:pPr>
            <w:bookmarkStart w:id="171" w:name="_Ref88225047"/>
            <w:bookmarkStart w:id="172" w:name="_Ref57142664"/>
            <w:r w:rsidRPr="005A3DDA">
              <w:t>Table B</w:t>
            </w:r>
            <w:fldSimple w:instr=" SEQ Table_B \* ARABIC ">
              <w:r w:rsidR="00FD64B0">
                <w:rPr>
                  <w:noProof/>
                </w:rPr>
                <w:t>16</w:t>
              </w:r>
            </w:fldSimple>
            <w:bookmarkEnd w:id="171"/>
            <w:r>
              <w:t xml:space="preserve"> </w:t>
            </w:r>
            <w:r w:rsidRPr="00450B9F">
              <w:t>–</w:t>
            </w:r>
            <w:r w:rsidRPr="005A3DDA">
              <w:t xml:space="preserve"> Likelihood definitions</w:t>
            </w:r>
            <w:bookmarkEnd w:id="172"/>
          </w:p>
        </w:tc>
      </w:tr>
      <w:tr w:rsidR="00A02DA2" w:rsidRPr="005A3DDA" w14:paraId="31223157" w14:textId="77777777" w:rsidTr="00522185">
        <w:trPr>
          <w:jc w:val="center"/>
        </w:trPr>
        <w:tc>
          <w:tcPr>
            <w:tcW w:w="1375" w:type="pct"/>
            <w:shd w:val="clear" w:color="auto" w:fill="003F72"/>
            <w:vAlign w:val="center"/>
          </w:tcPr>
          <w:p w14:paraId="764A123C" w14:textId="77777777" w:rsidR="00A02DA2" w:rsidRPr="005A3DDA" w:rsidRDefault="00A02DA2" w:rsidP="00C72B13">
            <w:pPr>
              <w:pStyle w:val="Tabletext0"/>
            </w:pPr>
            <w:r w:rsidRPr="005A3DDA">
              <w:t>Descriptor</w:t>
            </w:r>
          </w:p>
        </w:tc>
        <w:tc>
          <w:tcPr>
            <w:tcW w:w="3625" w:type="pct"/>
            <w:shd w:val="clear" w:color="auto" w:fill="003F72"/>
            <w:vAlign w:val="center"/>
          </w:tcPr>
          <w:p w14:paraId="12AA7A4A" w14:textId="77777777" w:rsidR="00A02DA2" w:rsidRPr="005A3DDA" w:rsidRDefault="00A02DA2" w:rsidP="00C72B13">
            <w:pPr>
              <w:pStyle w:val="Tabletext0"/>
            </w:pPr>
            <w:r w:rsidRPr="005A3DDA">
              <w:t>Likelihood</w:t>
            </w:r>
          </w:p>
        </w:tc>
      </w:tr>
      <w:tr w:rsidR="00A02DA2" w:rsidRPr="005A3DDA" w14:paraId="3D4B622C" w14:textId="77777777" w:rsidTr="00522185">
        <w:trPr>
          <w:jc w:val="center"/>
        </w:trPr>
        <w:tc>
          <w:tcPr>
            <w:tcW w:w="1375" w:type="pct"/>
            <w:shd w:val="clear" w:color="auto" w:fill="auto"/>
            <w:vAlign w:val="center"/>
          </w:tcPr>
          <w:p w14:paraId="07CBA2E3" w14:textId="77777777" w:rsidR="00A02DA2" w:rsidRPr="005A3DDA" w:rsidRDefault="00A02DA2" w:rsidP="00C72B13">
            <w:pPr>
              <w:pStyle w:val="Tabletext0"/>
            </w:pPr>
            <w:r w:rsidRPr="005A3DDA">
              <w:t>Likely</w:t>
            </w:r>
          </w:p>
        </w:tc>
        <w:tc>
          <w:tcPr>
            <w:tcW w:w="3625" w:type="pct"/>
            <w:shd w:val="clear" w:color="auto" w:fill="auto"/>
            <w:vAlign w:val="center"/>
          </w:tcPr>
          <w:p w14:paraId="2A348E7F" w14:textId="77777777" w:rsidR="00A02DA2" w:rsidRPr="005A3DDA" w:rsidRDefault="00A02DA2" w:rsidP="00C72B13">
            <w:pPr>
              <w:pStyle w:val="Tabletext0"/>
            </w:pPr>
            <w:r w:rsidRPr="005A3DDA">
              <w:t>The event will probably occur in most circumstances</w:t>
            </w:r>
          </w:p>
        </w:tc>
      </w:tr>
      <w:tr w:rsidR="00A02DA2" w:rsidRPr="005A3DDA" w14:paraId="59B0B87A" w14:textId="77777777" w:rsidTr="00522185">
        <w:trPr>
          <w:jc w:val="center"/>
        </w:trPr>
        <w:tc>
          <w:tcPr>
            <w:tcW w:w="1375" w:type="pct"/>
            <w:shd w:val="clear" w:color="auto" w:fill="auto"/>
            <w:vAlign w:val="center"/>
          </w:tcPr>
          <w:p w14:paraId="10020921" w14:textId="77777777" w:rsidR="00A02DA2" w:rsidRPr="005A3DDA" w:rsidRDefault="00A02DA2" w:rsidP="00C72B13">
            <w:pPr>
              <w:pStyle w:val="Tabletext0"/>
            </w:pPr>
            <w:r w:rsidRPr="005A3DDA">
              <w:t>Possible</w:t>
            </w:r>
          </w:p>
        </w:tc>
        <w:tc>
          <w:tcPr>
            <w:tcW w:w="3625" w:type="pct"/>
            <w:shd w:val="clear" w:color="auto" w:fill="auto"/>
            <w:vAlign w:val="center"/>
          </w:tcPr>
          <w:p w14:paraId="3924F3FB" w14:textId="77777777" w:rsidR="00A02DA2" w:rsidRPr="005A3DDA" w:rsidRDefault="00A02DA2" w:rsidP="00C72B13">
            <w:pPr>
              <w:pStyle w:val="Tabletext0"/>
            </w:pPr>
            <w:r w:rsidRPr="005A3DDA">
              <w:t>The event should occur at some time</w:t>
            </w:r>
          </w:p>
        </w:tc>
      </w:tr>
      <w:tr w:rsidR="00A02DA2" w:rsidRPr="005A3DDA" w14:paraId="1DF872CA" w14:textId="77777777" w:rsidTr="00522185">
        <w:trPr>
          <w:jc w:val="center"/>
        </w:trPr>
        <w:tc>
          <w:tcPr>
            <w:tcW w:w="1375" w:type="pct"/>
            <w:shd w:val="clear" w:color="auto" w:fill="auto"/>
            <w:vAlign w:val="center"/>
          </w:tcPr>
          <w:p w14:paraId="6BA2076B" w14:textId="77777777" w:rsidR="00A02DA2" w:rsidRPr="005A3DDA" w:rsidRDefault="00A02DA2" w:rsidP="00C72B13">
            <w:pPr>
              <w:pStyle w:val="Tabletext0"/>
            </w:pPr>
            <w:r w:rsidRPr="005A3DDA">
              <w:t>Unlikely</w:t>
            </w:r>
          </w:p>
        </w:tc>
        <w:tc>
          <w:tcPr>
            <w:tcW w:w="3625" w:type="pct"/>
            <w:shd w:val="clear" w:color="auto" w:fill="auto"/>
            <w:vAlign w:val="center"/>
          </w:tcPr>
          <w:p w14:paraId="420391AD" w14:textId="77777777" w:rsidR="00A02DA2" w:rsidRPr="005A3DDA" w:rsidRDefault="00A02DA2" w:rsidP="00C72B13">
            <w:pPr>
              <w:pStyle w:val="Tabletext0"/>
            </w:pPr>
            <w:r w:rsidRPr="005A3DDA">
              <w:t>The event could occur at some time</w:t>
            </w:r>
          </w:p>
        </w:tc>
      </w:tr>
    </w:tbl>
    <w:p w14:paraId="3B298457" w14:textId="6A33A6B1" w:rsidR="00C55112" w:rsidRDefault="00C55112">
      <w:pPr>
        <w:spacing w:before="0" w:after="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6"/>
        <w:gridCol w:w="39"/>
        <w:gridCol w:w="2336"/>
        <w:gridCol w:w="2568"/>
        <w:gridCol w:w="1144"/>
        <w:gridCol w:w="1423"/>
      </w:tblGrid>
      <w:tr w:rsidR="003057B8" w:rsidRPr="00553A5F" w14:paraId="4A2C29B6" w14:textId="77777777" w:rsidTr="003057B8">
        <w:tc>
          <w:tcPr>
            <w:tcW w:w="5000" w:type="pct"/>
            <w:gridSpan w:val="6"/>
            <w:tcBorders>
              <w:top w:val="nil"/>
              <w:left w:val="nil"/>
              <w:right w:val="nil"/>
            </w:tcBorders>
            <w:shd w:val="clear" w:color="auto" w:fill="auto"/>
          </w:tcPr>
          <w:p w14:paraId="78254DF2" w14:textId="08CD929F" w:rsidR="003057B8" w:rsidRPr="00553A5F" w:rsidRDefault="003057B8" w:rsidP="00A4665C">
            <w:pPr>
              <w:pStyle w:val="Caption"/>
              <w:rPr>
                <w:lang w:val="fr-FR"/>
              </w:rPr>
            </w:pPr>
            <w:bookmarkStart w:id="173" w:name="_Ref88225106"/>
            <w:bookmarkStart w:id="174" w:name="_Ref57142718"/>
            <w:r w:rsidRPr="00553A5F">
              <w:rPr>
                <w:lang w:val="fr-FR"/>
              </w:rPr>
              <w:t>Table B</w:t>
            </w:r>
            <w:r w:rsidR="00C43ABE">
              <w:rPr>
                <w:lang w:val="fr-FR"/>
              </w:rPr>
              <w:fldChar w:fldCharType="begin"/>
            </w:r>
            <w:r w:rsidR="00C43ABE">
              <w:rPr>
                <w:lang w:val="fr-FR"/>
              </w:rPr>
              <w:instrText xml:space="preserve"> SEQ Table_B \* ARABIC </w:instrText>
            </w:r>
            <w:r w:rsidR="00C43ABE">
              <w:rPr>
                <w:lang w:val="fr-FR"/>
              </w:rPr>
              <w:fldChar w:fldCharType="separate"/>
            </w:r>
            <w:r w:rsidR="00FD64B0">
              <w:rPr>
                <w:noProof/>
                <w:lang w:val="fr-FR"/>
              </w:rPr>
              <w:t>17</w:t>
            </w:r>
            <w:r w:rsidR="00C43ABE">
              <w:rPr>
                <w:lang w:val="fr-FR"/>
              </w:rPr>
              <w:fldChar w:fldCharType="end"/>
            </w:r>
            <w:bookmarkEnd w:id="173"/>
            <w:r w:rsidRPr="00553A5F">
              <w:rPr>
                <w:lang w:val="fr-FR"/>
              </w:rPr>
              <w:t xml:space="preserve"> </w:t>
            </w:r>
            <w:r w:rsidR="00AC31AC" w:rsidRPr="00553A5F">
              <w:rPr>
                <w:lang w:val="fr-FR"/>
              </w:rPr>
              <w:t>–</w:t>
            </w:r>
            <w:r w:rsidRPr="00553A5F">
              <w:rPr>
                <w:lang w:val="fr-FR"/>
              </w:rPr>
              <w:t xml:space="preserve"> Environmental consequence descriptions</w:t>
            </w:r>
            <w:bookmarkEnd w:id="174"/>
          </w:p>
        </w:tc>
      </w:tr>
      <w:tr w:rsidR="003057B8" w:rsidRPr="003057B8" w14:paraId="0C1AA8F6" w14:textId="77777777" w:rsidTr="003057B8">
        <w:tc>
          <w:tcPr>
            <w:tcW w:w="1310" w:type="pct"/>
            <w:shd w:val="clear" w:color="auto" w:fill="003F72"/>
          </w:tcPr>
          <w:p w14:paraId="75504362" w14:textId="77777777" w:rsidR="003057B8" w:rsidRPr="003057B8" w:rsidRDefault="003057B8" w:rsidP="00C72B13">
            <w:pPr>
              <w:pStyle w:val="Tabletext0"/>
            </w:pPr>
            <w:r w:rsidRPr="003057B8">
              <w:t>Environmental value</w:t>
            </w:r>
          </w:p>
        </w:tc>
        <w:tc>
          <w:tcPr>
            <w:tcW w:w="2991" w:type="pct"/>
            <w:gridSpan w:val="4"/>
            <w:shd w:val="clear" w:color="auto" w:fill="003F72"/>
          </w:tcPr>
          <w:p w14:paraId="2335F5F2" w14:textId="77777777" w:rsidR="003057B8" w:rsidRPr="003057B8" w:rsidRDefault="003057B8" w:rsidP="00C72B13">
            <w:pPr>
              <w:pStyle w:val="Tabletext0"/>
            </w:pPr>
            <w:r w:rsidRPr="003057B8">
              <w:t>Consequence</w:t>
            </w:r>
          </w:p>
        </w:tc>
        <w:tc>
          <w:tcPr>
            <w:tcW w:w="699" w:type="pct"/>
            <w:shd w:val="clear" w:color="auto" w:fill="003F72"/>
          </w:tcPr>
          <w:p w14:paraId="68291BC1" w14:textId="77777777" w:rsidR="003057B8" w:rsidRPr="003057B8" w:rsidRDefault="003057B8" w:rsidP="00C72B13">
            <w:pPr>
              <w:pStyle w:val="Tabletext0"/>
            </w:pPr>
            <w:r w:rsidRPr="003057B8">
              <w:t>Descriptor</w:t>
            </w:r>
          </w:p>
        </w:tc>
      </w:tr>
      <w:tr w:rsidR="003057B8" w:rsidRPr="003057B8" w14:paraId="4BDAD310" w14:textId="77777777" w:rsidTr="003057B8">
        <w:trPr>
          <w:trHeight w:val="567"/>
        </w:trPr>
        <w:tc>
          <w:tcPr>
            <w:tcW w:w="1310" w:type="pct"/>
            <w:vMerge w:val="restart"/>
            <w:shd w:val="clear" w:color="auto" w:fill="auto"/>
            <w:vAlign w:val="center"/>
          </w:tcPr>
          <w:p w14:paraId="75D0A3C8" w14:textId="77777777" w:rsidR="003057B8" w:rsidRPr="003057B8" w:rsidRDefault="003057B8" w:rsidP="00C72B13">
            <w:pPr>
              <w:pStyle w:val="Tabletext0"/>
            </w:pPr>
            <w:r w:rsidRPr="003057B8">
              <w:rPr>
                <w:rFonts w:cs="Arial"/>
              </w:rPr>
              <w:t>Water dependent ecosystems and species</w:t>
            </w:r>
          </w:p>
          <w:p w14:paraId="60281542" w14:textId="77777777" w:rsidR="003057B8" w:rsidRPr="003057B8" w:rsidRDefault="003057B8" w:rsidP="00C72B13">
            <w:pPr>
              <w:pStyle w:val="Tabletext0"/>
            </w:pPr>
          </w:p>
        </w:tc>
        <w:tc>
          <w:tcPr>
            <w:tcW w:w="2991" w:type="pct"/>
            <w:gridSpan w:val="4"/>
            <w:shd w:val="clear" w:color="auto" w:fill="auto"/>
            <w:vAlign w:val="center"/>
          </w:tcPr>
          <w:p w14:paraId="7CC46A80" w14:textId="77777777" w:rsidR="003057B8" w:rsidRPr="003057B8" w:rsidRDefault="003057B8" w:rsidP="00C72B13">
            <w:pPr>
              <w:pStyle w:val="Tabletext0"/>
            </w:pPr>
            <w:r w:rsidRPr="003057B8">
              <w:t xml:space="preserve">Absence of ecological assemblage present. Toxic impacts from chlorine overdosing. </w:t>
            </w:r>
          </w:p>
        </w:tc>
        <w:tc>
          <w:tcPr>
            <w:tcW w:w="699" w:type="pct"/>
            <w:shd w:val="clear" w:color="auto" w:fill="auto"/>
            <w:vAlign w:val="center"/>
          </w:tcPr>
          <w:p w14:paraId="1636B56D" w14:textId="77777777" w:rsidR="003057B8" w:rsidRPr="003057B8" w:rsidRDefault="003057B8" w:rsidP="00C72B13">
            <w:pPr>
              <w:pStyle w:val="Tabletext0"/>
            </w:pPr>
            <w:r w:rsidRPr="003057B8">
              <w:t>Major</w:t>
            </w:r>
          </w:p>
        </w:tc>
      </w:tr>
      <w:tr w:rsidR="003057B8" w:rsidRPr="003057B8" w14:paraId="4485E17D" w14:textId="77777777" w:rsidTr="003057B8">
        <w:trPr>
          <w:trHeight w:val="796"/>
        </w:trPr>
        <w:tc>
          <w:tcPr>
            <w:tcW w:w="1310" w:type="pct"/>
            <w:vMerge/>
            <w:shd w:val="clear" w:color="auto" w:fill="auto"/>
            <w:vAlign w:val="center"/>
          </w:tcPr>
          <w:p w14:paraId="24DFFD0F" w14:textId="77777777" w:rsidR="003057B8" w:rsidRPr="003057B8" w:rsidRDefault="003057B8" w:rsidP="00C72B13">
            <w:pPr>
              <w:pStyle w:val="Tabletext0"/>
            </w:pPr>
          </w:p>
        </w:tc>
        <w:tc>
          <w:tcPr>
            <w:tcW w:w="2991" w:type="pct"/>
            <w:gridSpan w:val="4"/>
            <w:shd w:val="clear" w:color="auto" w:fill="auto"/>
            <w:vAlign w:val="center"/>
          </w:tcPr>
          <w:p w14:paraId="3FFBDFAC" w14:textId="77777777" w:rsidR="003057B8" w:rsidRPr="003057B8" w:rsidRDefault="003057B8" w:rsidP="00C72B13">
            <w:pPr>
              <w:pStyle w:val="Tabletext0"/>
            </w:pPr>
            <w:r w:rsidRPr="003057B8">
              <w:t xml:space="preserve">Highly modified ecological assemblage dominated by blue-green and green algae. Some toxic impacts from chlorine residue. </w:t>
            </w:r>
          </w:p>
        </w:tc>
        <w:tc>
          <w:tcPr>
            <w:tcW w:w="699" w:type="pct"/>
            <w:shd w:val="clear" w:color="auto" w:fill="auto"/>
            <w:vAlign w:val="center"/>
          </w:tcPr>
          <w:p w14:paraId="3CC09E4E" w14:textId="77777777" w:rsidR="003057B8" w:rsidRPr="003057B8" w:rsidRDefault="003057B8" w:rsidP="00C72B13">
            <w:pPr>
              <w:pStyle w:val="Tabletext0"/>
            </w:pPr>
            <w:r w:rsidRPr="003057B8">
              <w:t>Moderate</w:t>
            </w:r>
          </w:p>
        </w:tc>
      </w:tr>
      <w:tr w:rsidR="003057B8" w:rsidRPr="003057B8" w14:paraId="364A9A1D" w14:textId="77777777" w:rsidTr="003057B8">
        <w:trPr>
          <w:trHeight w:val="567"/>
        </w:trPr>
        <w:tc>
          <w:tcPr>
            <w:tcW w:w="1310" w:type="pct"/>
            <w:vMerge/>
            <w:shd w:val="clear" w:color="auto" w:fill="auto"/>
            <w:vAlign w:val="center"/>
          </w:tcPr>
          <w:p w14:paraId="5F28595E" w14:textId="77777777" w:rsidR="003057B8" w:rsidRPr="003057B8" w:rsidRDefault="003057B8" w:rsidP="00C72B13">
            <w:pPr>
              <w:pStyle w:val="Tabletext0"/>
            </w:pPr>
          </w:p>
        </w:tc>
        <w:tc>
          <w:tcPr>
            <w:tcW w:w="2991" w:type="pct"/>
            <w:gridSpan w:val="4"/>
            <w:shd w:val="clear" w:color="auto" w:fill="auto"/>
            <w:vAlign w:val="center"/>
          </w:tcPr>
          <w:p w14:paraId="29F946A3" w14:textId="77777777" w:rsidR="003057B8" w:rsidRPr="003057B8" w:rsidRDefault="003057B8" w:rsidP="00C72B13">
            <w:pPr>
              <w:pStyle w:val="Tabletext0"/>
            </w:pPr>
            <w:r w:rsidRPr="003057B8">
              <w:t>Modified ecological assemblage with detectable difference in species proportions.</w:t>
            </w:r>
          </w:p>
        </w:tc>
        <w:tc>
          <w:tcPr>
            <w:tcW w:w="699" w:type="pct"/>
            <w:shd w:val="clear" w:color="auto" w:fill="auto"/>
            <w:vAlign w:val="center"/>
          </w:tcPr>
          <w:p w14:paraId="5B17ACBC" w14:textId="77777777" w:rsidR="003057B8" w:rsidRPr="003057B8" w:rsidRDefault="003057B8" w:rsidP="00C72B13">
            <w:pPr>
              <w:pStyle w:val="Tabletext0"/>
            </w:pPr>
            <w:r w:rsidRPr="003057B8">
              <w:t>Minor</w:t>
            </w:r>
          </w:p>
        </w:tc>
      </w:tr>
      <w:tr w:rsidR="003057B8" w:rsidRPr="003057B8" w14:paraId="5471D85A" w14:textId="77777777" w:rsidTr="003057B8">
        <w:trPr>
          <w:trHeight w:val="567"/>
        </w:trPr>
        <w:tc>
          <w:tcPr>
            <w:tcW w:w="1310" w:type="pct"/>
            <w:vMerge w:val="restart"/>
            <w:shd w:val="clear" w:color="auto" w:fill="auto"/>
            <w:vAlign w:val="center"/>
          </w:tcPr>
          <w:p w14:paraId="67072100" w14:textId="77777777" w:rsidR="003057B8" w:rsidRPr="003057B8" w:rsidRDefault="003057B8" w:rsidP="00C72B13">
            <w:pPr>
              <w:pStyle w:val="Tabletext0"/>
            </w:pPr>
            <w:r w:rsidRPr="003057B8">
              <w:rPr>
                <w:rFonts w:cs="Arial"/>
              </w:rPr>
              <w:t>Water-based recreation (aesthetic enjoyment)</w:t>
            </w:r>
          </w:p>
        </w:tc>
        <w:tc>
          <w:tcPr>
            <w:tcW w:w="2991" w:type="pct"/>
            <w:gridSpan w:val="4"/>
            <w:shd w:val="clear" w:color="auto" w:fill="auto"/>
            <w:vAlign w:val="center"/>
          </w:tcPr>
          <w:p w14:paraId="1789EE5F" w14:textId="77777777" w:rsidR="003057B8" w:rsidRPr="003057B8" w:rsidRDefault="003057B8" w:rsidP="00C72B13">
            <w:pPr>
              <w:pStyle w:val="Tabletext0"/>
            </w:pPr>
            <w:r w:rsidRPr="003057B8">
              <w:t>Obvious suspended solids, discolouration, odour, foams and slicks.</w:t>
            </w:r>
          </w:p>
        </w:tc>
        <w:tc>
          <w:tcPr>
            <w:tcW w:w="699" w:type="pct"/>
            <w:shd w:val="clear" w:color="auto" w:fill="auto"/>
            <w:vAlign w:val="center"/>
          </w:tcPr>
          <w:p w14:paraId="218A5F2C" w14:textId="77777777" w:rsidR="003057B8" w:rsidRPr="003057B8" w:rsidRDefault="003057B8" w:rsidP="00C72B13">
            <w:pPr>
              <w:pStyle w:val="Tabletext0"/>
            </w:pPr>
            <w:r w:rsidRPr="003057B8">
              <w:t>Major</w:t>
            </w:r>
          </w:p>
        </w:tc>
      </w:tr>
      <w:tr w:rsidR="003057B8" w:rsidRPr="003057B8" w14:paraId="5FFE63BD" w14:textId="77777777" w:rsidTr="003057B8">
        <w:trPr>
          <w:trHeight w:val="567"/>
        </w:trPr>
        <w:tc>
          <w:tcPr>
            <w:tcW w:w="1310" w:type="pct"/>
            <w:vMerge/>
            <w:shd w:val="clear" w:color="auto" w:fill="auto"/>
            <w:vAlign w:val="center"/>
          </w:tcPr>
          <w:p w14:paraId="2E85C578" w14:textId="77777777" w:rsidR="003057B8" w:rsidRPr="003057B8" w:rsidRDefault="003057B8" w:rsidP="00C72B13">
            <w:pPr>
              <w:pStyle w:val="Tabletext0"/>
            </w:pPr>
          </w:p>
        </w:tc>
        <w:tc>
          <w:tcPr>
            <w:tcW w:w="2991" w:type="pct"/>
            <w:gridSpan w:val="4"/>
            <w:shd w:val="clear" w:color="auto" w:fill="auto"/>
            <w:vAlign w:val="center"/>
          </w:tcPr>
          <w:p w14:paraId="5CF55F17" w14:textId="77777777" w:rsidR="003057B8" w:rsidRPr="003057B8" w:rsidRDefault="003057B8" w:rsidP="00C72B13">
            <w:pPr>
              <w:pStyle w:val="Tabletext0"/>
            </w:pPr>
            <w:r w:rsidRPr="003057B8">
              <w:t>Frequent detectable discolouration, odour and slicks.</w:t>
            </w:r>
          </w:p>
        </w:tc>
        <w:tc>
          <w:tcPr>
            <w:tcW w:w="699" w:type="pct"/>
            <w:shd w:val="clear" w:color="auto" w:fill="auto"/>
            <w:vAlign w:val="center"/>
          </w:tcPr>
          <w:p w14:paraId="4C4DCEAB" w14:textId="77777777" w:rsidR="003057B8" w:rsidRPr="003057B8" w:rsidRDefault="003057B8" w:rsidP="00C72B13">
            <w:pPr>
              <w:pStyle w:val="Tabletext0"/>
            </w:pPr>
            <w:r w:rsidRPr="003057B8">
              <w:t>Moderate</w:t>
            </w:r>
          </w:p>
        </w:tc>
      </w:tr>
      <w:tr w:rsidR="003057B8" w:rsidRPr="003057B8" w14:paraId="30BDA9F3" w14:textId="77777777" w:rsidTr="00DF1DCC">
        <w:trPr>
          <w:trHeight w:val="567"/>
        </w:trPr>
        <w:tc>
          <w:tcPr>
            <w:tcW w:w="1310" w:type="pct"/>
            <w:vMerge/>
            <w:tcBorders>
              <w:bottom w:val="single" w:sz="4" w:space="0" w:color="auto"/>
            </w:tcBorders>
            <w:shd w:val="clear" w:color="auto" w:fill="auto"/>
            <w:vAlign w:val="center"/>
          </w:tcPr>
          <w:p w14:paraId="3D453FE6" w14:textId="77777777" w:rsidR="003057B8" w:rsidRPr="003057B8" w:rsidRDefault="003057B8" w:rsidP="00C72B13">
            <w:pPr>
              <w:pStyle w:val="Tabletext0"/>
            </w:pPr>
          </w:p>
        </w:tc>
        <w:tc>
          <w:tcPr>
            <w:tcW w:w="2991" w:type="pct"/>
            <w:gridSpan w:val="4"/>
            <w:tcBorders>
              <w:bottom w:val="single" w:sz="4" w:space="0" w:color="auto"/>
            </w:tcBorders>
            <w:shd w:val="clear" w:color="auto" w:fill="auto"/>
            <w:vAlign w:val="center"/>
          </w:tcPr>
          <w:p w14:paraId="24B12629" w14:textId="77777777" w:rsidR="003057B8" w:rsidRPr="003057B8" w:rsidRDefault="003057B8" w:rsidP="00C72B13">
            <w:pPr>
              <w:pStyle w:val="Tabletext0"/>
            </w:pPr>
            <w:r w:rsidRPr="003057B8">
              <w:t>Occasional detectable discolouration, odour and slicks.</w:t>
            </w:r>
          </w:p>
        </w:tc>
        <w:tc>
          <w:tcPr>
            <w:tcW w:w="699" w:type="pct"/>
            <w:tcBorders>
              <w:bottom w:val="single" w:sz="4" w:space="0" w:color="auto"/>
            </w:tcBorders>
            <w:shd w:val="clear" w:color="auto" w:fill="auto"/>
            <w:vAlign w:val="center"/>
          </w:tcPr>
          <w:p w14:paraId="3B11B0F0" w14:textId="77777777" w:rsidR="003057B8" w:rsidRPr="003057B8" w:rsidRDefault="003057B8" w:rsidP="00C72B13">
            <w:pPr>
              <w:pStyle w:val="Tabletext0"/>
            </w:pPr>
            <w:r w:rsidRPr="003057B8">
              <w:t>Minor</w:t>
            </w:r>
          </w:p>
        </w:tc>
      </w:tr>
      <w:tr w:rsidR="00DF1DCC" w:rsidRPr="003057B8" w14:paraId="0126892C" w14:textId="77777777" w:rsidTr="00DF1DCC">
        <w:trPr>
          <w:trHeight w:val="567"/>
        </w:trPr>
        <w:tc>
          <w:tcPr>
            <w:tcW w:w="1310" w:type="pct"/>
            <w:tcBorders>
              <w:top w:val="single" w:sz="4" w:space="0" w:color="auto"/>
              <w:left w:val="nil"/>
              <w:bottom w:val="nil"/>
              <w:right w:val="nil"/>
            </w:tcBorders>
            <w:shd w:val="clear" w:color="auto" w:fill="auto"/>
            <w:vAlign w:val="center"/>
          </w:tcPr>
          <w:p w14:paraId="4733E736" w14:textId="77777777" w:rsidR="00DF1DCC" w:rsidRPr="003057B8" w:rsidRDefault="00DF1DCC" w:rsidP="00C72B13">
            <w:pPr>
              <w:pStyle w:val="Tabletext0"/>
            </w:pPr>
          </w:p>
        </w:tc>
        <w:tc>
          <w:tcPr>
            <w:tcW w:w="2991" w:type="pct"/>
            <w:gridSpan w:val="4"/>
            <w:tcBorders>
              <w:top w:val="single" w:sz="4" w:space="0" w:color="auto"/>
              <w:left w:val="nil"/>
              <w:bottom w:val="nil"/>
              <w:right w:val="nil"/>
            </w:tcBorders>
            <w:shd w:val="clear" w:color="auto" w:fill="auto"/>
            <w:vAlign w:val="center"/>
          </w:tcPr>
          <w:p w14:paraId="2D39EEAA" w14:textId="77777777" w:rsidR="00DF1DCC" w:rsidRPr="003057B8" w:rsidRDefault="00DF1DCC" w:rsidP="00C72B13">
            <w:pPr>
              <w:pStyle w:val="Tabletext0"/>
            </w:pPr>
          </w:p>
        </w:tc>
        <w:tc>
          <w:tcPr>
            <w:tcW w:w="699" w:type="pct"/>
            <w:tcBorders>
              <w:top w:val="single" w:sz="4" w:space="0" w:color="auto"/>
              <w:left w:val="nil"/>
              <w:bottom w:val="nil"/>
              <w:right w:val="nil"/>
            </w:tcBorders>
            <w:shd w:val="clear" w:color="auto" w:fill="auto"/>
            <w:vAlign w:val="center"/>
          </w:tcPr>
          <w:p w14:paraId="2285C6C0" w14:textId="77777777" w:rsidR="00DF1DCC" w:rsidRPr="003057B8" w:rsidRDefault="00DF1DCC" w:rsidP="00C72B13">
            <w:pPr>
              <w:pStyle w:val="Tabletext0"/>
            </w:pPr>
          </w:p>
        </w:tc>
      </w:tr>
      <w:tr w:rsidR="008B3135" w:rsidRPr="003057B8" w14:paraId="434F4FC9" w14:textId="77777777" w:rsidTr="00DF1DCC">
        <w:tblPrEx>
          <w:jc w:val="center"/>
        </w:tblPrEx>
        <w:trPr>
          <w:jc w:val="center"/>
        </w:trPr>
        <w:tc>
          <w:tcPr>
            <w:tcW w:w="5000" w:type="pct"/>
            <w:gridSpan w:val="6"/>
            <w:tcBorders>
              <w:top w:val="nil"/>
              <w:left w:val="nil"/>
              <w:right w:val="nil"/>
            </w:tcBorders>
            <w:shd w:val="clear" w:color="auto" w:fill="auto"/>
            <w:vAlign w:val="bottom"/>
          </w:tcPr>
          <w:p w14:paraId="5439AA83" w14:textId="73523974" w:rsidR="008B3135" w:rsidRPr="00A4665C" w:rsidRDefault="008B3135" w:rsidP="00DF1DCC">
            <w:pPr>
              <w:pStyle w:val="Caption"/>
            </w:pPr>
            <w:bookmarkStart w:id="175" w:name="_Ref88225374"/>
            <w:bookmarkStart w:id="176" w:name="_Ref57142792"/>
            <w:r w:rsidRPr="00A4665C">
              <w:t>Table B</w:t>
            </w:r>
            <w:fldSimple w:instr=" SEQ Table_B \* ARABIC ">
              <w:r w:rsidR="00FD64B0">
                <w:rPr>
                  <w:noProof/>
                </w:rPr>
                <w:t>18</w:t>
              </w:r>
            </w:fldSimple>
            <w:bookmarkEnd w:id="175"/>
            <w:r w:rsidRPr="00A4665C">
              <w:t xml:space="preserve"> </w:t>
            </w:r>
            <w:r w:rsidR="00AC31AC" w:rsidRPr="00A4665C">
              <w:t>–</w:t>
            </w:r>
            <w:r w:rsidRPr="00A4665C">
              <w:t xml:space="preserve"> Environmental risk matrix</w:t>
            </w:r>
            <w:bookmarkEnd w:id="176"/>
          </w:p>
        </w:tc>
      </w:tr>
      <w:tr w:rsidR="003057B8" w:rsidRPr="003057B8" w14:paraId="23C8B732" w14:textId="77777777" w:rsidTr="00C55112">
        <w:tblPrEx>
          <w:jc w:val="center"/>
        </w:tblPrEx>
        <w:trPr>
          <w:jc w:val="center"/>
        </w:trPr>
        <w:tc>
          <w:tcPr>
            <w:tcW w:w="1329" w:type="pct"/>
            <w:gridSpan w:val="2"/>
            <w:vMerge w:val="restart"/>
            <w:shd w:val="clear" w:color="auto" w:fill="003F72"/>
            <w:vAlign w:val="bottom"/>
          </w:tcPr>
          <w:p w14:paraId="7DA3FA5B" w14:textId="77777777" w:rsidR="003057B8" w:rsidRPr="003057B8" w:rsidRDefault="003057B8" w:rsidP="00C72B13">
            <w:pPr>
              <w:pStyle w:val="Tabletext0"/>
            </w:pPr>
            <w:r w:rsidRPr="003057B8">
              <w:t>Likelihood</w:t>
            </w:r>
          </w:p>
        </w:tc>
        <w:tc>
          <w:tcPr>
            <w:tcW w:w="3671" w:type="pct"/>
            <w:gridSpan w:val="4"/>
            <w:shd w:val="clear" w:color="auto" w:fill="003F72"/>
          </w:tcPr>
          <w:p w14:paraId="16C878A3" w14:textId="77777777" w:rsidR="003057B8" w:rsidRPr="003057B8" w:rsidRDefault="003057B8" w:rsidP="00C72B13">
            <w:pPr>
              <w:pStyle w:val="Tabletext0"/>
            </w:pPr>
            <w:r w:rsidRPr="003057B8">
              <w:t>Consequence</w:t>
            </w:r>
          </w:p>
        </w:tc>
      </w:tr>
      <w:tr w:rsidR="003057B8" w:rsidRPr="003057B8" w14:paraId="3721B2BD" w14:textId="77777777" w:rsidTr="00DF1DCC">
        <w:tblPrEx>
          <w:jc w:val="center"/>
        </w:tblPrEx>
        <w:trPr>
          <w:trHeight w:val="247"/>
          <w:jc w:val="center"/>
        </w:trPr>
        <w:tc>
          <w:tcPr>
            <w:tcW w:w="1329" w:type="pct"/>
            <w:gridSpan w:val="2"/>
            <w:vMerge/>
            <w:shd w:val="clear" w:color="auto" w:fill="003F72"/>
          </w:tcPr>
          <w:p w14:paraId="6628B28F" w14:textId="77777777" w:rsidR="003057B8" w:rsidRPr="003057B8" w:rsidRDefault="003057B8" w:rsidP="00C72B13">
            <w:pPr>
              <w:pStyle w:val="Tabletext0"/>
            </w:pPr>
          </w:p>
        </w:tc>
        <w:tc>
          <w:tcPr>
            <w:tcW w:w="1148" w:type="pct"/>
            <w:shd w:val="clear" w:color="auto" w:fill="auto"/>
          </w:tcPr>
          <w:p w14:paraId="4256F709" w14:textId="77777777" w:rsidR="003057B8" w:rsidRPr="003057B8" w:rsidRDefault="003057B8" w:rsidP="00C72B13">
            <w:pPr>
              <w:pStyle w:val="Tabletext0"/>
            </w:pPr>
            <w:r w:rsidRPr="003057B8">
              <w:t>Minor</w:t>
            </w:r>
          </w:p>
        </w:tc>
        <w:tc>
          <w:tcPr>
            <w:tcW w:w="1262" w:type="pct"/>
            <w:shd w:val="clear" w:color="auto" w:fill="auto"/>
          </w:tcPr>
          <w:p w14:paraId="1D4FDB01" w14:textId="77777777" w:rsidR="003057B8" w:rsidRPr="003057B8" w:rsidRDefault="003057B8" w:rsidP="00C72B13">
            <w:pPr>
              <w:pStyle w:val="Tabletext0"/>
            </w:pPr>
            <w:r w:rsidRPr="003057B8">
              <w:t>Moderate</w:t>
            </w:r>
          </w:p>
        </w:tc>
        <w:tc>
          <w:tcPr>
            <w:tcW w:w="1261" w:type="pct"/>
            <w:gridSpan w:val="2"/>
            <w:shd w:val="clear" w:color="auto" w:fill="auto"/>
          </w:tcPr>
          <w:p w14:paraId="1B917AD3" w14:textId="77777777" w:rsidR="003057B8" w:rsidRPr="003057B8" w:rsidRDefault="003057B8" w:rsidP="00C72B13">
            <w:pPr>
              <w:pStyle w:val="Tabletext0"/>
            </w:pPr>
            <w:r w:rsidRPr="003057B8">
              <w:t>Major</w:t>
            </w:r>
          </w:p>
        </w:tc>
      </w:tr>
      <w:tr w:rsidR="003057B8" w:rsidRPr="003057B8" w14:paraId="315C1A50" w14:textId="77777777" w:rsidTr="00DF1DCC">
        <w:tblPrEx>
          <w:jc w:val="center"/>
        </w:tblPrEx>
        <w:trPr>
          <w:jc w:val="center"/>
        </w:trPr>
        <w:tc>
          <w:tcPr>
            <w:tcW w:w="1329" w:type="pct"/>
            <w:gridSpan w:val="2"/>
            <w:shd w:val="clear" w:color="auto" w:fill="auto"/>
            <w:vAlign w:val="center"/>
          </w:tcPr>
          <w:p w14:paraId="22D2DE72" w14:textId="77777777" w:rsidR="003057B8" w:rsidRPr="003057B8" w:rsidRDefault="003057B8" w:rsidP="00C72B13">
            <w:pPr>
              <w:pStyle w:val="Tabletext0"/>
            </w:pPr>
            <w:r w:rsidRPr="003057B8">
              <w:t>Likely</w:t>
            </w:r>
          </w:p>
        </w:tc>
        <w:tc>
          <w:tcPr>
            <w:tcW w:w="1148" w:type="pct"/>
            <w:shd w:val="clear" w:color="auto" w:fill="auto"/>
            <w:vAlign w:val="center"/>
          </w:tcPr>
          <w:p w14:paraId="0EAC7077" w14:textId="77777777" w:rsidR="003057B8" w:rsidRPr="003057B8" w:rsidRDefault="003057B8" w:rsidP="00C72B13">
            <w:pPr>
              <w:pStyle w:val="Tabletext0"/>
            </w:pPr>
            <w:r w:rsidRPr="003057B8">
              <w:t>Moderate</w:t>
            </w:r>
          </w:p>
        </w:tc>
        <w:tc>
          <w:tcPr>
            <w:tcW w:w="1262" w:type="pct"/>
            <w:shd w:val="clear" w:color="auto" w:fill="auto"/>
            <w:vAlign w:val="center"/>
          </w:tcPr>
          <w:p w14:paraId="08634FCA" w14:textId="77777777" w:rsidR="003057B8" w:rsidRPr="003057B8" w:rsidRDefault="003057B8" w:rsidP="00C72B13">
            <w:pPr>
              <w:pStyle w:val="Tabletext0"/>
            </w:pPr>
            <w:r w:rsidRPr="003057B8">
              <w:t>Moderate</w:t>
            </w:r>
          </w:p>
        </w:tc>
        <w:tc>
          <w:tcPr>
            <w:tcW w:w="1261" w:type="pct"/>
            <w:gridSpan w:val="2"/>
            <w:shd w:val="clear" w:color="auto" w:fill="auto"/>
            <w:vAlign w:val="center"/>
          </w:tcPr>
          <w:p w14:paraId="64F8A197" w14:textId="77777777" w:rsidR="003057B8" w:rsidRPr="003057B8" w:rsidRDefault="003057B8" w:rsidP="00C72B13">
            <w:pPr>
              <w:pStyle w:val="Tabletext0"/>
            </w:pPr>
            <w:r w:rsidRPr="003057B8">
              <w:t>High</w:t>
            </w:r>
          </w:p>
        </w:tc>
      </w:tr>
      <w:tr w:rsidR="003057B8" w:rsidRPr="003057B8" w14:paraId="4EEFBB92" w14:textId="77777777" w:rsidTr="00DF1DCC">
        <w:tblPrEx>
          <w:jc w:val="center"/>
        </w:tblPrEx>
        <w:trPr>
          <w:jc w:val="center"/>
        </w:trPr>
        <w:tc>
          <w:tcPr>
            <w:tcW w:w="1329" w:type="pct"/>
            <w:gridSpan w:val="2"/>
            <w:tcBorders>
              <w:bottom w:val="single" w:sz="4" w:space="0" w:color="auto"/>
            </w:tcBorders>
            <w:shd w:val="clear" w:color="auto" w:fill="auto"/>
            <w:vAlign w:val="center"/>
          </w:tcPr>
          <w:p w14:paraId="356A3D97" w14:textId="77777777" w:rsidR="003057B8" w:rsidRPr="003057B8" w:rsidRDefault="003057B8" w:rsidP="00C72B13">
            <w:pPr>
              <w:pStyle w:val="Tabletext0"/>
            </w:pPr>
            <w:r w:rsidRPr="003057B8">
              <w:t>Possible</w:t>
            </w:r>
          </w:p>
        </w:tc>
        <w:tc>
          <w:tcPr>
            <w:tcW w:w="1148" w:type="pct"/>
            <w:tcBorders>
              <w:bottom w:val="single" w:sz="4" w:space="0" w:color="auto"/>
            </w:tcBorders>
            <w:shd w:val="clear" w:color="auto" w:fill="auto"/>
            <w:vAlign w:val="center"/>
          </w:tcPr>
          <w:p w14:paraId="47C98B1E" w14:textId="77777777" w:rsidR="003057B8" w:rsidRPr="003057B8" w:rsidRDefault="003057B8" w:rsidP="00C72B13">
            <w:pPr>
              <w:pStyle w:val="Tabletext0"/>
            </w:pPr>
            <w:r w:rsidRPr="003057B8">
              <w:t>Low</w:t>
            </w:r>
          </w:p>
        </w:tc>
        <w:tc>
          <w:tcPr>
            <w:tcW w:w="1262" w:type="pct"/>
            <w:tcBorders>
              <w:bottom w:val="single" w:sz="4" w:space="0" w:color="auto"/>
            </w:tcBorders>
            <w:shd w:val="clear" w:color="auto" w:fill="auto"/>
            <w:vAlign w:val="center"/>
          </w:tcPr>
          <w:p w14:paraId="19EADFC2" w14:textId="77777777" w:rsidR="003057B8" w:rsidRPr="003057B8" w:rsidRDefault="003057B8" w:rsidP="00C72B13">
            <w:pPr>
              <w:pStyle w:val="Tabletext0"/>
            </w:pPr>
            <w:r w:rsidRPr="003057B8">
              <w:t>Moderate</w:t>
            </w:r>
          </w:p>
        </w:tc>
        <w:tc>
          <w:tcPr>
            <w:tcW w:w="1261" w:type="pct"/>
            <w:gridSpan w:val="2"/>
            <w:tcBorders>
              <w:bottom w:val="single" w:sz="4" w:space="0" w:color="auto"/>
            </w:tcBorders>
            <w:shd w:val="clear" w:color="auto" w:fill="auto"/>
            <w:vAlign w:val="center"/>
          </w:tcPr>
          <w:p w14:paraId="6296D17E" w14:textId="77777777" w:rsidR="003057B8" w:rsidRPr="003057B8" w:rsidRDefault="003057B8" w:rsidP="00C72B13">
            <w:pPr>
              <w:pStyle w:val="Tabletext0"/>
            </w:pPr>
            <w:r w:rsidRPr="003057B8">
              <w:t>High</w:t>
            </w:r>
          </w:p>
        </w:tc>
      </w:tr>
      <w:tr w:rsidR="003057B8" w:rsidRPr="003057B8" w14:paraId="75D479AE" w14:textId="77777777" w:rsidTr="00DF1DCC">
        <w:tblPrEx>
          <w:jc w:val="center"/>
        </w:tblPrEx>
        <w:trPr>
          <w:jc w:val="center"/>
        </w:trPr>
        <w:tc>
          <w:tcPr>
            <w:tcW w:w="1329" w:type="pct"/>
            <w:gridSpan w:val="2"/>
            <w:tcBorders>
              <w:bottom w:val="single" w:sz="4" w:space="0" w:color="auto"/>
            </w:tcBorders>
            <w:shd w:val="clear" w:color="auto" w:fill="auto"/>
            <w:vAlign w:val="center"/>
          </w:tcPr>
          <w:p w14:paraId="5DFB9FFC" w14:textId="77777777" w:rsidR="003057B8" w:rsidRPr="003057B8" w:rsidRDefault="003057B8" w:rsidP="00C72B13">
            <w:pPr>
              <w:pStyle w:val="Tabletext0"/>
            </w:pPr>
            <w:r w:rsidRPr="003057B8">
              <w:t>Unlikely</w:t>
            </w:r>
          </w:p>
        </w:tc>
        <w:tc>
          <w:tcPr>
            <w:tcW w:w="1148" w:type="pct"/>
            <w:tcBorders>
              <w:bottom w:val="single" w:sz="4" w:space="0" w:color="auto"/>
            </w:tcBorders>
            <w:shd w:val="clear" w:color="auto" w:fill="auto"/>
            <w:vAlign w:val="center"/>
          </w:tcPr>
          <w:p w14:paraId="19357F7C" w14:textId="77777777" w:rsidR="003057B8" w:rsidRPr="003057B8" w:rsidRDefault="003057B8" w:rsidP="00C72B13">
            <w:pPr>
              <w:pStyle w:val="Tabletext0"/>
            </w:pPr>
            <w:r w:rsidRPr="003057B8">
              <w:t>Low</w:t>
            </w:r>
          </w:p>
        </w:tc>
        <w:tc>
          <w:tcPr>
            <w:tcW w:w="1262" w:type="pct"/>
            <w:tcBorders>
              <w:bottom w:val="single" w:sz="4" w:space="0" w:color="auto"/>
            </w:tcBorders>
            <w:shd w:val="clear" w:color="auto" w:fill="auto"/>
            <w:vAlign w:val="center"/>
          </w:tcPr>
          <w:p w14:paraId="346871F8" w14:textId="77777777" w:rsidR="003057B8" w:rsidRPr="003057B8" w:rsidRDefault="003057B8" w:rsidP="00C72B13">
            <w:pPr>
              <w:pStyle w:val="Tabletext0"/>
            </w:pPr>
            <w:r w:rsidRPr="003057B8">
              <w:t>Low</w:t>
            </w:r>
          </w:p>
        </w:tc>
        <w:tc>
          <w:tcPr>
            <w:tcW w:w="1261" w:type="pct"/>
            <w:gridSpan w:val="2"/>
            <w:tcBorders>
              <w:bottom w:val="single" w:sz="4" w:space="0" w:color="auto"/>
            </w:tcBorders>
            <w:shd w:val="clear" w:color="auto" w:fill="auto"/>
            <w:vAlign w:val="center"/>
          </w:tcPr>
          <w:p w14:paraId="25E8FA3B" w14:textId="77777777" w:rsidR="003057B8" w:rsidRPr="003057B8" w:rsidRDefault="003057B8" w:rsidP="00C72B13">
            <w:pPr>
              <w:pStyle w:val="Tabletext0"/>
            </w:pPr>
            <w:r w:rsidRPr="003057B8">
              <w:t>Moderate</w:t>
            </w:r>
          </w:p>
        </w:tc>
      </w:tr>
    </w:tbl>
    <w:p w14:paraId="7F706D9E" w14:textId="77777777" w:rsidR="0049391B" w:rsidRDefault="0049391B" w:rsidP="003057B8">
      <w:pPr>
        <w:spacing w:line="259" w:lineRule="auto"/>
        <w:rPr>
          <w:rFonts w:cs="Arial"/>
        </w:rPr>
      </w:pPr>
    </w:p>
    <w:p w14:paraId="6A9F5AFA" w14:textId="517E903E" w:rsidR="003057B8" w:rsidRPr="00C01F65" w:rsidRDefault="003057B8" w:rsidP="0049391B">
      <w:pPr>
        <w:keepNext/>
        <w:keepLines/>
        <w:spacing w:line="259" w:lineRule="auto"/>
        <w:rPr>
          <w:rFonts w:cs="Arial"/>
        </w:rPr>
      </w:pPr>
      <w:r w:rsidRPr="00C01F65">
        <w:rPr>
          <w:rFonts w:cs="Arial"/>
        </w:rPr>
        <w:lastRenderedPageBreak/>
        <w:t>Monitoring data for the receiving waters was available from Melbourne Water, without the need for further monitoring or modelling as part of the analysis. These data included:</w:t>
      </w:r>
    </w:p>
    <w:p w14:paraId="7B88A943" w14:textId="77777777" w:rsidR="003057B8" w:rsidRPr="00C01F65" w:rsidRDefault="003057B8" w:rsidP="0049391B">
      <w:pPr>
        <w:pStyle w:val="ListBullet"/>
        <w:keepNext/>
        <w:keepLines/>
      </w:pPr>
      <w:r w:rsidRPr="00C01F65">
        <w:t xml:space="preserve">freshwater ecology: species presence and abundance </w:t>
      </w:r>
    </w:p>
    <w:p w14:paraId="59CE6511" w14:textId="6BF56538" w:rsidR="003057B8" w:rsidRPr="00F21050" w:rsidRDefault="003057B8" w:rsidP="0049391B">
      <w:pPr>
        <w:pStyle w:val="ListBullet"/>
        <w:keepNext/>
        <w:keepLines/>
      </w:pPr>
      <w:r w:rsidRPr="00C01F65">
        <w:t>water quality and toxicants of the receiving waters, such as nutrients, ammonia, salinity, pH, biological oxygen demand, suspended solids and metals.</w:t>
      </w:r>
    </w:p>
    <w:p w14:paraId="5E0826D3" w14:textId="77777777" w:rsidR="003057B8" w:rsidRPr="00C01F65" w:rsidRDefault="003057B8" w:rsidP="003057B8">
      <w:pPr>
        <w:spacing w:line="259" w:lineRule="auto"/>
        <w:rPr>
          <w:rFonts w:cs="Arial"/>
        </w:rPr>
      </w:pPr>
      <w:r w:rsidRPr="00C01F65">
        <w:rPr>
          <w:rFonts w:cs="Arial"/>
        </w:rPr>
        <w:t>A summary of the above data analysis to determine the consequence, likelihood and risk levels is given below for each environmental value.</w:t>
      </w:r>
    </w:p>
    <w:p w14:paraId="4731D9F2" w14:textId="77777777" w:rsidR="003057B8" w:rsidRPr="00C01F65" w:rsidRDefault="003057B8" w:rsidP="001A2427">
      <w:pPr>
        <w:pStyle w:val="Heading4"/>
      </w:pPr>
      <w:r w:rsidRPr="00C01F65">
        <w:t>Water dependent ecosystems and species</w:t>
      </w:r>
    </w:p>
    <w:p w14:paraId="5E82E976" w14:textId="2A60B5A9" w:rsidR="003057B8" w:rsidRPr="00C01F65" w:rsidRDefault="003057B8" w:rsidP="00C72B13">
      <w:pPr>
        <w:spacing w:line="259" w:lineRule="auto"/>
        <w:rPr>
          <w:rFonts w:cs="Arial"/>
        </w:rPr>
      </w:pPr>
      <w:r w:rsidRPr="00C01F65">
        <w:rPr>
          <w:rFonts w:cs="Arial"/>
        </w:rPr>
        <w:t>There were only a few stress</w:t>
      </w:r>
      <w:r w:rsidR="00DF3417">
        <w:rPr>
          <w:rFonts w:cs="Arial"/>
        </w:rPr>
        <w:t>-</w:t>
      </w:r>
      <w:r w:rsidRPr="00C01F65">
        <w:rPr>
          <w:rFonts w:cs="Arial"/>
        </w:rPr>
        <w:t xml:space="preserve">tolerant macroinvertebrate species identified downstream of the designated discharge point. There are no </w:t>
      </w:r>
      <w:r>
        <w:rPr>
          <w:rFonts w:cs="Arial"/>
        </w:rPr>
        <w:t>s</w:t>
      </w:r>
      <w:r w:rsidRPr="00C01F65">
        <w:rPr>
          <w:rFonts w:cs="Arial"/>
        </w:rPr>
        <w:t>tate-listed species (</w:t>
      </w:r>
      <w:r w:rsidRPr="00C01F65">
        <w:rPr>
          <w:rFonts w:cs="Arial"/>
          <w:i/>
          <w:iCs/>
        </w:rPr>
        <w:t>Flora and Fauna Guarantee Act</w:t>
      </w:r>
      <w:r w:rsidRPr="00C01F65">
        <w:rPr>
          <w:rFonts w:cs="Arial"/>
        </w:rPr>
        <w:t xml:space="preserve"> </w:t>
      </w:r>
      <w:r w:rsidRPr="00C01F65">
        <w:rPr>
          <w:rFonts w:cs="Arial"/>
          <w:i/>
          <w:iCs/>
        </w:rPr>
        <w:t>1988</w:t>
      </w:r>
      <w:r w:rsidRPr="00C01F65">
        <w:rPr>
          <w:rFonts w:cs="Arial"/>
        </w:rPr>
        <w:t>) likely to occur in the discharge region or nationally listed species (</w:t>
      </w:r>
      <w:r w:rsidRPr="00C01F65">
        <w:rPr>
          <w:rFonts w:cs="Arial"/>
          <w:i/>
          <w:iCs/>
        </w:rPr>
        <w:t>Environment Protection and Biodiversity Conservation Act</w:t>
      </w:r>
      <w:r w:rsidRPr="00C01F65">
        <w:rPr>
          <w:rFonts w:cs="Arial"/>
        </w:rPr>
        <w:t xml:space="preserve"> </w:t>
      </w:r>
      <w:r w:rsidRPr="00C01F65">
        <w:rPr>
          <w:rFonts w:cs="Arial"/>
          <w:i/>
          <w:iCs/>
        </w:rPr>
        <w:t>1999</w:t>
      </w:r>
      <w:r w:rsidRPr="00C01F65">
        <w:rPr>
          <w:rFonts w:cs="Arial"/>
        </w:rPr>
        <w:t xml:space="preserve">). </w:t>
      </w:r>
    </w:p>
    <w:p w14:paraId="30C158F8" w14:textId="77777777" w:rsidR="003057B8" w:rsidRPr="00C01F65" w:rsidRDefault="003057B8" w:rsidP="001A2427">
      <w:pPr>
        <w:pStyle w:val="Heading4"/>
      </w:pPr>
      <w:r w:rsidRPr="00C01F65">
        <w:t>Water-based recreation (aesthetic enjoyment)</w:t>
      </w:r>
    </w:p>
    <w:p w14:paraId="047EE83B" w14:textId="6794BB4F" w:rsidR="003057B8" w:rsidRPr="00C01F65" w:rsidRDefault="003057B8" w:rsidP="00C72B13">
      <w:pPr>
        <w:keepNext/>
        <w:keepLines/>
        <w:spacing w:line="259" w:lineRule="auto"/>
        <w:rPr>
          <w:rFonts w:cs="Arial"/>
        </w:rPr>
      </w:pPr>
      <w:r w:rsidRPr="00C01F65">
        <w:rPr>
          <w:rFonts w:cs="Arial"/>
        </w:rPr>
        <w:t xml:space="preserve">The discharge location has a very high level of dilution and dispersion. Source control and high treatment levels have reduced the nuisance constituents of the discharge to very low levels (data presented as an </w:t>
      </w:r>
      <w:r w:rsidR="00B54B99">
        <w:rPr>
          <w:rFonts w:cs="Arial"/>
        </w:rPr>
        <w:t>a</w:t>
      </w:r>
      <w:r w:rsidR="00B54B99" w:rsidRPr="00C01F65">
        <w:rPr>
          <w:rFonts w:cs="Arial"/>
        </w:rPr>
        <w:t xml:space="preserve">ppendix </w:t>
      </w:r>
      <w:r w:rsidRPr="00C01F65">
        <w:rPr>
          <w:rFonts w:cs="Arial"/>
        </w:rPr>
        <w:t>in the final report). Monitoring at the discharge point has reported no foams or slicks.</w:t>
      </w:r>
    </w:p>
    <w:p w14:paraId="2FD09D5B" w14:textId="77777777" w:rsidR="00D0570D" w:rsidRPr="00C01F65" w:rsidRDefault="00D0570D" w:rsidP="00D0570D">
      <w:pPr>
        <w:spacing w:line="259" w:lineRule="auto"/>
        <w:rPr>
          <w:rFonts w:cs="Arial"/>
        </w:rPr>
      </w:pPr>
      <w:r w:rsidRPr="00C01F65">
        <w:rPr>
          <w:rFonts w:cs="Arial"/>
        </w:rPr>
        <w:t>As the caravan park was a relatively new park, the effluent quality was unknown. Therefore, monitoring of the effluent quality was required, including physicochemical water quality data (</w:t>
      </w:r>
      <w:r>
        <w:rPr>
          <w:rFonts w:cs="Arial"/>
        </w:rPr>
        <w:t>such as</w:t>
      </w:r>
      <w:r w:rsidRPr="00C01F65">
        <w:rPr>
          <w:rFonts w:cs="Arial"/>
        </w:rPr>
        <w:t xml:space="preserve"> nutrients, dissolved oxygen, turbidity, pH, temperature, salinity) and microbial data.</w:t>
      </w:r>
    </w:p>
    <w:p w14:paraId="71317E1A" w14:textId="75FAF7AF" w:rsidR="00D0570D" w:rsidRPr="00C01F65" w:rsidRDefault="00D0570D" w:rsidP="00D0570D">
      <w:pPr>
        <w:spacing w:line="259" w:lineRule="auto"/>
        <w:rPr>
          <w:rFonts w:cs="Arial"/>
        </w:rPr>
      </w:pPr>
      <w:r w:rsidRPr="00C01F65">
        <w:rPr>
          <w:rFonts w:cs="Arial"/>
        </w:rPr>
        <w:t xml:space="preserve">A risk analysis was conducted for the discharge using the effluent water quality data and receiving waters flow gauge data from Melbourne Water. The daily discharge volume and mean daily flow of the receiving waters were used to calculate the minimum dilution capacity of the receiving waters for this period. This was used along with water quality data of the effluent to estimate the potential concentrations of </w:t>
      </w:r>
      <w:r w:rsidR="007372BA">
        <w:rPr>
          <w:rFonts w:cs="Arial"/>
        </w:rPr>
        <w:t>hazard</w:t>
      </w:r>
      <w:r w:rsidRPr="00C01F65">
        <w:rPr>
          <w:rFonts w:cs="Arial"/>
        </w:rPr>
        <w:t>s in the receiving waters from the discharge. These estimates were then used to conduct a preliminary risk analysis using the matrix in</w:t>
      </w:r>
      <w:r w:rsidR="00E82DD2">
        <w:rPr>
          <w:rFonts w:cs="Arial"/>
        </w:rPr>
        <w:t xml:space="preserve"> </w:t>
      </w:r>
      <w:r w:rsidR="00F21FFA" w:rsidRPr="00736BE9">
        <w:rPr>
          <w:rFonts w:cs="Arial"/>
        </w:rPr>
        <w:fldChar w:fldCharType="begin"/>
      </w:r>
      <w:r w:rsidR="00F21FFA" w:rsidRPr="00736BE9">
        <w:rPr>
          <w:rFonts w:cs="Arial"/>
        </w:rPr>
        <w:instrText xml:space="preserve"> REF _Ref88225374 \h  \* MERGEFORMAT </w:instrText>
      </w:r>
      <w:r w:rsidR="00F21FFA" w:rsidRPr="00736BE9">
        <w:rPr>
          <w:rFonts w:cs="Arial"/>
        </w:rPr>
      </w:r>
      <w:r w:rsidR="00F21FFA" w:rsidRPr="00736BE9">
        <w:rPr>
          <w:rFonts w:cs="Arial"/>
        </w:rPr>
        <w:fldChar w:fldCharType="separate"/>
      </w:r>
      <w:r w:rsidR="00FD64B0" w:rsidRPr="00FD64B0">
        <w:rPr>
          <w:rFonts w:asciiTheme="majorHAnsi" w:hAnsiTheme="majorHAnsi" w:cs="Arial"/>
        </w:rPr>
        <w:t>Table</w:t>
      </w:r>
      <w:r w:rsidR="00FD64B0" w:rsidRPr="00A4665C">
        <w:t xml:space="preserve"> B</w:t>
      </w:r>
      <w:r w:rsidR="00FD64B0">
        <w:t>18</w:t>
      </w:r>
      <w:r w:rsidR="00F21FFA" w:rsidRPr="00736BE9">
        <w:rPr>
          <w:rFonts w:cs="Arial"/>
        </w:rPr>
        <w:fldChar w:fldCharType="end"/>
      </w:r>
      <w:r w:rsidRPr="00C01F65">
        <w:rPr>
          <w:rFonts w:cs="Arial"/>
        </w:rPr>
        <w:t xml:space="preserve">. </w:t>
      </w:r>
    </w:p>
    <w:p w14:paraId="499F7E46" w14:textId="0B438C80" w:rsidR="00FD121E" w:rsidRPr="00E82DD2" w:rsidRDefault="00FD121E" w:rsidP="00AA7232">
      <w:pPr>
        <w:pStyle w:val="Heading4"/>
        <w:rPr>
          <w:rFonts w:cs="Arial"/>
        </w:rPr>
      </w:pPr>
      <w:r w:rsidRPr="00E82DD2">
        <w:t>Risk characterisation and management</w:t>
      </w:r>
    </w:p>
    <w:p w14:paraId="0384955D" w14:textId="528C1C15" w:rsidR="0049391B" w:rsidRDefault="00D0570D" w:rsidP="00D0570D">
      <w:pPr>
        <w:spacing w:line="259" w:lineRule="auto"/>
        <w:rPr>
          <w:rFonts w:cs="Arial"/>
        </w:rPr>
      </w:pPr>
      <w:r w:rsidRPr="00C01F65">
        <w:rPr>
          <w:rFonts w:cs="Arial"/>
        </w:rPr>
        <w:t xml:space="preserve">The risk characterisation involved defining the level of risk posed to the environmental values, identifying management responses for addressing the risks and documenting the risk assessment. The management actions implemented for the different levels of risk are provided in </w:t>
      </w:r>
      <w:r w:rsidR="00417A88">
        <w:rPr>
          <w:rFonts w:cs="Arial"/>
        </w:rPr>
        <w:fldChar w:fldCharType="begin"/>
      </w:r>
      <w:r w:rsidR="00417A88">
        <w:rPr>
          <w:rFonts w:cs="Arial"/>
        </w:rPr>
        <w:instrText xml:space="preserve"> REF _Ref88225455 \h </w:instrText>
      </w:r>
      <w:r w:rsidR="00417A88">
        <w:rPr>
          <w:rFonts w:cs="Arial"/>
        </w:rPr>
      </w:r>
      <w:r w:rsidR="00417A88">
        <w:rPr>
          <w:rFonts w:cs="Arial"/>
        </w:rPr>
        <w:fldChar w:fldCharType="separate"/>
      </w:r>
      <w:r w:rsidR="00FD64B0" w:rsidRPr="00D0570D">
        <w:t>Table B</w:t>
      </w:r>
      <w:r w:rsidR="00FD64B0">
        <w:rPr>
          <w:noProof/>
        </w:rPr>
        <w:t>19</w:t>
      </w:r>
      <w:r w:rsidR="00417A88">
        <w:rPr>
          <w:rFonts w:cs="Arial"/>
        </w:rPr>
        <w:fldChar w:fldCharType="end"/>
      </w:r>
      <w:r w:rsidR="00E31FC4">
        <w:rPr>
          <w:rFonts w:cs="Arial"/>
        </w:rPr>
        <w:t>.</w:t>
      </w:r>
      <w:r w:rsidRPr="00C01F65">
        <w:rPr>
          <w:rFonts w:cs="Arial"/>
        </w:rPr>
        <w:t xml:space="preserve"> </w:t>
      </w:r>
    </w:p>
    <w:p w14:paraId="4500E458" w14:textId="7036DB36" w:rsidR="00A02DA2" w:rsidRDefault="002B12A4" w:rsidP="00D0570D">
      <w:pPr>
        <w:spacing w:line="259" w:lineRule="auto"/>
        <w:rPr>
          <w:rFonts w:cs="Arial"/>
        </w:rPr>
      </w:pPr>
      <w:r>
        <w:rPr>
          <w:rFonts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3"/>
        <w:gridCol w:w="6883"/>
      </w:tblGrid>
      <w:tr w:rsidR="00D0570D" w:rsidRPr="00D0570D" w14:paraId="1C9480E7" w14:textId="77777777" w:rsidTr="00D0570D">
        <w:trPr>
          <w:jc w:val="center"/>
        </w:trPr>
        <w:tc>
          <w:tcPr>
            <w:tcW w:w="5000" w:type="pct"/>
            <w:gridSpan w:val="2"/>
            <w:tcBorders>
              <w:top w:val="nil"/>
              <w:left w:val="nil"/>
              <w:right w:val="nil"/>
            </w:tcBorders>
            <w:shd w:val="clear" w:color="auto" w:fill="auto"/>
          </w:tcPr>
          <w:p w14:paraId="7AFED093" w14:textId="0A4CB4F1" w:rsidR="00D0570D" w:rsidRPr="00D0570D" w:rsidRDefault="00D0570D" w:rsidP="00A4665C">
            <w:pPr>
              <w:pStyle w:val="Caption"/>
            </w:pPr>
            <w:bookmarkStart w:id="177" w:name="_Ref88225455"/>
            <w:bookmarkStart w:id="178" w:name="_Ref57142924"/>
            <w:r w:rsidRPr="00D0570D">
              <w:lastRenderedPageBreak/>
              <w:t>Table B</w:t>
            </w:r>
            <w:fldSimple w:instr=" SEQ Table_B \* ARABIC ">
              <w:r w:rsidR="00FD64B0">
                <w:rPr>
                  <w:noProof/>
                </w:rPr>
                <w:t>19</w:t>
              </w:r>
            </w:fldSimple>
            <w:bookmarkEnd w:id="177"/>
            <w:r>
              <w:t xml:space="preserve"> </w:t>
            </w:r>
            <w:r w:rsidR="00E82DD2" w:rsidRPr="00450B9F">
              <w:t>–</w:t>
            </w:r>
            <w:r w:rsidRPr="00D0570D">
              <w:t xml:space="preserve"> Management response to risk levels</w:t>
            </w:r>
            <w:bookmarkEnd w:id="178"/>
          </w:p>
        </w:tc>
      </w:tr>
      <w:tr w:rsidR="00D0570D" w:rsidRPr="00D0570D" w14:paraId="5E8C2F68" w14:textId="77777777" w:rsidTr="00D0570D">
        <w:trPr>
          <w:jc w:val="center"/>
        </w:trPr>
        <w:tc>
          <w:tcPr>
            <w:tcW w:w="1618" w:type="pct"/>
            <w:shd w:val="clear" w:color="auto" w:fill="003F72"/>
          </w:tcPr>
          <w:p w14:paraId="5BC59A61" w14:textId="77777777" w:rsidR="00D0570D" w:rsidRPr="001A2427" w:rsidRDefault="00D0570D" w:rsidP="001A2427">
            <w:pPr>
              <w:pStyle w:val="Tabletext0"/>
            </w:pPr>
            <w:r w:rsidRPr="001A2427">
              <w:t>Risk level</w:t>
            </w:r>
          </w:p>
        </w:tc>
        <w:tc>
          <w:tcPr>
            <w:tcW w:w="3382" w:type="pct"/>
            <w:shd w:val="clear" w:color="auto" w:fill="003F72"/>
          </w:tcPr>
          <w:p w14:paraId="46C06915" w14:textId="77777777" w:rsidR="00D0570D" w:rsidRPr="001A2427" w:rsidRDefault="00D0570D" w:rsidP="001A2427">
            <w:pPr>
              <w:pStyle w:val="Tabletext0"/>
            </w:pPr>
            <w:r w:rsidRPr="001A2427">
              <w:t>Management response</w:t>
            </w:r>
          </w:p>
        </w:tc>
      </w:tr>
      <w:tr w:rsidR="00D0570D" w:rsidRPr="00D0570D" w14:paraId="3BD56F8C" w14:textId="77777777" w:rsidTr="00365377">
        <w:trPr>
          <w:jc w:val="center"/>
        </w:trPr>
        <w:tc>
          <w:tcPr>
            <w:tcW w:w="1618" w:type="pct"/>
            <w:shd w:val="clear" w:color="auto" w:fill="auto"/>
            <w:vAlign w:val="center"/>
          </w:tcPr>
          <w:p w14:paraId="43038E62" w14:textId="77777777" w:rsidR="00D0570D" w:rsidRPr="001A2427" w:rsidRDefault="00D0570D" w:rsidP="001A2427">
            <w:pPr>
              <w:pStyle w:val="Tabletext0"/>
            </w:pPr>
            <w:r w:rsidRPr="001A2427">
              <w:t xml:space="preserve">High </w:t>
            </w:r>
          </w:p>
        </w:tc>
        <w:tc>
          <w:tcPr>
            <w:tcW w:w="3382" w:type="pct"/>
            <w:shd w:val="clear" w:color="auto" w:fill="auto"/>
          </w:tcPr>
          <w:p w14:paraId="7A7A2B20" w14:textId="77777777" w:rsidR="00D0570D" w:rsidRPr="001A2427" w:rsidRDefault="00D0570D" w:rsidP="001A2427">
            <w:pPr>
              <w:pStyle w:val="Tabletext0"/>
            </w:pPr>
            <w:r w:rsidRPr="001A2427">
              <w:t>Immediate action required</w:t>
            </w:r>
          </w:p>
        </w:tc>
      </w:tr>
      <w:tr w:rsidR="00D0570D" w:rsidRPr="00D0570D" w14:paraId="65DE824B" w14:textId="77777777" w:rsidTr="00365377">
        <w:trPr>
          <w:jc w:val="center"/>
        </w:trPr>
        <w:tc>
          <w:tcPr>
            <w:tcW w:w="1618" w:type="pct"/>
            <w:shd w:val="clear" w:color="auto" w:fill="auto"/>
            <w:vAlign w:val="center"/>
          </w:tcPr>
          <w:p w14:paraId="062530B2" w14:textId="77777777" w:rsidR="00D0570D" w:rsidRPr="001A2427" w:rsidRDefault="00D0570D" w:rsidP="001A2427">
            <w:pPr>
              <w:pStyle w:val="Tabletext0"/>
            </w:pPr>
            <w:r w:rsidRPr="001A2427">
              <w:t xml:space="preserve">Moderate </w:t>
            </w:r>
          </w:p>
        </w:tc>
        <w:tc>
          <w:tcPr>
            <w:tcW w:w="3382" w:type="pct"/>
            <w:shd w:val="clear" w:color="auto" w:fill="auto"/>
          </w:tcPr>
          <w:p w14:paraId="5BC9C02E" w14:textId="449EAA8B" w:rsidR="00D0570D" w:rsidRPr="001A2427" w:rsidRDefault="00D0570D" w:rsidP="001A2427">
            <w:pPr>
              <w:pStyle w:val="Tabletext0"/>
            </w:pPr>
            <w:r w:rsidRPr="001A2427">
              <w:t>Investigate cause</w:t>
            </w:r>
            <w:r w:rsidR="00C13EF4" w:rsidRPr="001A2427">
              <w:t xml:space="preserve"> and</w:t>
            </w:r>
            <w:r w:rsidRPr="001A2427">
              <w:t xml:space="preserve"> mitigation measures </w:t>
            </w:r>
          </w:p>
        </w:tc>
      </w:tr>
      <w:tr w:rsidR="00D0570D" w:rsidRPr="00D0570D" w14:paraId="3582867E" w14:textId="77777777" w:rsidTr="00365377">
        <w:trPr>
          <w:jc w:val="center"/>
        </w:trPr>
        <w:tc>
          <w:tcPr>
            <w:tcW w:w="1618" w:type="pct"/>
            <w:shd w:val="clear" w:color="auto" w:fill="auto"/>
            <w:vAlign w:val="center"/>
          </w:tcPr>
          <w:p w14:paraId="2439726E" w14:textId="77777777" w:rsidR="00D0570D" w:rsidRPr="001A2427" w:rsidRDefault="00D0570D" w:rsidP="001A2427">
            <w:pPr>
              <w:pStyle w:val="Tabletext0"/>
            </w:pPr>
            <w:r w:rsidRPr="001A2427">
              <w:t xml:space="preserve">Low </w:t>
            </w:r>
          </w:p>
        </w:tc>
        <w:tc>
          <w:tcPr>
            <w:tcW w:w="3382" w:type="pct"/>
            <w:shd w:val="clear" w:color="auto" w:fill="auto"/>
          </w:tcPr>
          <w:p w14:paraId="4AE7B11D" w14:textId="77777777" w:rsidR="00D0570D" w:rsidRPr="001A2427" w:rsidRDefault="00D0570D" w:rsidP="001A2427">
            <w:pPr>
              <w:pStyle w:val="Tabletext0"/>
            </w:pPr>
            <w:r w:rsidRPr="001A2427">
              <w:t>Monitor and report</w:t>
            </w:r>
          </w:p>
        </w:tc>
      </w:tr>
    </w:tbl>
    <w:p w14:paraId="0AAE7BBE" w14:textId="4FE2AE00" w:rsidR="00D0570D" w:rsidRPr="00C01F65" w:rsidRDefault="00D0570D" w:rsidP="00D0570D">
      <w:pPr>
        <w:spacing w:line="259" w:lineRule="auto"/>
        <w:rPr>
          <w:rFonts w:cs="Arial"/>
          <w:i/>
        </w:rPr>
      </w:pPr>
      <w:r w:rsidRPr="00C01F65">
        <w:rPr>
          <w:rFonts w:cs="Arial"/>
        </w:rPr>
        <w:t>The final risk characterisation (</w:t>
      </w:r>
      <w:r w:rsidR="00B54B99">
        <w:rPr>
          <w:rFonts w:cs="Arial"/>
        </w:rPr>
        <w:t xml:space="preserve">that </w:t>
      </w:r>
      <w:r>
        <w:rPr>
          <w:rFonts w:cs="Arial"/>
        </w:rPr>
        <w:t>is,</w:t>
      </w:r>
      <w:r w:rsidRPr="00C01F65">
        <w:rPr>
          <w:rFonts w:cs="Arial"/>
        </w:rPr>
        <w:t xml:space="preserve"> the assessed level of risk posed to the </w:t>
      </w:r>
      <w:r w:rsidR="008E6D7A">
        <w:rPr>
          <w:rFonts w:cs="Arial"/>
        </w:rPr>
        <w:t>environmental values</w:t>
      </w:r>
      <w:r w:rsidRPr="00C01F65">
        <w:rPr>
          <w:rFonts w:cs="Arial"/>
        </w:rPr>
        <w:t>) and management actions for addressing these risks are summarised below.</w:t>
      </w:r>
    </w:p>
    <w:p w14:paraId="62CDD820" w14:textId="77777777" w:rsidR="00D0570D" w:rsidRPr="002E2E04" w:rsidRDefault="00D0570D" w:rsidP="00D0570D">
      <w:pPr>
        <w:spacing w:line="259" w:lineRule="auto"/>
        <w:rPr>
          <w:rFonts w:cs="Arial"/>
          <w:b/>
          <w:bCs/>
          <w:i/>
        </w:rPr>
      </w:pPr>
      <w:r w:rsidRPr="002E2E04">
        <w:rPr>
          <w:rFonts w:cs="Arial"/>
          <w:b/>
          <w:bCs/>
          <w:i/>
        </w:rPr>
        <w:t>Water dependent ecosystems and species</w:t>
      </w:r>
    </w:p>
    <w:p w14:paraId="0DE934FF" w14:textId="77777777" w:rsidR="00D0570D" w:rsidRPr="00C01F65" w:rsidRDefault="00D0570D" w:rsidP="0070372E">
      <w:pPr>
        <w:pStyle w:val="ListBullet"/>
      </w:pPr>
      <w:r w:rsidRPr="00C01F65">
        <w:t>Risk: low</w:t>
      </w:r>
    </w:p>
    <w:p w14:paraId="46A2C74B" w14:textId="77777777" w:rsidR="00D0570D" w:rsidRPr="00C01F65" w:rsidRDefault="00D0570D" w:rsidP="0070372E">
      <w:pPr>
        <w:pStyle w:val="ListBullet"/>
      </w:pPr>
      <w:r w:rsidRPr="00C01F65">
        <w:t xml:space="preserve">Management actions: </w:t>
      </w:r>
    </w:p>
    <w:p w14:paraId="236F2698" w14:textId="77777777" w:rsidR="00D0570D" w:rsidRPr="00C01F65" w:rsidRDefault="00D0570D" w:rsidP="00525686">
      <w:pPr>
        <w:pStyle w:val="ListBullet"/>
        <w:numPr>
          <w:ilvl w:val="1"/>
          <w:numId w:val="9"/>
        </w:numPr>
      </w:pPr>
      <w:r w:rsidRPr="00C01F65">
        <w:t xml:space="preserve">Develop and implement an appropriate monitoring plan to assess if the risk levels change in the receiving waters from the discharge including biological, water quality and human health indicators and continue monitoring the freshwater ecosystem to comply with EPA licence. </w:t>
      </w:r>
    </w:p>
    <w:p w14:paraId="36053D91" w14:textId="75CCA9C5" w:rsidR="002E2E04" w:rsidRPr="00F21050" w:rsidRDefault="00D0570D" w:rsidP="00525686">
      <w:pPr>
        <w:pStyle w:val="ListBullet"/>
        <w:numPr>
          <w:ilvl w:val="1"/>
          <w:numId w:val="9"/>
        </w:numPr>
      </w:pPr>
      <w:r w:rsidRPr="00C01F65">
        <w:t>Monitor the receiving waters to assess if the risk assessment assumptions of risks being low are correct.</w:t>
      </w:r>
    </w:p>
    <w:p w14:paraId="507FCB3E" w14:textId="0A4883AE" w:rsidR="00D0570D" w:rsidRPr="002E2E04" w:rsidRDefault="00D0570D" w:rsidP="00D0570D">
      <w:pPr>
        <w:spacing w:line="259" w:lineRule="auto"/>
        <w:rPr>
          <w:rFonts w:cs="Arial"/>
          <w:b/>
          <w:bCs/>
          <w:i/>
        </w:rPr>
      </w:pPr>
      <w:r w:rsidRPr="002E2E04">
        <w:rPr>
          <w:rFonts w:cs="Arial"/>
          <w:b/>
          <w:bCs/>
          <w:i/>
        </w:rPr>
        <w:t>Water</w:t>
      </w:r>
      <w:r w:rsidR="008F156B">
        <w:rPr>
          <w:rFonts w:cs="Arial"/>
          <w:b/>
          <w:bCs/>
          <w:i/>
        </w:rPr>
        <w:t>-</w:t>
      </w:r>
      <w:r w:rsidRPr="002E2E04">
        <w:rPr>
          <w:rFonts w:cs="Arial"/>
          <w:b/>
          <w:bCs/>
          <w:i/>
        </w:rPr>
        <w:t>based recreation (aesthetic enjoyment)</w:t>
      </w:r>
    </w:p>
    <w:p w14:paraId="51A4F32C" w14:textId="77777777" w:rsidR="00D0570D" w:rsidRPr="00C01F65" w:rsidRDefault="00D0570D" w:rsidP="001A2427">
      <w:pPr>
        <w:pStyle w:val="ListBullet"/>
      </w:pPr>
      <w:r w:rsidRPr="00C01F65">
        <w:t>Risk: low</w:t>
      </w:r>
    </w:p>
    <w:p w14:paraId="2F99CC0C" w14:textId="77777777" w:rsidR="00382C30" w:rsidRDefault="00D0570D" w:rsidP="001A2427">
      <w:pPr>
        <w:pStyle w:val="ListBullet"/>
      </w:pPr>
      <w:r w:rsidRPr="00C01F65">
        <w:t>Management action: continue monitoring aesthetic indicators downstream of the discharge point.</w:t>
      </w:r>
      <w:bookmarkStart w:id="179" w:name="_Ref88225697"/>
      <w:bookmarkStart w:id="180" w:name="_Toc49942282"/>
      <w:bookmarkStart w:id="181" w:name="_Toc51929036"/>
      <w:bookmarkStart w:id="182" w:name="_Ref57105319"/>
      <w:bookmarkStart w:id="183" w:name="_Ref57109082"/>
      <w:bookmarkStart w:id="184" w:name="_Ref57109126"/>
      <w:bookmarkStart w:id="185" w:name="_Ref57119127"/>
      <w:bookmarkStart w:id="186" w:name="_Ref57126880"/>
      <w:bookmarkStart w:id="187" w:name="_Ref57127646"/>
      <w:bookmarkStart w:id="188" w:name="_Ref57127703"/>
      <w:bookmarkStart w:id="189" w:name="_Ref57128103"/>
      <w:bookmarkStart w:id="190" w:name="_Ref57136785"/>
      <w:bookmarkStart w:id="191" w:name="_Ref57137152"/>
      <w:bookmarkStart w:id="192" w:name="_Ref57141832"/>
      <w:bookmarkStart w:id="193" w:name="_Toc87369307"/>
    </w:p>
    <w:p w14:paraId="4BE55590" w14:textId="77777777" w:rsidR="001A2427" w:rsidRDefault="001A2427" w:rsidP="001A2427">
      <w:pPr>
        <w:pStyle w:val="ListBullet"/>
        <w:numPr>
          <w:ilvl w:val="0"/>
          <w:numId w:val="0"/>
        </w:numPr>
        <w:ind w:left="720" w:hanging="360"/>
      </w:pPr>
    </w:p>
    <w:p w14:paraId="44C1CD88" w14:textId="77777777" w:rsidR="007923A2" w:rsidRDefault="007923A2" w:rsidP="001A2427">
      <w:pPr>
        <w:pStyle w:val="ListBullet"/>
        <w:numPr>
          <w:ilvl w:val="0"/>
          <w:numId w:val="0"/>
        </w:numPr>
        <w:ind w:left="720" w:hanging="360"/>
        <w:sectPr w:rsidR="007923A2" w:rsidSect="00382C30">
          <w:headerReference w:type="even" r:id="rId68"/>
          <w:footerReference w:type="even" r:id="rId69"/>
          <w:type w:val="continuous"/>
          <w:pgSz w:w="11906" w:h="16838" w:code="9"/>
          <w:pgMar w:top="1038" w:right="743" w:bottom="1321" w:left="987" w:header="284" w:footer="550" w:gutter="0"/>
          <w:cols w:space="720"/>
          <w:titlePg/>
          <w:docGrid w:linePitch="299"/>
        </w:sectPr>
      </w:pPr>
    </w:p>
    <w:p w14:paraId="5AF8CA1B" w14:textId="77777777" w:rsidR="00382C30" w:rsidRDefault="00382C30" w:rsidP="00235CBB"/>
    <w:p w14:paraId="14ACECDB" w14:textId="598E8D73" w:rsidR="001655D7" w:rsidRDefault="1B2F6DD7" w:rsidP="00417A88">
      <w:pPr>
        <w:pStyle w:val="AppendixA"/>
      </w:pPr>
      <w:bookmarkStart w:id="194" w:name="_Toc133938164"/>
      <w:bookmarkEnd w:id="179"/>
      <w:r>
        <w:t>Guidance for assessing human health risk of wastewater discharges to surface waters</w:t>
      </w:r>
      <w:bookmarkEnd w:id="194"/>
    </w:p>
    <w:p w14:paraId="7164512F" w14:textId="3DD38413" w:rsidR="00B54B99" w:rsidRPr="00AA7232" w:rsidRDefault="00766345" w:rsidP="00F46C15">
      <w:pPr>
        <w:pStyle w:val="AppendixA1"/>
      </w:pPr>
      <w:bookmarkStart w:id="195" w:name="_Toc13393816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Introduction</w:t>
      </w:r>
      <w:bookmarkEnd w:id="195"/>
    </w:p>
    <w:p w14:paraId="110E7AFE" w14:textId="3B988720" w:rsidR="00C91762" w:rsidRDefault="001655D7" w:rsidP="00C91762">
      <w:pPr>
        <w:rPr>
          <w:rFonts w:cs="Arial"/>
        </w:rPr>
      </w:pPr>
      <w:r w:rsidRPr="00C01F65">
        <w:t>Th</w:t>
      </w:r>
      <w:r w:rsidR="00A93D17">
        <w:t xml:space="preserve">e guidance in this appendix </w:t>
      </w:r>
      <w:r w:rsidRPr="00C01F65">
        <w:t>provide</w:t>
      </w:r>
      <w:r w:rsidR="00C465C5">
        <w:t>s</w:t>
      </w:r>
      <w:r w:rsidRPr="00C01F65">
        <w:t xml:space="preserve"> a framework to assess the microbial risk resulting from the handling and discharge of wastewater.</w:t>
      </w:r>
      <w:r w:rsidR="00FD1EC3">
        <w:t xml:space="preserve"> </w:t>
      </w:r>
      <w:r w:rsidR="003A27E2">
        <w:t xml:space="preserve">The guidance </w:t>
      </w:r>
      <w:r w:rsidR="00FD1EC3" w:rsidRPr="0022471B">
        <w:rPr>
          <w:rFonts w:cs="Arial"/>
        </w:rPr>
        <w:t>is not a compliance tool.</w:t>
      </w:r>
      <w:r w:rsidR="00C91762">
        <w:rPr>
          <w:rFonts w:cs="Arial"/>
        </w:rPr>
        <w:t xml:space="preserve"> </w:t>
      </w:r>
      <w:r w:rsidR="004B701C">
        <w:rPr>
          <w:rFonts w:cs="Arial"/>
        </w:rPr>
        <w:t xml:space="preserve">It </w:t>
      </w:r>
      <w:r w:rsidR="0072018C">
        <w:rPr>
          <w:rFonts w:cs="Arial"/>
        </w:rPr>
        <w:t xml:space="preserve">helps </w:t>
      </w:r>
      <w:r w:rsidR="005B0878">
        <w:rPr>
          <w:rFonts w:cs="Arial"/>
        </w:rPr>
        <w:t xml:space="preserve">users </w:t>
      </w:r>
      <w:r w:rsidR="00C91762" w:rsidRPr="005D2058">
        <w:rPr>
          <w:rFonts w:cs="Arial"/>
        </w:rPr>
        <w:t>understand the risk</w:t>
      </w:r>
      <w:r w:rsidR="003A1C52">
        <w:rPr>
          <w:rFonts w:cs="Arial"/>
        </w:rPr>
        <w:t>s</w:t>
      </w:r>
      <w:r w:rsidR="00C91762" w:rsidRPr="005D2058">
        <w:rPr>
          <w:rFonts w:cs="Arial"/>
        </w:rPr>
        <w:t xml:space="preserve"> </w:t>
      </w:r>
      <w:r w:rsidR="003A1C52" w:rsidRPr="005D2058">
        <w:rPr>
          <w:rFonts w:cs="Arial"/>
        </w:rPr>
        <w:t xml:space="preserve">to human health </w:t>
      </w:r>
      <w:r w:rsidR="00CA478A">
        <w:t>from</w:t>
      </w:r>
      <w:r w:rsidR="008F2B69" w:rsidRPr="00827015">
        <w:t xml:space="preserve"> wastewater discharge</w:t>
      </w:r>
      <w:r w:rsidR="00CA478A">
        <w:t xml:space="preserve">, </w:t>
      </w:r>
      <w:r w:rsidR="008F2B69" w:rsidRPr="00827015">
        <w:t xml:space="preserve">so that </w:t>
      </w:r>
      <w:r w:rsidR="008F2B69">
        <w:t>risks</w:t>
      </w:r>
      <w:r w:rsidR="008F2B69" w:rsidRPr="00827015">
        <w:t xml:space="preserve"> can be minimised so far as reasonably practicable</w:t>
      </w:r>
      <w:r w:rsidR="003A1C52">
        <w:t>.</w:t>
      </w:r>
      <w:r w:rsidR="008F2B69" w:rsidRPr="005D2058">
        <w:rPr>
          <w:rFonts w:cs="Arial"/>
        </w:rPr>
        <w:t xml:space="preserve"> </w:t>
      </w:r>
      <w:r w:rsidR="004527BC">
        <w:rPr>
          <w:rFonts w:cs="Arial"/>
        </w:rPr>
        <w:t xml:space="preserve">It </w:t>
      </w:r>
      <w:r w:rsidR="004F05A6">
        <w:t>provides information that will help permission holders comply with their legal obligations and meet community expectations.</w:t>
      </w:r>
    </w:p>
    <w:p w14:paraId="3B4643CB" w14:textId="5A7C8B57" w:rsidR="00E27726" w:rsidRPr="0071155C" w:rsidRDefault="001655D7" w:rsidP="00E27726">
      <w:pPr>
        <w:rPr>
          <w:rFonts w:cs="Arial"/>
        </w:rPr>
      </w:pPr>
      <w:r w:rsidRPr="00C01F65">
        <w:t>The complexity of human health risk assessments</w:t>
      </w:r>
      <w:r w:rsidRPr="00C01F65">
        <w:rPr>
          <w:b/>
        </w:rPr>
        <w:t xml:space="preserve"> </w:t>
      </w:r>
      <w:r w:rsidRPr="00C01F65">
        <w:t xml:space="preserve">can vary, from semi-quantitative to advanced quantitative assessments. The level of complexity will depend on factors such as hazards, impacts and receptor characteristics, which are case-specific. </w:t>
      </w:r>
      <w:r w:rsidR="00E27726">
        <w:t xml:space="preserve">This </w:t>
      </w:r>
      <w:r w:rsidR="00E3199B">
        <w:t>appendix</w:t>
      </w:r>
      <w:r w:rsidR="00E27726" w:rsidRPr="00B363F7">
        <w:rPr>
          <w:rFonts w:cs="Arial"/>
        </w:rPr>
        <w:t xml:space="preserve"> focusses on treated domestic and animal effluent wastewater discharges. </w:t>
      </w:r>
      <w:r w:rsidR="00E27726" w:rsidRPr="00B363F7">
        <w:t xml:space="preserve">The main body of the </w:t>
      </w:r>
      <w:r w:rsidR="005E47E4">
        <w:t xml:space="preserve">environmental </w:t>
      </w:r>
      <w:r w:rsidR="00E27726" w:rsidRPr="00B363F7">
        <w:t>guidance can be used for chemical risk assessment.</w:t>
      </w:r>
      <w:r w:rsidR="00E27726">
        <w:t xml:space="preserve"> </w:t>
      </w:r>
    </w:p>
    <w:p w14:paraId="33428486" w14:textId="4133E9FB" w:rsidR="00B363F7" w:rsidRPr="00C01F65" w:rsidRDefault="00F11BBE" w:rsidP="00B363F7">
      <w:r w:rsidRPr="00C95C70">
        <w:t>N</w:t>
      </w:r>
      <w:r w:rsidR="00B363F7" w:rsidRPr="00C95C70">
        <w:t>ote</w:t>
      </w:r>
      <w:r w:rsidRPr="00C95C70">
        <w:t>:</w:t>
      </w:r>
      <w:r w:rsidR="00B363F7" w:rsidRPr="00C95C70">
        <w:t xml:space="preserve"> </w:t>
      </w:r>
      <w:r w:rsidR="00B363F7" w:rsidRPr="00B363F7">
        <w:t xml:space="preserve">indicative values for calculating risks presented in this appendix may change as knowledge in the field increases. For that reason, </w:t>
      </w:r>
      <w:r w:rsidR="001362D3">
        <w:t xml:space="preserve">users </w:t>
      </w:r>
      <w:r w:rsidR="00B363F7" w:rsidRPr="00B363F7">
        <w:t xml:space="preserve">should refer to the latest version of the Australian Guidelines for Water Recycling </w:t>
      </w:r>
      <w:r w:rsidR="002141CB" w:rsidRPr="10077A7C">
        <w:rPr>
          <w:rFonts w:cs="Arial"/>
        </w:rPr>
        <w:t>(NRMMC et al., 2006, 2008)</w:t>
      </w:r>
      <w:r w:rsidR="002141CB">
        <w:rPr>
          <w:rFonts w:cs="Arial"/>
        </w:rPr>
        <w:t xml:space="preserve"> </w:t>
      </w:r>
      <w:r w:rsidR="00B363F7" w:rsidRPr="00B363F7">
        <w:t>as the point of truth when calculating risks.</w:t>
      </w:r>
    </w:p>
    <w:p w14:paraId="4B96C4C4" w14:textId="49E4F1A8" w:rsidR="001655D7" w:rsidRPr="00C01F65" w:rsidRDefault="001655D7" w:rsidP="00CA478A">
      <w:r w:rsidRPr="00C01F65">
        <w:t xml:space="preserve">For more information, please contact EPA at </w:t>
      </w:r>
      <w:hyperlink r:id="rId70" w:history="1">
        <w:r w:rsidRPr="004B788D">
          <w:rPr>
            <w:rStyle w:val="Hyperlink"/>
            <w:rFonts w:cs="Arial"/>
            <w:shd w:val="clear" w:color="auto" w:fill="FFFFFF"/>
          </w:rPr>
          <w:t>1300 372 842</w:t>
        </w:r>
      </w:hyperlink>
      <w:r w:rsidR="00967996" w:rsidRPr="00CA478A">
        <w:t xml:space="preserve"> </w:t>
      </w:r>
      <w:r w:rsidRPr="00CA478A">
        <w:t xml:space="preserve">or 1300 EPA VIC or </w:t>
      </w:r>
      <w:hyperlink r:id="rId71" w:history="1">
        <w:r w:rsidRPr="00CA478A">
          <w:rPr>
            <w:rStyle w:val="Hyperlink"/>
          </w:rPr>
          <w:t>contact@epa.vic.gov.au</w:t>
        </w:r>
      </w:hyperlink>
    </w:p>
    <w:p w14:paraId="1FAA6ACB" w14:textId="43982064" w:rsidR="001655D7" w:rsidRPr="00C01F65" w:rsidRDefault="001655D7" w:rsidP="00F46C15">
      <w:pPr>
        <w:pStyle w:val="AppendixA1"/>
      </w:pPr>
      <w:bookmarkStart w:id="196" w:name="_Toc49942285"/>
      <w:bookmarkStart w:id="197" w:name="_Toc51929038"/>
      <w:bookmarkStart w:id="198" w:name="_Toc87369309"/>
      <w:bookmarkStart w:id="199" w:name="_Toc133938166"/>
      <w:r w:rsidRPr="00C01F65">
        <w:t>When should a health risk assessment be conducted?</w:t>
      </w:r>
      <w:bookmarkEnd w:id="196"/>
      <w:bookmarkEnd w:id="197"/>
      <w:bookmarkEnd w:id="198"/>
      <w:bookmarkEnd w:id="199"/>
    </w:p>
    <w:p w14:paraId="67CFBB98" w14:textId="2FABFB24" w:rsidR="001655D7" w:rsidRDefault="001655D7" w:rsidP="001655D7">
      <w:r w:rsidRPr="00C01F65">
        <w:t xml:space="preserve">When wastewater is released into </w:t>
      </w:r>
      <w:r>
        <w:t>surface waters</w:t>
      </w:r>
      <w:r w:rsidRPr="00C01F65">
        <w:t>, a risk assessment is used to identify possible exposure pathways and evaluate the health risks associated with ingestion, inhalation and/or dermal exposure. Hazards likely to have adverse health outcomes in wastewater are primarily pathogenic microorganisms but they can also include chemicals. Th</w:t>
      </w:r>
      <w:r>
        <w:t>is</w:t>
      </w:r>
      <w:r w:rsidR="001B4EB1">
        <w:t xml:space="preserve"> </w:t>
      </w:r>
      <w:r>
        <w:t>guidance</w:t>
      </w:r>
      <w:r w:rsidRPr="00C01F65">
        <w:t xml:space="preserve"> will focus on the risks associated with pathogens introduced into </w:t>
      </w:r>
      <w:r>
        <w:t>surface waters</w:t>
      </w:r>
      <w:r w:rsidRPr="00C01F65">
        <w:t xml:space="preserve"> through the discharge of wastewaters.</w:t>
      </w:r>
      <w:bookmarkStart w:id="200" w:name="_Toc49942286"/>
    </w:p>
    <w:p w14:paraId="75D8F0C7" w14:textId="19E93DBD" w:rsidR="001602C8" w:rsidRPr="001602C8" w:rsidRDefault="001602C8" w:rsidP="001602C8">
      <w:bookmarkStart w:id="201" w:name="_Toc51929039"/>
      <w:bookmarkStart w:id="202" w:name="_Toc87369310"/>
      <w:r w:rsidRPr="001602C8">
        <w:t>Th</w:t>
      </w:r>
      <w:r w:rsidR="003604F8">
        <w:t>e</w:t>
      </w:r>
      <w:r w:rsidRPr="001602C8">
        <w:t xml:space="preserve"> risk assessment approach </w:t>
      </w:r>
      <w:r w:rsidR="003604F8">
        <w:t xml:space="preserve">presented in this guidance </w:t>
      </w:r>
      <w:r w:rsidR="00951348">
        <w:t xml:space="preserve">is particularly useful </w:t>
      </w:r>
      <w:r w:rsidRPr="001602C8">
        <w:t>during planning stages</w:t>
      </w:r>
      <w:r w:rsidR="00CA478A">
        <w:t>,</w:t>
      </w:r>
      <w:r w:rsidRPr="001602C8">
        <w:t xml:space="preserve"> when infrastructure u</w:t>
      </w:r>
      <w:r w:rsidR="008B79AC">
        <w:t>p</w:t>
      </w:r>
      <w:r w:rsidRPr="001602C8">
        <w:t xml:space="preserve">grades are being considered. It will assist the planning process as scenarios involving different treatment options can be assessed in terms of performance for reducing health risks. </w:t>
      </w:r>
    </w:p>
    <w:p w14:paraId="1E99F636" w14:textId="2AFCEEBC" w:rsidR="001602C8" w:rsidRDefault="001602C8" w:rsidP="001602C8">
      <w:r w:rsidRPr="00BE45EB">
        <w:t xml:space="preserve">This document </w:t>
      </w:r>
      <w:r w:rsidR="00F11BBE" w:rsidRPr="00BE45EB">
        <w:t xml:space="preserve">is </w:t>
      </w:r>
      <w:r w:rsidR="003E450F">
        <w:t xml:space="preserve">a </w:t>
      </w:r>
      <w:r w:rsidRPr="00BE45EB">
        <w:t>risk assessment</w:t>
      </w:r>
      <w:r w:rsidR="003E450F">
        <w:t xml:space="preserve"> tool</w:t>
      </w:r>
      <w:r w:rsidRPr="00BE45EB">
        <w:t>. It does not intend to address risk</w:t>
      </w:r>
      <w:r w:rsidRPr="001602C8">
        <w:t xml:space="preserve"> management issues, even if it can be used to assess the impact of mitigation measures (additional treatment, etc.) when developing risk management strategies.</w:t>
      </w:r>
    </w:p>
    <w:p w14:paraId="2939D125" w14:textId="6BDDA32B" w:rsidR="001655D7" w:rsidRPr="00C01F65" w:rsidRDefault="001655D7" w:rsidP="00F46C15">
      <w:pPr>
        <w:pStyle w:val="AppendixA1"/>
      </w:pPr>
      <w:bookmarkStart w:id="203" w:name="_Toc133938167"/>
      <w:r w:rsidRPr="00C01F65">
        <w:t>What is a human health risk assessment?</w:t>
      </w:r>
      <w:bookmarkEnd w:id="200"/>
      <w:bookmarkEnd w:id="201"/>
      <w:bookmarkEnd w:id="202"/>
      <w:bookmarkEnd w:id="203"/>
    </w:p>
    <w:p w14:paraId="2A193117" w14:textId="31941AF0" w:rsidR="001655D7" w:rsidRDefault="001655D7" w:rsidP="001655D7">
      <w:pPr>
        <w:rPr>
          <w:rFonts w:cs="Interstate-Regular"/>
          <w:bCs/>
          <w:color w:val="000000"/>
          <w:lang w:val="en-US" w:eastAsia="ja-JP"/>
        </w:rPr>
      </w:pPr>
      <w:r w:rsidRPr="00C01F65">
        <w:rPr>
          <w:lang w:val="en-US" w:eastAsia="ja-JP"/>
        </w:rPr>
        <w:t xml:space="preserve">A health risk assessment is a preventive approach that involves identifying and managing human health risks in a proactive way, rather than simply reacting when problems arise. </w:t>
      </w:r>
      <w:r w:rsidRPr="00C01F65">
        <w:rPr>
          <w:rFonts w:cs="Interstate-Regular"/>
          <w:bCs/>
          <w:color w:val="000000"/>
          <w:lang w:val="en-US" w:eastAsia="ja-JP"/>
        </w:rPr>
        <w:t xml:space="preserve">A human health risk assessment evaluates the risk to the environment or human health. Specifically, it evaluates the potential impact of a particular </w:t>
      </w:r>
      <w:r w:rsidR="007372BA">
        <w:rPr>
          <w:rFonts w:cs="Interstate-Regular"/>
          <w:bCs/>
          <w:color w:val="000000"/>
          <w:lang w:val="en-US" w:eastAsia="ja-JP"/>
        </w:rPr>
        <w:t>hazard</w:t>
      </w:r>
      <w:r w:rsidRPr="00C01F65">
        <w:rPr>
          <w:rFonts w:cs="Interstate-Regular"/>
          <w:bCs/>
          <w:color w:val="000000"/>
          <w:lang w:val="en-US" w:eastAsia="ja-JP"/>
        </w:rPr>
        <w:t xml:space="preserve"> on a specific </w:t>
      </w:r>
      <w:r w:rsidRPr="00C01F65">
        <w:rPr>
          <w:rFonts w:cs="Interstate-Regular"/>
          <w:bCs/>
          <w:color w:val="000000"/>
          <w:lang w:val="en-US" w:eastAsia="ja-JP"/>
        </w:rPr>
        <w:lastRenderedPageBreak/>
        <w:t xml:space="preserve">environmental value, for example, recreational use of a water body. Understanding the risk also enables the identification of appropriate management actions for that specific environmental value. The endpoint of a risk assessment can be compared with an environmental objective specific to an environmental value. In a human health risk assessment of wastewater discharges to </w:t>
      </w:r>
      <w:r>
        <w:rPr>
          <w:rFonts w:cs="Interstate-Regular"/>
          <w:bCs/>
          <w:color w:val="000000"/>
          <w:lang w:val="en-US" w:eastAsia="ja-JP"/>
        </w:rPr>
        <w:t>surface waters</w:t>
      </w:r>
      <w:r w:rsidRPr="00C01F65">
        <w:rPr>
          <w:rFonts w:cs="Interstate-Regular"/>
          <w:bCs/>
          <w:color w:val="000000"/>
          <w:lang w:val="en-US" w:eastAsia="ja-JP"/>
        </w:rPr>
        <w:t>, the endpoint of a risk assessment is usually the probability of contracting gastrointestinal illness.</w:t>
      </w:r>
    </w:p>
    <w:p w14:paraId="0D5411D8" w14:textId="4508C394" w:rsidR="001655D7" w:rsidRPr="004B517F" w:rsidRDefault="001655D7" w:rsidP="001655D7">
      <w:pPr>
        <w:rPr>
          <w:lang w:val="en-US" w:eastAsia="ja-JP"/>
        </w:rPr>
      </w:pPr>
      <w:r w:rsidRPr="004B517F">
        <w:rPr>
          <w:lang w:val="en-US" w:eastAsia="ja-JP"/>
        </w:rPr>
        <w:t xml:space="preserve">The World Health Organization (WHO) first adopted a risk-based approach in 1999, via the Stockholm Framework. The aim of this </w:t>
      </w:r>
      <w:r>
        <w:rPr>
          <w:lang w:val="en-US" w:eastAsia="ja-JP"/>
        </w:rPr>
        <w:t>f</w:t>
      </w:r>
      <w:r w:rsidRPr="004B517F">
        <w:rPr>
          <w:lang w:val="en-US" w:eastAsia="ja-JP"/>
        </w:rPr>
        <w:t xml:space="preserve">ramework is to provide an evidence-based guide for risk management decisions. This </w:t>
      </w:r>
      <w:r>
        <w:rPr>
          <w:lang w:val="en-US" w:eastAsia="ja-JP"/>
        </w:rPr>
        <w:t>f</w:t>
      </w:r>
      <w:r w:rsidRPr="004B517F">
        <w:rPr>
          <w:lang w:val="en-US" w:eastAsia="ja-JP"/>
        </w:rPr>
        <w:t xml:space="preserve">ramework has been developed for the control of waterborne infectious diseases, toxic chemicals and other health hazards. This </w:t>
      </w:r>
      <w:r>
        <w:rPr>
          <w:lang w:val="en-US" w:eastAsia="ja-JP"/>
        </w:rPr>
        <w:t>f</w:t>
      </w:r>
      <w:r w:rsidRPr="004B517F">
        <w:rPr>
          <w:lang w:val="en-US" w:eastAsia="ja-JP"/>
        </w:rPr>
        <w:t xml:space="preserve">ramework involves a systematic assessment of risks as well as a definition of health-based risk management objectives and the planning for an appropriate risk management response (Fewtrell </w:t>
      </w:r>
      <w:r>
        <w:rPr>
          <w:lang w:val="en-US" w:eastAsia="ja-JP"/>
        </w:rPr>
        <w:t>and</w:t>
      </w:r>
      <w:r w:rsidRPr="004B517F">
        <w:rPr>
          <w:lang w:val="en-US" w:eastAsia="ja-JP"/>
        </w:rPr>
        <w:t xml:space="preserve"> Bartram</w:t>
      </w:r>
      <w:r>
        <w:rPr>
          <w:lang w:val="en-US" w:eastAsia="ja-JP"/>
        </w:rPr>
        <w:t>,</w:t>
      </w:r>
      <w:r w:rsidRPr="004B517F">
        <w:rPr>
          <w:lang w:val="en-US" w:eastAsia="ja-JP"/>
        </w:rPr>
        <w:t xml:space="preserve"> 2001). </w:t>
      </w:r>
    </w:p>
    <w:p w14:paraId="53483FA2" w14:textId="51BE82CE" w:rsidR="00DA5F08" w:rsidRDefault="001655D7" w:rsidP="00002020">
      <w:pPr>
        <w:rPr>
          <w:lang w:eastAsia="ja-JP"/>
        </w:rPr>
      </w:pPr>
      <w:r w:rsidRPr="004B517F">
        <w:rPr>
          <w:lang w:eastAsia="ja-JP"/>
        </w:rPr>
        <w:t>Health risk assessments involve four groups of activities: problem formulation, exposure assessment, health effect assessment and risk characterisation (enHealth</w:t>
      </w:r>
      <w:r>
        <w:rPr>
          <w:lang w:eastAsia="ja-JP"/>
        </w:rPr>
        <w:t>,</w:t>
      </w:r>
      <w:r w:rsidRPr="004B517F">
        <w:rPr>
          <w:lang w:eastAsia="ja-JP"/>
        </w:rPr>
        <w:t xml:space="preserve"> 2012; WHO</w:t>
      </w:r>
      <w:r>
        <w:rPr>
          <w:lang w:eastAsia="ja-JP"/>
        </w:rPr>
        <w:t>,</w:t>
      </w:r>
      <w:r w:rsidRPr="004B517F">
        <w:rPr>
          <w:lang w:eastAsia="ja-JP"/>
        </w:rPr>
        <w:t xml:space="preserve"> 2</w:t>
      </w:r>
      <w:r w:rsidRPr="00EA2B50">
        <w:rPr>
          <w:lang w:eastAsia="ja-JP"/>
        </w:rPr>
        <w:t>01</w:t>
      </w:r>
      <w:r w:rsidRPr="00915977">
        <w:rPr>
          <w:lang w:eastAsia="ja-JP"/>
        </w:rPr>
        <w:t>6)</w:t>
      </w:r>
      <w:r w:rsidRPr="00EA2B50">
        <w:rPr>
          <w:lang w:eastAsia="ja-JP"/>
        </w:rPr>
        <w:t xml:space="preserve"> </w:t>
      </w:r>
      <w:r w:rsidR="00C511B5">
        <w:rPr>
          <w:lang w:eastAsia="ja-JP"/>
        </w:rPr>
        <w:t>(</w:t>
      </w:r>
      <w:r w:rsidR="00A5221B">
        <w:rPr>
          <w:lang w:eastAsia="ja-JP"/>
        </w:rPr>
        <w:fldChar w:fldCharType="begin"/>
      </w:r>
      <w:r w:rsidR="00A5221B">
        <w:rPr>
          <w:lang w:eastAsia="ja-JP"/>
        </w:rPr>
        <w:instrText xml:space="preserve"> REF _Ref132747204 \h </w:instrText>
      </w:r>
      <w:r w:rsidR="00A5221B">
        <w:rPr>
          <w:lang w:eastAsia="ja-JP"/>
        </w:rPr>
      </w:r>
      <w:r w:rsidR="00A5221B">
        <w:rPr>
          <w:lang w:eastAsia="ja-JP"/>
        </w:rPr>
        <w:fldChar w:fldCharType="separate"/>
      </w:r>
      <w:r w:rsidR="00FD64B0">
        <w:t>Figure C</w:t>
      </w:r>
      <w:r w:rsidR="00FD64B0">
        <w:rPr>
          <w:noProof/>
        </w:rPr>
        <w:t>1</w:t>
      </w:r>
      <w:r w:rsidR="00A5221B">
        <w:rPr>
          <w:lang w:eastAsia="ja-JP"/>
        </w:rPr>
        <w:fldChar w:fldCharType="end"/>
      </w:r>
      <w:r w:rsidR="00A5221B">
        <w:rPr>
          <w:lang w:eastAsia="ja-JP"/>
        </w:rPr>
        <w:t>).</w:t>
      </w:r>
      <w:r w:rsidR="00002020">
        <w:rPr>
          <w:lang w:eastAsia="ja-JP"/>
        </w:rPr>
        <w:t xml:space="preserve"> </w:t>
      </w:r>
    </w:p>
    <w:p w14:paraId="01D38B23" w14:textId="66E4D6CA" w:rsidR="00002020" w:rsidRPr="004B788D" w:rsidRDefault="00002020" w:rsidP="00525686">
      <w:pPr>
        <w:pStyle w:val="ListParagraph"/>
        <w:numPr>
          <w:ilvl w:val="0"/>
          <w:numId w:val="26"/>
        </w:numPr>
        <w:rPr>
          <w:b/>
          <w:bCs/>
          <w:lang w:eastAsia="ja-JP"/>
        </w:rPr>
      </w:pPr>
      <w:r w:rsidRPr="004B788D">
        <w:rPr>
          <w:b/>
          <w:bCs/>
          <w:lang w:eastAsia="ja-JP"/>
        </w:rPr>
        <w:t xml:space="preserve">Problem formulation </w:t>
      </w:r>
    </w:p>
    <w:p w14:paraId="68729D31" w14:textId="0AC2BB1C" w:rsidR="00A957E8" w:rsidRDefault="00002020" w:rsidP="004B788D">
      <w:pPr>
        <w:pStyle w:val="ListBullet"/>
      </w:pPr>
      <w:r w:rsidRPr="004B788D">
        <w:rPr>
          <w:b/>
          <w:bCs/>
          <w:lang w:eastAsia="ja-JP"/>
        </w:rPr>
        <w:t>Hazards</w:t>
      </w:r>
      <w:r w:rsidRPr="004B788D">
        <w:rPr>
          <w:lang w:eastAsia="ja-JP"/>
        </w:rPr>
        <w:t>:</w:t>
      </w:r>
      <w:r w:rsidRPr="00C01F65">
        <w:rPr>
          <w:lang w:eastAsia="ja-JP"/>
        </w:rPr>
        <w:t xml:space="preserve"> Look systematically at all the hazards to identify those which could potentially affect human health (what might happen and how). </w:t>
      </w:r>
      <w:r w:rsidRPr="00C01F65">
        <w:t>Th</w:t>
      </w:r>
      <w:r>
        <w:t>is guidance</w:t>
      </w:r>
      <w:r w:rsidRPr="00C01F65">
        <w:rPr>
          <w:lang w:eastAsia="ja-JP"/>
        </w:rPr>
        <w:t xml:space="preserve"> focus</w:t>
      </w:r>
      <w:r>
        <w:rPr>
          <w:lang w:eastAsia="ja-JP"/>
        </w:rPr>
        <w:t>es</w:t>
      </w:r>
      <w:r w:rsidRPr="00C01F65">
        <w:rPr>
          <w:lang w:eastAsia="ja-JP"/>
        </w:rPr>
        <w:t xml:space="preserve"> on pathogens that may have an adverse impact on the health of people exposed to recreational waters or other environmental values.</w:t>
      </w:r>
      <w:r>
        <w:rPr>
          <w:lang w:eastAsia="ja-JP"/>
        </w:rPr>
        <w:t xml:space="preserve"> </w:t>
      </w:r>
      <w:r w:rsidRPr="001602C8">
        <w:t>It is important to note that the ERS relies on bacterial indicators whose levels may not represent accurately potential adverse health outcomes. However, because of the costs of monitoring pathogens, bacterial indicators remain the metric of choice for routine monitoring and compliance purpose</w:t>
      </w:r>
      <w:r>
        <w:t>s</w:t>
      </w:r>
      <w:r w:rsidRPr="001602C8">
        <w:t xml:space="preserve">. </w:t>
      </w:r>
      <w:r>
        <w:t xml:space="preserve">Bacterial </w:t>
      </w:r>
      <w:r w:rsidRPr="001602C8">
        <w:t>indicators are compliance indicators of plant performance (mostly performance in removing bacterial pathogens). They also indicate the presence of faecal contamination in the environment</w:t>
      </w:r>
      <w:r>
        <w:t xml:space="preserve">. </w:t>
      </w:r>
      <w:r w:rsidRPr="00BE45EB">
        <w:t>Estimating health risk based on bacterial indicators only may not fully encompass all potential risks of harm.</w:t>
      </w:r>
    </w:p>
    <w:p w14:paraId="6A33EDE1" w14:textId="3B3B2AF0" w:rsidR="00002020" w:rsidRPr="004B788D" w:rsidRDefault="00002020" w:rsidP="004B788D">
      <w:pPr>
        <w:pStyle w:val="ListBullet"/>
        <w:rPr>
          <w:b/>
          <w:bCs/>
        </w:rPr>
      </w:pPr>
      <w:r w:rsidRPr="004B788D">
        <w:rPr>
          <w:b/>
          <w:bCs/>
          <w:lang w:eastAsia="ja-JP"/>
        </w:rPr>
        <w:t xml:space="preserve">Hazardous events: </w:t>
      </w:r>
    </w:p>
    <w:p w14:paraId="6539D223" w14:textId="6584A06D" w:rsidR="00002020" w:rsidRPr="004B788D" w:rsidRDefault="00DA5F08" w:rsidP="00525686">
      <w:pPr>
        <w:pStyle w:val="ListBullet"/>
        <w:numPr>
          <w:ilvl w:val="1"/>
          <w:numId w:val="9"/>
        </w:numPr>
      </w:pPr>
      <w:r w:rsidRPr="004B788D">
        <w:t>l</w:t>
      </w:r>
      <w:r w:rsidR="00002020" w:rsidRPr="004B788D">
        <w:t xml:space="preserve">ook systematically at all the hazardous events to identify those which could potentially affect human health (what might happen and how). Here we focus on events that may introduce pathogens into water or fail to remove them. These events may occur at every step of the wastewater treatment process. </w:t>
      </w:r>
    </w:p>
    <w:p w14:paraId="763F7D27" w14:textId="2C0B7294" w:rsidR="00002020" w:rsidRDefault="00DA5F08" w:rsidP="00525686">
      <w:pPr>
        <w:pStyle w:val="ListBullet"/>
        <w:numPr>
          <w:ilvl w:val="1"/>
          <w:numId w:val="9"/>
        </w:numPr>
      </w:pPr>
      <w:r w:rsidRPr="004B788D">
        <w:t>a</w:t>
      </w:r>
      <w:r w:rsidR="00002020" w:rsidRPr="004B788D">
        <w:t>ssess the risk from each hazard by estimating the likelihood of the event happening.</w:t>
      </w:r>
    </w:p>
    <w:p w14:paraId="08EEFAAB" w14:textId="4E3770B4" w:rsidR="00A957E8" w:rsidRPr="004B788D" w:rsidRDefault="00A957E8" w:rsidP="00525686">
      <w:pPr>
        <w:pStyle w:val="ListBullet"/>
        <w:numPr>
          <w:ilvl w:val="1"/>
          <w:numId w:val="9"/>
        </w:numPr>
      </w:pPr>
      <w:r w:rsidRPr="005D2254">
        <w:t>assess the adequacy of controls to prevent contamination: control measures that are (or could) be put in place to: prevent hazards from occurring; remove them; or reduce them to acceptable levels. These can be engineered controls (such as wastewater treatment or disposal processes) or non-engineered measures (for example, more stringent acceptance criteria for trade waste in a wastewater treatment plant).</w:t>
      </w:r>
    </w:p>
    <w:p w14:paraId="61AD2342" w14:textId="11D59601" w:rsidR="008A42C2" w:rsidRDefault="00613BC1" w:rsidP="00525686">
      <w:pPr>
        <w:pStyle w:val="ListParagraph"/>
        <w:numPr>
          <w:ilvl w:val="0"/>
          <w:numId w:val="26"/>
        </w:numPr>
        <w:rPr>
          <w:b/>
          <w:bCs/>
        </w:rPr>
      </w:pPr>
      <w:r>
        <w:rPr>
          <w:b/>
          <w:bCs/>
        </w:rPr>
        <w:lastRenderedPageBreak/>
        <w:t>Exposure assessment</w:t>
      </w:r>
    </w:p>
    <w:p w14:paraId="1AF20D66" w14:textId="1C4D0FE4" w:rsidR="00972336" w:rsidRDefault="00972336" w:rsidP="00525686">
      <w:pPr>
        <w:pStyle w:val="ListBullet"/>
        <w:numPr>
          <w:ilvl w:val="0"/>
          <w:numId w:val="28"/>
        </w:numPr>
        <w:ind w:left="709"/>
      </w:pPr>
      <w:r w:rsidRPr="004B788D">
        <w:t>Look systematically at the exposure due to the environmental values by defining all potential uses of the surface waters.</w:t>
      </w:r>
    </w:p>
    <w:p w14:paraId="0E5AC478" w14:textId="35236D84" w:rsidR="00DA5F08" w:rsidRPr="004B788D" w:rsidRDefault="00613BC1" w:rsidP="00525686">
      <w:pPr>
        <w:pStyle w:val="ListParagraph"/>
        <w:numPr>
          <w:ilvl w:val="0"/>
          <w:numId w:val="26"/>
        </w:numPr>
        <w:rPr>
          <w:b/>
          <w:bCs/>
        </w:rPr>
      </w:pPr>
      <w:r>
        <w:rPr>
          <w:b/>
          <w:bCs/>
        </w:rPr>
        <w:t xml:space="preserve">Health effect assessment </w:t>
      </w:r>
    </w:p>
    <w:p w14:paraId="4B2FEAC9" w14:textId="77777777" w:rsidR="00DA5F08" w:rsidRPr="004B788D" w:rsidRDefault="00DA5F08" w:rsidP="004B788D">
      <w:pPr>
        <w:pStyle w:val="ListBullet"/>
      </w:pPr>
      <w:r w:rsidRPr="004B788D">
        <w:t xml:space="preserve"> Identify the dose-response relationships and the probability of illness or infection for the defined hazards to determine the potential health effects. </w:t>
      </w:r>
    </w:p>
    <w:p w14:paraId="084F0DE5" w14:textId="383966D6" w:rsidR="00DA5F08" w:rsidRPr="004B788D" w:rsidRDefault="00DA5F08" w:rsidP="00525686">
      <w:pPr>
        <w:pStyle w:val="ListParagraph"/>
        <w:numPr>
          <w:ilvl w:val="0"/>
          <w:numId w:val="26"/>
        </w:numPr>
        <w:rPr>
          <w:b/>
          <w:bCs/>
        </w:rPr>
      </w:pPr>
      <w:r w:rsidRPr="004B788D">
        <w:rPr>
          <w:b/>
          <w:bCs/>
        </w:rPr>
        <w:t>Risk characterisation</w:t>
      </w:r>
    </w:p>
    <w:p w14:paraId="5BD4BABE" w14:textId="77777777" w:rsidR="00DA5F08" w:rsidRPr="004B788D" w:rsidRDefault="00DA5F08" w:rsidP="004B788D">
      <w:pPr>
        <w:pStyle w:val="ListBullet"/>
      </w:pPr>
      <w:r w:rsidRPr="004B788D">
        <w:t>Quantify the risk and ascertain the variability and uncertainty of the results. Risk characterisation should include consideration of the cumulative impacts on environmental values from multiple pollution sources.</w:t>
      </w:r>
    </w:p>
    <w:p w14:paraId="0B0CFFD7" w14:textId="77777777" w:rsidR="00DA5F08" w:rsidRPr="004B788D" w:rsidRDefault="00DA5F08" w:rsidP="004B788D">
      <w:pPr>
        <w:pStyle w:val="ListBullet"/>
      </w:pPr>
      <w:r w:rsidRPr="004B788D">
        <w:t xml:space="preserve">Identify preventive measures to eliminate, reduce, mitigate or control the hazards identified and to establish monitoring programs to ensure that the preventive measures operate effectively. </w:t>
      </w:r>
    </w:p>
    <w:p w14:paraId="0CBF9567" w14:textId="77777777" w:rsidR="00DA5F08" w:rsidRPr="004B788D" w:rsidRDefault="00DA5F08" w:rsidP="004B788D">
      <w:pPr>
        <w:pStyle w:val="ListBullet"/>
      </w:pPr>
      <w:r w:rsidRPr="004B788D">
        <w:t>Verify that the management system consistently provides water quality that is fit for the identified intended (or unintended) existing uses.</w:t>
      </w:r>
    </w:p>
    <w:p w14:paraId="23FF5759" w14:textId="77777777" w:rsidR="00A957E8" w:rsidRPr="00C01F65" w:rsidRDefault="00A957E8" w:rsidP="00A957E8">
      <w:pPr>
        <w:rPr>
          <w:lang w:val="en-US" w:eastAsia="ja-JP"/>
        </w:rPr>
      </w:pPr>
      <w:r w:rsidRPr="00C01F65">
        <w:rPr>
          <w:lang w:val="en-US" w:eastAsia="ja-JP"/>
        </w:rPr>
        <w:t xml:space="preserve">By following these steps, a prioritisation of the hazards can be established, based on the risks for the end user. The approach described above ensures that the risk assessment asks and answers the following questions: </w:t>
      </w:r>
    </w:p>
    <w:p w14:paraId="15C6C7CD" w14:textId="77777777" w:rsidR="00A957E8" w:rsidRPr="00C01F65" w:rsidRDefault="00A957E8" w:rsidP="004B788D">
      <w:pPr>
        <w:pStyle w:val="ListBullet"/>
        <w:rPr>
          <w:lang w:eastAsia="ja-JP"/>
        </w:rPr>
      </w:pPr>
      <w:r w:rsidRPr="00C01F65">
        <w:rPr>
          <w:lang w:eastAsia="ja-JP"/>
        </w:rPr>
        <w:t>How likely is it that something will happen?</w:t>
      </w:r>
    </w:p>
    <w:p w14:paraId="05EBCE7B" w14:textId="77777777" w:rsidR="00A957E8" w:rsidRPr="002E3371" w:rsidRDefault="00A957E8" w:rsidP="004B788D">
      <w:pPr>
        <w:pStyle w:val="ListBullet"/>
        <w:rPr>
          <w:lang w:eastAsia="ja-JP"/>
        </w:rPr>
      </w:pPr>
      <w:r w:rsidRPr="00C01F65">
        <w:rPr>
          <w:lang w:eastAsia="ja-JP"/>
        </w:rPr>
        <w:t>What are the likely consequences should the event occur?</w:t>
      </w:r>
    </w:p>
    <w:p w14:paraId="425CF157" w14:textId="77777777" w:rsidR="00A957E8" w:rsidRPr="00C01F65" w:rsidRDefault="00A957E8" w:rsidP="00A957E8">
      <w:pPr>
        <w:rPr>
          <w:rFonts w:cs="Interstate-Regular"/>
          <w:bCs/>
          <w:color w:val="000000"/>
          <w:lang w:val="en-US" w:eastAsia="ja-JP"/>
        </w:rPr>
      </w:pPr>
      <w:r w:rsidRPr="00C01F65">
        <w:rPr>
          <w:rFonts w:cs="Interstate-Regular"/>
          <w:bCs/>
          <w:color w:val="000000"/>
          <w:lang w:val="en-US" w:eastAsia="ja-JP"/>
        </w:rPr>
        <w:t>The outcomes of a human health risk assessment are:</w:t>
      </w:r>
    </w:p>
    <w:p w14:paraId="02A37A57" w14:textId="77777777" w:rsidR="00A957E8" w:rsidRPr="00C01F65" w:rsidRDefault="00A957E8" w:rsidP="004B788D">
      <w:pPr>
        <w:pStyle w:val="ListBullet"/>
        <w:rPr>
          <w:lang w:eastAsia="ja-JP"/>
        </w:rPr>
      </w:pPr>
      <w:r w:rsidRPr="00C01F65">
        <w:rPr>
          <w:lang w:eastAsia="ja-JP"/>
        </w:rPr>
        <w:t>an estimation of the likelihood of environmental values impacted, the magnitude of the impact and how the impact changes given alternative scenarios</w:t>
      </w:r>
    </w:p>
    <w:p w14:paraId="54990604" w14:textId="77777777" w:rsidR="00A957E8" w:rsidRPr="00C01F65" w:rsidRDefault="00A957E8" w:rsidP="004B788D">
      <w:pPr>
        <w:pStyle w:val="ListBullet"/>
        <w:rPr>
          <w:lang w:eastAsia="ja-JP"/>
        </w:rPr>
      </w:pPr>
      <w:r w:rsidRPr="00C01F65">
        <w:rPr>
          <w:lang w:eastAsia="ja-JP"/>
        </w:rPr>
        <w:t xml:space="preserve">the probability of contracting a specific infection or illness </w:t>
      </w:r>
    </w:p>
    <w:p w14:paraId="0D8899F4" w14:textId="77777777" w:rsidR="00A957E8" w:rsidRPr="00C01F65" w:rsidRDefault="00A957E8" w:rsidP="004B788D">
      <w:pPr>
        <w:pStyle w:val="ListBullet"/>
        <w:rPr>
          <w:lang w:eastAsia="ja-JP"/>
        </w:rPr>
      </w:pPr>
      <w:r w:rsidRPr="00C01F65">
        <w:rPr>
          <w:lang w:eastAsia="ja-JP"/>
        </w:rPr>
        <w:t>detailed information and tools that help to better understand how systems work</w:t>
      </w:r>
    </w:p>
    <w:p w14:paraId="12B7703C" w14:textId="0D82293F" w:rsidR="00BD711C" w:rsidRDefault="00A957E8" w:rsidP="00E22F4B">
      <w:pPr>
        <w:pStyle w:val="ListBullet"/>
        <w:rPr>
          <w:lang w:eastAsia="ja-JP"/>
        </w:rPr>
      </w:pPr>
      <w:r w:rsidRPr="00C01F65">
        <w:rPr>
          <w:lang w:eastAsia="ja-JP"/>
        </w:rPr>
        <w:t>targeted management actions and monitoring programs.</w:t>
      </w:r>
    </w:p>
    <w:p w14:paraId="1E4E66D9" w14:textId="77777777" w:rsidR="00BD711C" w:rsidRPr="00C01F65" w:rsidRDefault="00BD711C" w:rsidP="00BD711C">
      <w:pPr>
        <w:pStyle w:val="AppendixA1"/>
      </w:pPr>
      <w:bookmarkStart w:id="204" w:name="_Toc51929040"/>
      <w:bookmarkStart w:id="205" w:name="_Toc87369311"/>
      <w:bookmarkStart w:id="206" w:name="_Toc133938168"/>
      <w:r w:rsidRPr="00C01F65">
        <w:t>Environmental values</w:t>
      </w:r>
      <w:bookmarkEnd w:id="204"/>
      <w:bookmarkEnd w:id="205"/>
      <w:bookmarkEnd w:id="206"/>
    </w:p>
    <w:p w14:paraId="40CC5AD7" w14:textId="77777777" w:rsidR="00BD711C" w:rsidRPr="00C01F65" w:rsidRDefault="00BD711C" w:rsidP="00BD711C">
      <w:r w:rsidRPr="00C01F65">
        <w:t xml:space="preserve">To assess health risks </w:t>
      </w:r>
      <w:r>
        <w:t>of</w:t>
      </w:r>
      <w:r w:rsidRPr="00C01F65">
        <w:t xml:space="preserve"> wastewater discharges into waterways, the assessment must:</w:t>
      </w:r>
    </w:p>
    <w:p w14:paraId="7AC5B2EF" w14:textId="77777777" w:rsidR="00BD711C" w:rsidRPr="00C01F65" w:rsidRDefault="00BD711C" w:rsidP="00BD711C">
      <w:pPr>
        <w:pStyle w:val="ListBullet"/>
      </w:pPr>
      <w:r w:rsidRPr="00C01F65">
        <w:t>assess discharges as treated water (re)used to increase environmental flow in waterways</w:t>
      </w:r>
    </w:p>
    <w:p w14:paraId="0D6E69F2" w14:textId="77777777" w:rsidR="00BD711C" w:rsidRPr="00C01F65" w:rsidRDefault="00BD711C" w:rsidP="00BD711C">
      <w:pPr>
        <w:pStyle w:val="ListBullet"/>
      </w:pPr>
      <w:r w:rsidRPr="00C01F65">
        <w:t xml:space="preserve">identify and consider potential uses and values of the impacted waterways.  </w:t>
      </w:r>
    </w:p>
    <w:p w14:paraId="5FE32AC6" w14:textId="3F3386B1" w:rsidR="00BD711C" w:rsidRDefault="00BD711C" w:rsidP="00BD711C">
      <w:r w:rsidRPr="00C01F65">
        <w:t>Consequently, the assessment should be conducted in the context of the relevant policies and guidelines, depending on the existing environmental values identified (</w:t>
      </w:r>
      <w:r w:rsidR="00A5221B">
        <w:fldChar w:fldCharType="begin"/>
      </w:r>
      <w:r w:rsidR="00A5221B">
        <w:instrText xml:space="preserve"> REF _Ref132747259 \h </w:instrText>
      </w:r>
      <w:r w:rsidR="00A5221B">
        <w:fldChar w:fldCharType="separate"/>
      </w:r>
      <w:r w:rsidR="00FD64B0">
        <w:t>Table C</w:t>
      </w:r>
      <w:r w:rsidR="00FD64B0">
        <w:rPr>
          <w:noProof/>
        </w:rPr>
        <w:t>1</w:t>
      </w:r>
      <w:r w:rsidR="00A5221B">
        <w:fldChar w:fldCharType="end"/>
      </w:r>
      <w:r w:rsidR="00A5221B">
        <w:t>).</w:t>
      </w:r>
    </w:p>
    <w:p w14:paraId="1EEC853E" w14:textId="77777777" w:rsidR="00FB0A0D" w:rsidRDefault="00FB0A0D" w:rsidP="00BD711C"/>
    <w:p w14:paraId="032EA259" w14:textId="77777777" w:rsidR="00901A1D" w:rsidRDefault="00901A1D" w:rsidP="00901A1D">
      <w:pPr>
        <w:keepNext/>
      </w:pPr>
      <w:r>
        <w:rPr>
          <w:noProof/>
        </w:rPr>
        <w:lastRenderedPageBreak/>
        <mc:AlternateContent>
          <mc:Choice Requires="wpg">
            <w:drawing>
              <wp:inline distT="0" distB="0" distL="0" distR="0" wp14:anchorId="3B33783E" wp14:editId="0A86608E">
                <wp:extent cx="6267450" cy="8086477"/>
                <wp:effectExtent l="0" t="0" r="19050" b="16510"/>
                <wp:docPr id="228" name="Group 228"/>
                <wp:cNvGraphicFramePr/>
                <a:graphic xmlns:a="http://schemas.openxmlformats.org/drawingml/2006/main">
                  <a:graphicData uri="http://schemas.microsoft.com/office/word/2010/wordprocessingGroup">
                    <wpg:wgp>
                      <wpg:cNvGrpSpPr/>
                      <wpg:grpSpPr>
                        <a:xfrm>
                          <a:off x="0" y="0"/>
                          <a:ext cx="6267450" cy="8086477"/>
                          <a:chOff x="0" y="0"/>
                          <a:chExt cx="6267450" cy="8086477"/>
                        </a:xfrm>
                      </wpg:grpSpPr>
                      <wps:wsp>
                        <wps:cNvPr id="460" name="Text Box 460"/>
                        <wps:cNvSpPr txBox="1">
                          <a:spLocks noChangeArrowheads="1"/>
                        </wps:cNvSpPr>
                        <wps:spPr bwMode="auto">
                          <a:xfrm>
                            <a:off x="0" y="0"/>
                            <a:ext cx="6267450" cy="2543175"/>
                          </a:xfrm>
                          <a:prstGeom prst="rect">
                            <a:avLst/>
                          </a:prstGeom>
                          <a:solidFill>
                            <a:srgbClr val="FFFFFF"/>
                          </a:solidFill>
                          <a:ln w="9525">
                            <a:solidFill>
                              <a:srgbClr val="000000"/>
                            </a:solidFill>
                            <a:miter lim="800000"/>
                            <a:headEnd/>
                            <a:tailEnd/>
                          </a:ln>
                        </wps:spPr>
                        <wps:txbx>
                          <w:txbxContent>
                            <w:p w14:paraId="47EF8969" w14:textId="77777777" w:rsidR="00FB0A0D" w:rsidRPr="00D6147A" w:rsidRDefault="00FB0A0D" w:rsidP="00FB0A0D">
                              <w:pPr>
                                <w:rPr>
                                  <w:b/>
                                  <w:sz w:val="18"/>
                                  <w:szCs w:val="18"/>
                                </w:rPr>
                              </w:pPr>
                              <w:r w:rsidRPr="00D6147A">
                                <w:rPr>
                                  <w:b/>
                                  <w:sz w:val="18"/>
                                  <w:szCs w:val="18"/>
                                </w:rPr>
                                <w:t>1. Problem formulation = Scope &amp; purpose of assessment</w:t>
                              </w:r>
                            </w:p>
                            <w:p w14:paraId="4B776B64" w14:textId="77777777" w:rsidR="00FB0A0D" w:rsidRPr="00D6147A" w:rsidRDefault="00FB0A0D" w:rsidP="00FB0A0D">
                              <w:pPr>
                                <w:rPr>
                                  <w:sz w:val="18"/>
                                  <w:szCs w:val="18"/>
                                </w:rPr>
                              </w:pPr>
                              <w:r w:rsidRPr="00D6147A">
                                <w:rPr>
                                  <w:sz w:val="18"/>
                                  <w:szCs w:val="18"/>
                                  <w:u w:val="single"/>
                                </w:rPr>
                                <w:t>Which hazards?</w:t>
                              </w:r>
                              <w:r w:rsidRPr="00D6147A">
                                <w:rPr>
                                  <w:sz w:val="18"/>
                                  <w:szCs w:val="18"/>
                                </w:rPr>
                                <w:t xml:space="preserve"> </w:t>
                              </w:r>
                            </w:p>
                            <w:p w14:paraId="3F5FCAE6" w14:textId="77777777" w:rsidR="00FB0A0D" w:rsidRPr="00D6147A" w:rsidRDefault="00FB0A0D" w:rsidP="00FB0A0D">
                              <w:pPr>
                                <w:rPr>
                                  <w:sz w:val="18"/>
                                  <w:szCs w:val="18"/>
                                </w:rPr>
                              </w:pPr>
                              <w:r w:rsidRPr="00D6147A">
                                <w:rPr>
                                  <w:sz w:val="18"/>
                                  <w:szCs w:val="18"/>
                                </w:rPr>
                                <w:t xml:space="preserve">Choose reference pathogens (according to local conditions, exposure pathways, source water characteristics and incidence and severity of waterborne diseases). </w:t>
                              </w:r>
                            </w:p>
                            <w:p w14:paraId="58F79ECA" w14:textId="77777777" w:rsidR="00FB0A0D" w:rsidRPr="00D6147A" w:rsidRDefault="00FB0A0D" w:rsidP="00FB0A0D">
                              <w:pPr>
                                <w:rPr>
                                  <w:sz w:val="18"/>
                                  <w:szCs w:val="18"/>
                                </w:rPr>
                              </w:pPr>
                              <w:r w:rsidRPr="00D6147A">
                                <w:rPr>
                                  <w:sz w:val="18"/>
                                  <w:szCs w:val="18"/>
                                  <w:u w:val="single"/>
                                </w:rPr>
                                <w:t>Which exposure pathways (including hazardous events)?</w:t>
                              </w:r>
                              <w:r w:rsidRPr="00D6147A">
                                <w:rPr>
                                  <w:sz w:val="18"/>
                                  <w:szCs w:val="18"/>
                                </w:rPr>
                                <w:t xml:space="preserve"> </w:t>
                              </w:r>
                            </w:p>
                            <w:p w14:paraId="2E937EEE" w14:textId="77777777" w:rsidR="00FB0A0D" w:rsidRPr="00D6147A" w:rsidRDefault="00FB0A0D" w:rsidP="00FB0A0D">
                              <w:pPr>
                                <w:rPr>
                                  <w:sz w:val="18"/>
                                  <w:szCs w:val="18"/>
                                </w:rPr>
                              </w:pPr>
                              <w:r w:rsidRPr="00D6147A">
                                <w:rPr>
                                  <w:sz w:val="18"/>
                                  <w:szCs w:val="18"/>
                                </w:rPr>
                                <w:t>Identify exposure pathway(s) (scope the risk assessment and determine what will be included/excluded), time scale (single exposure, independent exposures or a year) and population exposed (total population or specific fractions).</w:t>
                              </w:r>
                            </w:p>
                            <w:p w14:paraId="6B79383D" w14:textId="77777777" w:rsidR="00FB0A0D" w:rsidRPr="00D6147A" w:rsidRDefault="00FB0A0D" w:rsidP="00FB0A0D">
                              <w:pPr>
                                <w:rPr>
                                  <w:sz w:val="18"/>
                                  <w:szCs w:val="18"/>
                                </w:rPr>
                              </w:pPr>
                              <w:r w:rsidRPr="00D6147A">
                                <w:rPr>
                                  <w:sz w:val="18"/>
                                  <w:szCs w:val="18"/>
                                  <w:u w:val="single"/>
                                </w:rPr>
                                <w:t>Which health outcomes?</w:t>
                              </w:r>
                              <w:r w:rsidRPr="00D6147A">
                                <w:rPr>
                                  <w:sz w:val="18"/>
                                  <w:szCs w:val="18"/>
                                </w:rPr>
                                <w:t xml:space="preserve"> </w:t>
                              </w:r>
                            </w:p>
                            <w:p w14:paraId="246F7CD0" w14:textId="77777777" w:rsidR="00FB0A0D" w:rsidRPr="00D6147A" w:rsidRDefault="00FB0A0D" w:rsidP="00FB0A0D">
                              <w:pPr>
                                <w:rPr>
                                  <w:sz w:val="18"/>
                                  <w:szCs w:val="18"/>
                                </w:rPr>
                              </w:pPr>
                              <w:r w:rsidRPr="00D6147A">
                                <w:rPr>
                                  <w:sz w:val="18"/>
                                  <w:szCs w:val="18"/>
                                </w:rPr>
                                <w:t xml:space="preserve">Health outcomes may include infection, illness and sequelae or a measure of disease burden that includes all of these outcomes (e.g. disability adjusted life years or DALYs, see Box 1). </w:t>
                              </w:r>
                            </w:p>
                            <w:p w14:paraId="64140CC1" w14:textId="77777777" w:rsidR="00FB0A0D" w:rsidRPr="00D6147A" w:rsidRDefault="00FB0A0D" w:rsidP="00FB0A0D">
                              <w:pPr>
                                <w:rPr>
                                  <w:sz w:val="18"/>
                                  <w:szCs w:val="18"/>
                                  <w:u w:val="single"/>
                                </w:rPr>
                              </w:pPr>
                              <w:r w:rsidRPr="00D6147A">
                                <w:rPr>
                                  <w:sz w:val="18"/>
                                  <w:szCs w:val="18"/>
                                  <w:u w:val="single"/>
                                </w:rPr>
                                <w:t xml:space="preserve">What level of certainty needed for risk management?  </w:t>
                              </w:r>
                            </w:p>
                          </w:txbxContent>
                        </wps:txbx>
                        <wps:bodyPr rot="0" vert="horz" wrap="square" lIns="91440" tIns="45720" rIns="91440" bIns="45720" anchor="t" anchorCtr="0">
                          <a:noAutofit/>
                        </wps:bodyPr>
                      </wps:wsp>
                      <wps:wsp>
                        <wps:cNvPr id="256" name="Text Box 2"/>
                        <wps:cNvSpPr txBox="1">
                          <a:spLocks noChangeArrowheads="1"/>
                        </wps:cNvSpPr>
                        <wps:spPr bwMode="auto">
                          <a:xfrm>
                            <a:off x="26126" y="2757114"/>
                            <a:ext cx="3061970" cy="1221377"/>
                          </a:xfrm>
                          <a:prstGeom prst="rect">
                            <a:avLst/>
                          </a:prstGeom>
                          <a:solidFill>
                            <a:srgbClr val="FFFFFF"/>
                          </a:solidFill>
                          <a:ln w="9525">
                            <a:solidFill>
                              <a:srgbClr val="000000"/>
                            </a:solidFill>
                            <a:miter lim="800000"/>
                            <a:headEnd/>
                            <a:tailEnd/>
                          </a:ln>
                        </wps:spPr>
                        <wps:txbx>
                          <w:txbxContent>
                            <w:p w14:paraId="703A361B" w14:textId="77777777" w:rsidR="00FB0A0D" w:rsidRPr="00D53E0B" w:rsidRDefault="00FB0A0D" w:rsidP="00FB0A0D">
                              <w:pPr>
                                <w:rPr>
                                  <w:b/>
                                  <w:sz w:val="18"/>
                                  <w:szCs w:val="18"/>
                                </w:rPr>
                              </w:pPr>
                              <w:r w:rsidRPr="00D53E0B">
                                <w:rPr>
                                  <w:b/>
                                  <w:sz w:val="18"/>
                                  <w:szCs w:val="18"/>
                                </w:rPr>
                                <w:t>2.</w:t>
                              </w:r>
                              <w:r w:rsidRPr="00D53E0B">
                                <w:rPr>
                                  <w:rFonts w:ascii="Arial" w:hAnsi="Arial"/>
                                  <w:b/>
                                  <w:sz w:val="18"/>
                                  <w:szCs w:val="18"/>
                                </w:rPr>
                                <w:t xml:space="preserve"> </w:t>
                              </w:r>
                              <w:r w:rsidRPr="00D53E0B">
                                <w:rPr>
                                  <w:b/>
                                  <w:sz w:val="18"/>
                                  <w:szCs w:val="18"/>
                                </w:rPr>
                                <w:t xml:space="preserve">Exposure assessment = Dose of pathogens for defined exposure pathway(s) </w:t>
                              </w:r>
                            </w:p>
                            <w:p w14:paraId="043A9C87"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source concentration</w:t>
                              </w:r>
                            </w:p>
                            <w:p w14:paraId="57939E1D"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pathogen reduction achieved by barriers/control/transport</w:t>
                              </w:r>
                            </w:p>
                            <w:p w14:paraId="5525ABC8"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 xml:space="preserve">magnitude and frequency of exposure. </w:t>
                              </w:r>
                            </w:p>
                          </w:txbxContent>
                        </wps:txbx>
                        <wps:bodyPr rot="0" vert="horz" wrap="square" lIns="91440" tIns="45720" rIns="91440" bIns="45720" anchor="t" anchorCtr="0">
                          <a:noAutofit/>
                        </wps:bodyPr>
                      </wps:wsp>
                      <wps:wsp>
                        <wps:cNvPr id="257" name="Text Box 2"/>
                        <wps:cNvSpPr txBox="1">
                          <a:spLocks noChangeArrowheads="1"/>
                        </wps:cNvSpPr>
                        <wps:spPr bwMode="auto">
                          <a:xfrm>
                            <a:off x="3213463" y="2755126"/>
                            <a:ext cx="3025140" cy="1211580"/>
                          </a:xfrm>
                          <a:prstGeom prst="rect">
                            <a:avLst/>
                          </a:prstGeom>
                          <a:solidFill>
                            <a:srgbClr val="FFFFFF"/>
                          </a:solidFill>
                          <a:ln w="9525">
                            <a:solidFill>
                              <a:srgbClr val="000000"/>
                            </a:solidFill>
                            <a:miter lim="800000"/>
                            <a:headEnd/>
                            <a:tailEnd/>
                          </a:ln>
                        </wps:spPr>
                        <wps:txbx>
                          <w:txbxContent>
                            <w:p w14:paraId="213BEB0E" w14:textId="77777777" w:rsidR="00FB0A0D" w:rsidRPr="00D53E0B" w:rsidRDefault="00FB0A0D" w:rsidP="00FB0A0D">
                              <w:pPr>
                                <w:rPr>
                                  <w:b/>
                                  <w:sz w:val="18"/>
                                  <w:szCs w:val="18"/>
                                </w:rPr>
                              </w:pPr>
                              <w:r w:rsidRPr="00D53E0B">
                                <w:rPr>
                                  <w:b/>
                                  <w:sz w:val="18"/>
                                  <w:szCs w:val="18"/>
                                </w:rPr>
                                <w:t>3. Health effects assessment = Expected health effects of defined hazards</w:t>
                              </w:r>
                              <w:r w:rsidRPr="00D53E0B">
                                <w:rPr>
                                  <w:b/>
                                  <w:sz w:val="18"/>
                                  <w:szCs w:val="18"/>
                                  <w:u w:val="single"/>
                                </w:rPr>
                                <w:t xml:space="preserve"> </w:t>
                              </w:r>
                            </w:p>
                            <w:p w14:paraId="12B531EF"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dose-response</w:t>
                              </w:r>
                            </w:p>
                            <w:p w14:paraId="4C4959FE"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 xml:space="preserve">illness &amp; sequelae </w:t>
                              </w:r>
                            </w:p>
                            <w:p w14:paraId="350E39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secondary transmission &amp; immunity</w:t>
                              </w:r>
                            </w:p>
                            <w:p w14:paraId="7DC636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 xml:space="preserve">impact on burden of disease. </w:t>
                              </w:r>
                            </w:p>
                          </w:txbxContent>
                        </wps:txbx>
                        <wps:bodyPr rot="0" vert="horz" wrap="square" lIns="91440" tIns="45720" rIns="91440" bIns="45720" anchor="t" anchorCtr="0">
                          <a:noAutofit/>
                        </wps:bodyPr>
                      </wps:wsp>
                      <wps:wsp>
                        <wps:cNvPr id="260" name="Rectangle 260"/>
                        <wps:cNvSpPr/>
                        <wps:spPr>
                          <a:xfrm>
                            <a:off x="35651" y="4057921"/>
                            <a:ext cx="3061970" cy="18761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51A0" w14:textId="77777777" w:rsidR="00FB0A0D" w:rsidRDefault="00FB0A0D" w:rsidP="00FB0A0D">
                              <w:pPr>
                                <w:rPr>
                                  <w:rStyle w:val="Heading8Char"/>
                                  <w:rFonts w:asciiTheme="minorHAnsi" w:hAnsiTheme="minorHAnsi"/>
                                  <w:color w:val="000000" w:themeColor="text1"/>
                                  <w:sz w:val="18"/>
                                  <w:szCs w:val="18"/>
                                </w:rPr>
                              </w:pPr>
                              <w:r w:rsidRPr="0050455E">
                                <w:rPr>
                                  <w:rStyle w:val="Heading8Char"/>
                                  <w:rFonts w:asciiTheme="minorHAnsi" w:hAnsiTheme="minorHAnsi"/>
                                  <w:color w:val="000000" w:themeColor="text1"/>
                                  <w:sz w:val="18"/>
                                  <w:szCs w:val="18"/>
                                </w:rPr>
                                <w:t>Estimates size/frequency of exposure to pathogens via identified exposure pathways during hazardous events defined in problem formulation by:</w:t>
                              </w:r>
                            </w:p>
                            <w:p w14:paraId="70E7405D"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defining exposure pathways</w:t>
                              </w:r>
                            </w:p>
                            <w:p w14:paraId="729D166F"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each component of exposure pathway</w:t>
                              </w:r>
                            </w:p>
                            <w:p w14:paraId="0F729AD6" w14:textId="77777777" w:rsidR="00FB0A0D" w:rsidRPr="0026703F"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magnitude/frequency of exposure for range of scenarios to be considered.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213463" y="4057921"/>
                            <a:ext cx="3025140" cy="18761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AB69F" w14:textId="77777777" w:rsidR="00FB0A0D" w:rsidRPr="0026703F" w:rsidRDefault="00FB0A0D" w:rsidP="00FB0A0D">
                              <w:pPr>
                                <w:rPr>
                                  <w:color w:val="000000" w:themeColor="text1"/>
                                  <w:sz w:val="18"/>
                                  <w:szCs w:val="18"/>
                                </w:rPr>
                              </w:pPr>
                              <w:r w:rsidRPr="0026703F">
                                <w:rPr>
                                  <w:color w:val="000000" w:themeColor="text1"/>
                                  <w:sz w:val="18"/>
                                  <w:szCs w:val="18"/>
                                </w:rPr>
                                <w:t xml:space="preserve">Assesses dose-response, probability of illness or sequelae that may occur following initial infection/contact, and burden of disease. </w:t>
                              </w:r>
                            </w:p>
                            <w:p w14:paraId="422CB20D" w14:textId="77777777" w:rsidR="00FB0A0D" w:rsidRPr="0026703F" w:rsidRDefault="00FB0A0D" w:rsidP="00FB0A0D">
                              <w:pPr>
                                <w:rPr>
                                  <w:color w:val="000000" w:themeColor="text1"/>
                                  <w:sz w:val="18"/>
                                  <w:szCs w:val="18"/>
                                  <w:lang w:val="en-US"/>
                                </w:rPr>
                              </w:pPr>
                              <w:r w:rsidRPr="0026703F">
                                <w:rPr>
                                  <w:color w:val="000000" w:themeColor="text1"/>
                                  <w:sz w:val="18"/>
                                  <w:szCs w:val="18"/>
                                </w:rPr>
                                <w:t>Special consideration to vulnerable populations (e.g.</w:t>
                              </w:r>
                              <w:r w:rsidRPr="0026703F" w:rsidDel="003D7F49">
                                <w:rPr>
                                  <w:color w:val="000000" w:themeColor="text1"/>
                                  <w:sz w:val="18"/>
                                  <w:szCs w:val="18"/>
                                </w:rPr>
                                <w:t xml:space="preserve"> </w:t>
                              </w:r>
                              <w:r w:rsidRPr="0026703F">
                                <w:rPr>
                                  <w:color w:val="000000" w:themeColor="text1"/>
                                  <w:sz w:val="18"/>
                                  <w:szCs w:val="18"/>
                                </w:rPr>
                                <w:t xml:space="preserve"> children, pregnant women, elderly and otherwise immunocompromised individuals) may be required.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Text Box 2"/>
                        <wps:cNvSpPr txBox="1">
                          <a:spLocks noChangeArrowheads="1"/>
                        </wps:cNvSpPr>
                        <wps:spPr bwMode="auto">
                          <a:xfrm>
                            <a:off x="52252" y="6100355"/>
                            <a:ext cx="6176645" cy="1986122"/>
                          </a:xfrm>
                          <a:prstGeom prst="rect">
                            <a:avLst/>
                          </a:prstGeom>
                          <a:noFill/>
                          <a:ln w="9525">
                            <a:solidFill>
                              <a:srgbClr val="000000"/>
                            </a:solidFill>
                            <a:miter lim="800000"/>
                            <a:headEnd/>
                            <a:tailEnd/>
                          </a:ln>
                        </wps:spPr>
                        <wps:txbx>
                          <w:txbxContent>
                            <w:p w14:paraId="47B770B8" w14:textId="77777777" w:rsidR="00FB0A0D" w:rsidRPr="000755BB" w:rsidRDefault="00FB0A0D" w:rsidP="00FB0A0D">
                              <w:pPr>
                                <w:rPr>
                                  <w:b/>
                                  <w:sz w:val="18"/>
                                  <w:szCs w:val="18"/>
                                  <w:u w:val="single"/>
                                </w:rPr>
                              </w:pPr>
                              <w:r w:rsidRPr="000755BB">
                                <w:rPr>
                                  <w:b/>
                                  <w:sz w:val="18"/>
                                  <w:szCs w:val="18"/>
                                </w:rPr>
                                <w:t>4. Risk characterisation = Expected health effects of the estimated dose</w:t>
                              </w:r>
                              <w:r w:rsidRPr="000755BB">
                                <w:rPr>
                                  <w:b/>
                                  <w:sz w:val="18"/>
                                  <w:szCs w:val="18"/>
                                  <w:u w:val="single"/>
                                </w:rPr>
                                <w:t xml:space="preserve"> </w:t>
                              </w:r>
                            </w:p>
                            <w:p w14:paraId="636C0E12" w14:textId="77777777" w:rsidR="00FB0A0D" w:rsidRPr="000755BB" w:rsidRDefault="00FB0A0D" w:rsidP="00FB0A0D">
                              <w:pPr>
                                <w:rPr>
                                  <w:rFonts w:cs="Arial"/>
                                  <w:sz w:val="18"/>
                                  <w:szCs w:val="18"/>
                                </w:rPr>
                              </w:pPr>
                              <w:r w:rsidRPr="000755BB">
                                <w:rPr>
                                  <w:sz w:val="18"/>
                                  <w:szCs w:val="18"/>
                                  <w:u w:val="single"/>
                                </w:rPr>
                                <w:t>Quantification of risk</w:t>
                              </w:r>
                              <w:r w:rsidRPr="000755BB">
                                <w:rPr>
                                  <w:sz w:val="18"/>
                                  <w:szCs w:val="18"/>
                                </w:rPr>
                                <w:t xml:space="preserve"> </w:t>
                              </w:r>
                            </w:p>
                            <w:p w14:paraId="4364B077" w14:textId="77777777" w:rsidR="00FB0A0D" w:rsidRPr="000755BB" w:rsidRDefault="00FB0A0D" w:rsidP="00FB0A0D">
                              <w:pPr>
                                <w:rPr>
                                  <w:sz w:val="18"/>
                                  <w:szCs w:val="18"/>
                                </w:rPr>
                              </w:pPr>
                              <w:r w:rsidRPr="000755BB">
                                <w:rPr>
                                  <w:sz w:val="18"/>
                                  <w:szCs w:val="18"/>
                                </w:rPr>
                                <w:t>Determine the probability of infection, probability of illness, expected number of illness cases and DALYs.</w:t>
                              </w:r>
                            </w:p>
                            <w:p w14:paraId="08D29C9A" w14:textId="77777777" w:rsidR="00FB0A0D" w:rsidRPr="000755BB" w:rsidRDefault="00FB0A0D" w:rsidP="00FB0A0D">
                              <w:pPr>
                                <w:rPr>
                                  <w:sz w:val="18"/>
                                  <w:szCs w:val="18"/>
                                  <w:u w:val="single"/>
                                </w:rPr>
                              </w:pPr>
                              <w:r w:rsidRPr="000755BB">
                                <w:rPr>
                                  <w:sz w:val="18"/>
                                  <w:szCs w:val="18"/>
                                  <w:u w:val="single"/>
                                </w:rPr>
                                <w:t xml:space="preserve">Variability and uncertainty analyses </w:t>
                              </w:r>
                            </w:p>
                            <w:p w14:paraId="12CE6B7B" w14:textId="77777777" w:rsidR="00FB0A0D" w:rsidRPr="000755BB" w:rsidRDefault="00FB0A0D" w:rsidP="00FB0A0D">
                              <w:pPr>
                                <w:rPr>
                                  <w:sz w:val="18"/>
                                  <w:szCs w:val="18"/>
                                </w:rPr>
                              </w:pPr>
                              <w:r w:rsidRPr="000755BB">
                                <w:rPr>
                                  <w:rFonts w:cs="Arial"/>
                                  <w:sz w:val="18"/>
                                  <w:szCs w:val="18"/>
                                </w:rPr>
                                <w:t xml:space="preserve">Identify and quantify the variability and uncertainty influencing risk output. Variables may include </w:t>
                              </w:r>
                              <w:r w:rsidRPr="000755BB">
                                <w:rPr>
                                  <w:sz w:val="18"/>
                                  <w:szCs w:val="18"/>
                                </w:rPr>
                                <w:t>pathogen densities, efficacy of intervention measures, dose-response parameters and morbidity ratio.</w:t>
                              </w:r>
                            </w:p>
                            <w:p w14:paraId="13FE159E" w14:textId="77777777" w:rsidR="00FB0A0D" w:rsidRPr="000755BB" w:rsidRDefault="00FB0A0D" w:rsidP="00FB0A0D">
                              <w:pPr>
                                <w:rPr>
                                  <w:sz w:val="18"/>
                                  <w:szCs w:val="18"/>
                                  <w:u w:val="single"/>
                                </w:rPr>
                              </w:pPr>
                              <w:r w:rsidRPr="000755BB">
                                <w:rPr>
                                  <w:sz w:val="18"/>
                                  <w:szCs w:val="18"/>
                                  <w:u w:val="single"/>
                                </w:rPr>
                                <w:t xml:space="preserve">Sensitivity analysis </w:t>
                              </w:r>
                            </w:p>
                            <w:p w14:paraId="15901043" w14:textId="77777777" w:rsidR="00FB0A0D" w:rsidRPr="000755BB" w:rsidRDefault="00FB0A0D" w:rsidP="00FB0A0D">
                              <w:pPr>
                                <w:rPr>
                                  <w:rFonts w:eastAsia="Times New Roman"/>
                                  <w:sz w:val="18"/>
                                  <w:szCs w:val="18"/>
                                </w:rPr>
                              </w:pPr>
                              <w:r w:rsidRPr="000755BB">
                                <w:rPr>
                                  <w:sz w:val="18"/>
                                  <w:szCs w:val="18"/>
                                </w:rPr>
                                <w:t>Investigate how variability and uncertainty of input parameters can be used to explore the difference in outcomes of the quantitative microbial risk assessment (QMRA) model (described in Section C4).</w:t>
                              </w:r>
                            </w:p>
                            <w:p w14:paraId="52CCA737" w14:textId="77777777" w:rsidR="00FB0A0D" w:rsidRDefault="00FB0A0D" w:rsidP="00FB0A0D">
                              <w:pPr>
                                <w:spacing w:line="210" w:lineRule="exact"/>
                                <w:rPr>
                                  <w:rFonts w:eastAsia="Times New Roman"/>
                                  <w:sz w:val="18"/>
                                </w:rPr>
                              </w:pPr>
                            </w:p>
                            <w:p w14:paraId="1037D0C2" w14:textId="77777777" w:rsidR="00FB0A0D" w:rsidRPr="00756465" w:rsidRDefault="00FB0A0D" w:rsidP="00FB0A0D">
                              <w:pPr>
                                <w:spacing w:line="210" w:lineRule="exact"/>
                                <w:rPr>
                                  <w:rFonts w:eastAsia="Times New Roman"/>
                                  <w:sz w:val="18"/>
                                </w:rPr>
                              </w:pPr>
                            </w:p>
                          </w:txbxContent>
                        </wps:txbx>
                        <wps:bodyPr rot="0" vert="horz" wrap="square" lIns="91440" tIns="45720" rIns="91440" bIns="45720" anchor="t" anchorCtr="0">
                          <a:noAutofit/>
                        </wps:bodyPr>
                      </wps:wsp>
                      <wps:wsp>
                        <wps:cNvPr id="263" name="Straight Arrow Connector 263"/>
                        <wps:cNvCnPr/>
                        <wps:spPr>
                          <a:xfrm>
                            <a:off x="1551214" y="2543175"/>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58"/>
                        <wps:cNvCnPr/>
                        <wps:spPr>
                          <a:xfrm>
                            <a:off x="4732020" y="2543175"/>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551214" y="5920598"/>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7" name="Straight Arrow Connector 457"/>
                        <wps:cNvCnPr/>
                        <wps:spPr>
                          <a:xfrm>
                            <a:off x="4732020" y="5912647"/>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33783E" id="Group 228" o:spid="_x0000_s1028" style="width:493.5pt;height:636.75pt;mso-position-horizontal-relative:char;mso-position-vertical-relative:line" coordsize="62674,8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">
                <v:shape id="Text Box 460" o:spid="_x0000_s1029" type="#_x0000_t202" style="position:absolute;width:62674;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47EF8969" w14:textId="77777777" w:rsidR="00FB0A0D" w:rsidRPr="00D6147A" w:rsidRDefault="00FB0A0D" w:rsidP="00FB0A0D">
                        <w:pPr>
                          <w:rPr>
                            <w:b/>
                            <w:sz w:val="18"/>
                            <w:szCs w:val="18"/>
                          </w:rPr>
                        </w:pPr>
                        <w:r w:rsidRPr="00D6147A">
                          <w:rPr>
                            <w:b/>
                            <w:sz w:val="18"/>
                            <w:szCs w:val="18"/>
                          </w:rPr>
                          <w:t>1. Problem formulation = Scope &amp; purpose of assessment</w:t>
                        </w:r>
                      </w:p>
                      <w:p w14:paraId="4B776B64" w14:textId="77777777" w:rsidR="00FB0A0D" w:rsidRPr="00D6147A" w:rsidRDefault="00FB0A0D" w:rsidP="00FB0A0D">
                        <w:pPr>
                          <w:rPr>
                            <w:sz w:val="18"/>
                            <w:szCs w:val="18"/>
                          </w:rPr>
                        </w:pPr>
                        <w:r w:rsidRPr="00D6147A">
                          <w:rPr>
                            <w:sz w:val="18"/>
                            <w:szCs w:val="18"/>
                            <w:u w:val="single"/>
                          </w:rPr>
                          <w:t>Which hazards?</w:t>
                        </w:r>
                        <w:r w:rsidRPr="00D6147A">
                          <w:rPr>
                            <w:sz w:val="18"/>
                            <w:szCs w:val="18"/>
                          </w:rPr>
                          <w:t xml:space="preserve"> </w:t>
                        </w:r>
                      </w:p>
                      <w:p w14:paraId="3F5FCAE6" w14:textId="77777777" w:rsidR="00FB0A0D" w:rsidRPr="00D6147A" w:rsidRDefault="00FB0A0D" w:rsidP="00FB0A0D">
                        <w:pPr>
                          <w:rPr>
                            <w:sz w:val="18"/>
                            <w:szCs w:val="18"/>
                          </w:rPr>
                        </w:pPr>
                        <w:r w:rsidRPr="00D6147A">
                          <w:rPr>
                            <w:sz w:val="18"/>
                            <w:szCs w:val="18"/>
                          </w:rPr>
                          <w:t xml:space="preserve">Choose reference pathogens (according to local conditions, exposure pathways, source water characteristics and incidence and severity of waterborne diseases). </w:t>
                        </w:r>
                      </w:p>
                      <w:p w14:paraId="58F79ECA" w14:textId="77777777" w:rsidR="00FB0A0D" w:rsidRPr="00D6147A" w:rsidRDefault="00FB0A0D" w:rsidP="00FB0A0D">
                        <w:pPr>
                          <w:rPr>
                            <w:sz w:val="18"/>
                            <w:szCs w:val="18"/>
                          </w:rPr>
                        </w:pPr>
                        <w:r w:rsidRPr="00D6147A">
                          <w:rPr>
                            <w:sz w:val="18"/>
                            <w:szCs w:val="18"/>
                            <w:u w:val="single"/>
                          </w:rPr>
                          <w:t>Which exposure pathways (including hazardous events)?</w:t>
                        </w:r>
                        <w:r w:rsidRPr="00D6147A">
                          <w:rPr>
                            <w:sz w:val="18"/>
                            <w:szCs w:val="18"/>
                          </w:rPr>
                          <w:t xml:space="preserve"> </w:t>
                        </w:r>
                      </w:p>
                      <w:p w14:paraId="2E937EEE" w14:textId="77777777" w:rsidR="00FB0A0D" w:rsidRPr="00D6147A" w:rsidRDefault="00FB0A0D" w:rsidP="00FB0A0D">
                        <w:pPr>
                          <w:rPr>
                            <w:sz w:val="18"/>
                            <w:szCs w:val="18"/>
                          </w:rPr>
                        </w:pPr>
                        <w:r w:rsidRPr="00D6147A">
                          <w:rPr>
                            <w:sz w:val="18"/>
                            <w:szCs w:val="18"/>
                          </w:rPr>
                          <w:t>Identify exposure pathway(s) (scope the risk assessment and determine what will be included/excluded), time scale (single exposure, independent exposures or a year) and population exposed (total population or specific fractions).</w:t>
                        </w:r>
                      </w:p>
                      <w:p w14:paraId="6B79383D" w14:textId="77777777" w:rsidR="00FB0A0D" w:rsidRPr="00D6147A" w:rsidRDefault="00FB0A0D" w:rsidP="00FB0A0D">
                        <w:pPr>
                          <w:rPr>
                            <w:sz w:val="18"/>
                            <w:szCs w:val="18"/>
                          </w:rPr>
                        </w:pPr>
                        <w:r w:rsidRPr="00D6147A">
                          <w:rPr>
                            <w:sz w:val="18"/>
                            <w:szCs w:val="18"/>
                            <w:u w:val="single"/>
                          </w:rPr>
                          <w:t>Which health outcomes?</w:t>
                        </w:r>
                        <w:r w:rsidRPr="00D6147A">
                          <w:rPr>
                            <w:sz w:val="18"/>
                            <w:szCs w:val="18"/>
                          </w:rPr>
                          <w:t xml:space="preserve"> </w:t>
                        </w:r>
                      </w:p>
                      <w:p w14:paraId="246F7CD0" w14:textId="77777777" w:rsidR="00FB0A0D" w:rsidRPr="00D6147A" w:rsidRDefault="00FB0A0D" w:rsidP="00FB0A0D">
                        <w:pPr>
                          <w:rPr>
                            <w:sz w:val="18"/>
                            <w:szCs w:val="18"/>
                          </w:rPr>
                        </w:pPr>
                        <w:r w:rsidRPr="00D6147A">
                          <w:rPr>
                            <w:sz w:val="18"/>
                            <w:szCs w:val="18"/>
                          </w:rPr>
                          <w:t xml:space="preserve">Health outcomes may include infection, illness and sequelae or a measure of disease burden that includes all of these outcomes (e.g. disability adjusted life years or DALYs, see Box 1). </w:t>
                        </w:r>
                      </w:p>
                      <w:p w14:paraId="64140CC1" w14:textId="77777777" w:rsidR="00FB0A0D" w:rsidRPr="00D6147A" w:rsidRDefault="00FB0A0D" w:rsidP="00FB0A0D">
                        <w:pPr>
                          <w:rPr>
                            <w:sz w:val="18"/>
                            <w:szCs w:val="18"/>
                            <w:u w:val="single"/>
                          </w:rPr>
                        </w:pPr>
                        <w:r w:rsidRPr="00D6147A">
                          <w:rPr>
                            <w:sz w:val="18"/>
                            <w:szCs w:val="18"/>
                            <w:u w:val="single"/>
                          </w:rPr>
                          <w:t xml:space="preserve">What level of certainty needed for risk management?  </w:t>
                        </w:r>
                      </w:p>
                    </w:txbxContent>
                  </v:textbox>
                </v:shape>
                <v:shape id="Text Box 2" o:spid="_x0000_s1030" type="#_x0000_t202" style="position:absolute;left:261;top:27571;width:30619;height:1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703A361B" w14:textId="77777777" w:rsidR="00FB0A0D" w:rsidRPr="00D53E0B" w:rsidRDefault="00FB0A0D" w:rsidP="00FB0A0D">
                        <w:pPr>
                          <w:rPr>
                            <w:b/>
                            <w:sz w:val="18"/>
                            <w:szCs w:val="18"/>
                          </w:rPr>
                        </w:pPr>
                        <w:r w:rsidRPr="00D53E0B">
                          <w:rPr>
                            <w:b/>
                            <w:sz w:val="18"/>
                            <w:szCs w:val="18"/>
                          </w:rPr>
                          <w:t>2.</w:t>
                        </w:r>
                        <w:r w:rsidRPr="00D53E0B">
                          <w:rPr>
                            <w:rFonts w:ascii="Arial" w:hAnsi="Arial"/>
                            <w:b/>
                            <w:sz w:val="18"/>
                            <w:szCs w:val="18"/>
                          </w:rPr>
                          <w:t xml:space="preserve"> </w:t>
                        </w:r>
                        <w:r w:rsidRPr="00D53E0B">
                          <w:rPr>
                            <w:b/>
                            <w:sz w:val="18"/>
                            <w:szCs w:val="18"/>
                          </w:rPr>
                          <w:t xml:space="preserve">Exposure assessment = Dose of pathogens for defined exposure pathway(s) </w:t>
                        </w:r>
                      </w:p>
                      <w:p w14:paraId="043A9C87"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source concentration</w:t>
                        </w:r>
                      </w:p>
                      <w:p w14:paraId="57939E1D"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pathogen reduction achieved by barriers/control/transport</w:t>
                        </w:r>
                      </w:p>
                      <w:p w14:paraId="5525ABC8"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 xml:space="preserve">magnitude and frequency of exposure. </w:t>
                        </w:r>
                      </w:p>
                    </w:txbxContent>
                  </v:textbox>
                </v:shape>
                <v:shape id="Text Box 2" o:spid="_x0000_s1031" type="#_x0000_t202" style="position:absolute;left:32134;top:27551;width:30252;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213BEB0E" w14:textId="77777777" w:rsidR="00FB0A0D" w:rsidRPr="00D53E0B" w:rsidRDefault="00FB0A0D" w:rsidP="00FB0A0D">
                        <w:pPr>
                          <w:rPr>
                            <w:b/>
                            <w:sz w:val="18"/>
                            <w:szCs w:val="18"/>
                          </w:rPr>
                        </w:pPr>
                        <w:r w:rsidRPr="00D53E0B">
                          <w:rPr>
                            <w:b/>
                            <w:sz w:val="18"/>
                            <w:szCs w:val="18"/>
                          </w:rPr>
                          <w:t>3. Health effects assessment = Expected health effects of defined hazards</w:t>
                        </w:r>
                        <w:r w:rsidRPr="00D53E0B">
                          <w:rPr>
                            <w:b/>
                            <w:sz w:val="18"/>
                            <w:szCs w:val="18"/>
                            <w:u w:val="single"/>
                          </w:rPr>
                          <w:t xml:space="preserve"> </w:t>
                        </w:r>
                      </w:p>
                      <w:p w14:paraId="12B531EF"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dose-response</w:t>
                        </w:r>
                      </w:p>
                      <w:p w14:paraId="4C4959FE"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 xml:space="preserve">illness &amp; sequelae </w:t>
                        </w:r>
                      </w:p>
                      <w:p w14:paraId="350E39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secondary transmission &amp; immunity</w:t>
                        </w:r>
                      </w:p>
                      <w:p w14:paraId="7DC636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 xml:space="preserve">impact on burden of disease. </w:t>
                        </w:r>
                      </w:p>
                    </w:txbxContent>
                  </v:textbox>
                </v:shape>
                <v:rect id="Rectangle 260" o:spid="_x0000_s1032" style="position:absolute;left:356;top:40579;width:30620;height:1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" filled="f" strokecolor="black [3213]" strokeweight="1.5pt">
                  <v:textbox>
                    <w:txbxContent>
                      <w:p w14:paraId="382B51A0" w14:textId="77777777" w:rsidR="00FB0A0D" w:rsidRDefault="00FB0A0D" w:rsidP="00FB0A0D">
                        <w:pPr>
                          <w:rPr>
                            <w:rStyle w:val="Heading8Char"/>
                            <w:rFonts w:asciiTheme="minorHAnsi" w:hAnsiTheme="minorHAnsi"/>
                            <w:color w:val="000000" w:themeColor="text1"/>
                            <w:sz w:val="18"/>
                            <w:szCs w:val="18"/>
                          </w:rPr>
                        </w:pPr>
                        <w:r w:rsidRPr="0050455E">
                          <w:rPr>
                            <w:rStyle w:val="Heading8Char"/>
                            <w:rFonts w:asciiTheme="minorHAnsi" w:hAnsiTheme="minorHAnsi"/>
                            <w:color w:val="000000" w:themeColor="text1"/>
                            <w:sz w:val="18"/>
                            <w:szCs w:val="18"/>
                          </w:rPr>
                          <w:t>Estimates size/frequency of exposure to pathogens via identified exposure pathways during hazardous events defined in problem formulation by:</w:t>
                        </w:r>
                      </w:p>
                      <w:p w14:paraId="70E7405D"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defining exposure pathways</w:t>
                        </w:r>
                      </w:p>
                      <w:p w14:paraId="729D166F"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each component of exposure pathway</w:t>
                        </w:r>
                      </w:p>
                      <w:p w14:paraId="0F729AD6" w14:textId="77777777" w:rsidR="00FB0A0D" w:rsidRPr="0026703F"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magnitude/frequency of exposure for range of scenarios to be considered.</w:t>
                        </w:r>
                      </w:p>
                    </w:txbxContent>
                  </v:textbox>
                </v:rect>
                <v:rect id="Rectangle 261" o:spid="_x0000_s1033" style="position:absolute;left:32134;top:40579;width:30252;height:18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" filled="f" strokecolor="black [3213]" strokeweight="1.5pt">
                  <v:textbox>
                    <w:txbxContent>
                      <w:p w14:paraId="3AAAB69F" w14:textId="77777777" w:rsidR="00FB0A0D" w:rsidRPr="0026703F" w:rsidRDefault="00FB0A0D" w:rsidP="00FB0A0D">
                        <w:pPr>
                          <w:rPr>
                            <w:color w:val="000000" w:themeColor="text1"/>
                            <w:sz w:val="18"/>
                            <w:szCs w:val="18"/>
                          </w:rPr>
                        </w:pPr>
                        <w:r w:rsidRPr="0026703F">
                          <w:rPr>
                            <w:color w:val="000000" w:themeColor="text1"/>
                            <w:sz w:val="18"/>
                            <w:szCs w:val="18"/>
                          </w:rPr>
                          <w:t xml:space="preserve">Assesses dose-response, probability of illness or sequelae that may occur following initial infection/contact, and burden of disease. </w:t>
                        </w:r>
                      </w:p>
                      <w:p w14:paraId="422CB20D" w14:textId="77777777" w:rsidR="00FB0A0D" w:rsidRPr="0026703F" w:rsidRDefault="00FB0A0D" w:rsidP="00FB0A0D">
                        <w:pPr>
                          <w:rPr>
                            <w:color w:val="000000" w:themeColor="text1"/>
                            <w:sz w:val="18"/>
                            <w:szCs w:val="18"/>
                            <w:lang w:val="en-US"/>
                          </w:rPr>
                        </w:pPr>
                        <w:r w:rsidRPr="0026703F">
                          <w:rPr>
                            <w:color w:val="000000" w:themeColor="text1"/>
                            <w:sz w:val="18"/>
                            <w:szCs w:val="18"/>
                          </w:rPr>
                          <w:t>Special consideration to vulnerable populations (e.g.</w:t>
                        </w:r>
                        <w:r w:rsidRPr="0026703F" w:rsidDel="003D7F49">
                          <w:rPr>
                            <w:color w:val="000000" w:themeColor="text1"/>
                            <w:sz w:val="18"/>
                            <w:szCs w:val="18"/>
                          </w:rPr>
                          <w:t xml:space="preserve"> </w:t>
                        </w:r>
                        <w:r w:rsidRPr="0026703F">
                          <w:rPr>
                            <w:color w:val="000000" w:themeColor="text1"/>
                            <w:sz w:val="18"/>
                            <w:szCs w:val="18"/>
                          </w:rPr>
                          <w:t xml:space="preserve"> children, pregnant women, elderly and otherwise immunocompromised individuals) may be required.</w:t>
                        </w:r>
                      </w:p>
                    </w:txbxContent>
                  </v:textbox>
                </v:rect>
                <v:shape id="Text Box 2" o:spid="_x0000_s1034" type="#_x0000_t202" style="position:absolute;left:522;top:61003;width:61766;height:1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" filled="f">
                  <v:textbox>
                    <w:txbxContent>
                      <w:p w14:paraId="47B770B8" w14:textId="77777777" w:rsidR="00FB0A0D" w:rsidRPr="000755BB" w:rsidRDefault="00FB0A0D" w:rsidP="00FB0A0D">
                        <w:pPr>
                          <w:rPr>
                            <w:b/>
                            <w:sz w:val="18"/>
                            <w:szCs w:val="18"/>
                            <w:u w:val="single"/>
                          </w:rPr>
                        </w:pPr>
                        <w:r w:rsidRPr="000755BB">
                          <w:rPr>
                            <w:b/>
                            <w:sz w:val="18"/>
                            <w:szCs w:val="18"/>
                          </w:rPr>
                          <w:t>4. Risk characterisation = Expected health effects of the estimated dose</w:t>
                        </w:r>
                        <w:r w:rsidRPr="000755BB">
                          <w:rPr>
                            <w:b/>
                            <w:sz w:val="18"/>
                            <w:szCs w:val="18"/>
                            <w:u w:val="single"/>
                          </w:rPr>
                          <w:t xml:space="preserve"> </w:t>
                        </w:r>
                      </w:p>
                      <w:p w14:paraId="636C0E12" w14:textId="77777777" w:rsidR="00FB0A0D" w:rsidRPr="000755BB" w:rsidRDefault="00FB0A0D" w:rsidP="00FB0A0D">
                        <w:pPr>
                          <w:rPr>
                            <w:rFonts w:cs="Arial"/>
                            <w:sz w:val="18"/>
                            <w:szCs w:val="18"/>
                          </w:rPr>
                        </w:pPr>
                        <w:r w:rsidRPr="000755BB">
                          <w:rPr>
                            <w:sz w:val="18"/>
                            <w:szCs w:val="18"/>
                            <w:u w:val="single"/>
                          </w:rPr>
                          <w:t>Quantification of risk</w:t>
                        </w:r>
                        <w:r w:rsidRPr="000755BB">
                          <w:rPr>
                            <w:sz w:val="18"/>
                            <w:szCs w:val="18"/>
                          </w:rPr>
                          <w:t xml:space="preserve"> </w:t>
                        </w:r>
                      </w:p>
                      <w:p w14:paraId="4364B077" w14:textId="77777777" w:rsidR="00FB0A0D" w:rsidRPr="000755BB" w:rsidRDefault="00FB0A0D" w:rsidP="00FB0A0D">
                        <w:pPr>
                          <w:rPr>
                            <w:sz w:val="18"/>
                            <w:szCs w:val="18"/>
                          </w:rPr>
                        </w:pPr>
                        <w:r w:rsidRPr="000755BB">
                          <w:rPr>
                            <w:sz w:val="18"/>
                            <w:szCs w:val="18"/>
                          </w:rPr>
                          <w:t>Determine the probability of infection, probability of illness, expected number of illness cases and DALYs.</w:t>
                        </w:r>
                      </w:p>
                      <w:p w14:paraId="08D29C9A" w14:textId="77777777" w:rsidR="00FB0A0D" w:rsidRPr="000755BB" w:rsidRDefault="00FB0A0D" w:rsidP="00FB0A0D">
                        <w:pPr>
                          <w:rPr>
                            <w:sz w:val="18"/>
                            <w:szCs w:val="18"/>
                            <w:u w:val="single"/>
                          </w:rPr>
                        </w:pPr>
                        <w:r w:rsidRPr="000755BB">
                          <w:rPr>
                            <w:sz w:val="18"/>
                            <w:szCs w:val="18"/>
                            <w:u w:val="single"/>
                          </w:rPr>
                          <w:t xml:space="preserve">Variability and uncertainty analyses </w:t>
                        </w:r>
                      </w:p>
                      <w:p w14:paraId="12CE6B7B" w14:textId="77777777" w:rsidR="00FB0A0D" w:rsidRPr="000755BB" w:rsidRDefault="00FB0A0D" w:rsidP="00FB0A0D">
                        <w:pPr>
                          <w:rPr>
                            <w:sz w:val="18"/>
                            <w:szCs w:val="18"/>
                          </w:rPr>
                        </w:pPr>
                        <w:r w:rsidRPr="000755BB">
                          <w:rPr>
                            <w:rFonts w:cs="Arial"/>
                            <w:sz w:val="18"/>
                            <w:szCs w:val="18"/>
                          </w:rPr>
                          <w:t xml:space="preserve">Identify and quantify the variability and uncertainty influencing risk output. Variables may include </w:t>
                        </w:r>
                        <w:r w:rsidRPr="000755BB">
                          <w:rPr>
                            <w:sz w:val="18"/>
                            <w:szCs w:val="18"/>
                          </w:rPr>
                          <w:t>pathogen densities, efficacy of intervention measures, dose-response parameters and morbidity ratio.</w:t>
                        </w:r>
                      </w:p>
                      <w:p w14:paraId="13FE159E" w14:textId="77777777" w:rsidR="00FB0A0D" w:rsidRPr="000755BB" w:rsidRDefault="00FB0A0D" w:rsidP="00FB0A0D">
                        <w:pPr>
                          <w:rPr>
                            <w:sz w:val="18"/>
                            <w:szCs w:val="18"/>
                            <w:u w:val="single"/>
                          </w:rPr>
                        </w:pPr>
                        <w:r w:rsidRPr="000755BB">
                          <w:rPr>
                            <w:sz w:val="18"/>
                            <w:szCs w:val="18"/>
                            <w:u w:val="single"/>
                          </w:rPr>
                          <w:t xml:space="preserve">Sensitivity analysis </w:t>
                        </w:r>
                      </w:p>
                      <w:p w14:paraId="15901043" w14:textId="77777777" w:rsidR="00FB0A0D" w:rsidRPr="000755BB" w:rsidRDefault="00FB0A0D" w:rsidP="00FB0A0D">
                        <w:pPr>
                          <w:rPr>
                            <w:rFonts w:eastAsia="Times New Roman"/>
                            <w:sz w:val="18"/>
                            <w:szCs w:val="18"/>
                          </w:rPr>
                        </w:pPr>
                        <w:r w:rsidRPr="000755BB">
                          <w:rPr>
                            <w:sz w:val="18"/>
                            <w:szCs w:val="18"/>
                          </w:rPr>
                          <w:t>Investigate how variability and uncertainty of input parameters can be used to explore the difference in outcomes of the quantitative microbial risk assessment (QMRA) model (described in Section C4).</w:t>
                        </w:r>
                      </w:p>
                      <w:p w14:paraId="52CCA737" w14:textId="77777777" w:rsidR="00FB0A0D" w:rsidRDefault="00FB0A0D" w:rsidP="00FB0A0D">
                        <w:pPr>
                          <w:spacing w:line="210" w:lineRule="exact"/>
                          <w:rPr>
                            <w:rFonts w:eastAsia="Times New Roman"/>
                            <w:sz w:val="18"/>
                          </w:rPr>
                        </w:pPr>
                      </w:p>
                      <w:p w14:paraId="1037D0C2" w14:textId="77777777" w:rsidR="00FB0A0D" w:rsidRPr="00756465" w:rsidRDefault="00FB0A0D" w:rsidP="00FB0A0D">
                        <w:pPr>
                          <w:spacing w:line="210" w:lineRule="exact"/>
                          <w:rPr>
                            <w:rFonts w:eastAsia="Times New Roman"/>
                            <w:sz w:val="18"/>
                          </w:rPr>
                        </w:pPr>
                      </w:p>
                    </w:txbxContent>
                  </v:textbox>
                </v:shape>
                <v:shapetype id="_x0000_t32" coordsize="21600,21600" o:spt="32" o:oned="t" path="m,l21600,21600e" filled="f">
                  <v:path arrowok="t" fillok="f" o:connecttype="none"/>
                  <o:lock v:ext="edit" shapetype="t"/>
                </v:shapetype>
                <v:shape id="Straight Arrow Connector 263" o:spid="_x0000_s1035" type="#_x0000_t32" style="position:absolute;left:15512;top:25431;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" strokecolor="#003f72" strokeweight="4.5pt">
                  <v:stroke endarrow="block"/>
                </v:shape>
                <v:shape id="Straight Arrow Connector 458" o:spid="_x0000_s1036" type="#_x0000_t32" style="position:absolute;left:47320;top:25431;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" strokecolor="#003f72" strokeweight="4.5pt">
                  <v:stroke endarrow="block"/>
                </v:shape>
                <v:shape id="Straight Arrow Connector 63" o:spid="_x0000_s1037" type="#_x0000_t32" style="position:absolute;left:15512;top:59205;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" strokecolor="#003f72" strokeweight="4.5pt">
                  <v:stroke endarrow="block"/>
                </v:shape>
                <v:shape id="Straight Arrow Connector 457" o:spid="_x0000_s1038" type="#_x0000_t32" style="position:absolute;left:47320;top:59126;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" strokecolor="#003f72" strokeweight="4.5pt">
                  <v:stroke endarrow="block"/>
                </v:shape>
                <w10:anchorlock/>
              </v:group>
            </w:pict>
          </mc:Fallback>
        </mc:AlternateContent>
      </w:r>
    </w:p>
    <w:p w14:paraId="53EA5189" w14:textId="42D05C60" w:rsidR="00901A1D" w:rsidRDefault="00901A1D" w:rsidP="00901A1D">
      <w:pPr>
        <w:pStyle w:val="Caption"/>
      </w:pPr>
      <w:bookmarkStart w:id="207" w:name="_Ref132747204"/>
      <w:r>
        <w:t>Figure C</w:t>
      </w:r>
      <w:fldSimple w:instr=" SEQ Figure_C \* ARABIC ">
        <w:r w:rsidR="00FD64B0">
          <w:rPr>
            <w:noProof/>
          </w:rPr>
          <w:t>1</w:t>
        </w:r>
      </w:fldSimple>
      <w:bookmarkEnd w:id="207"/>
      <w:r>
        <w:t xml:space="preserve"> – </w:t>
      </w:r>
      <w:r w:rsidRPr="00A128C7">
        <w:t>Harmonised framework for water-related risk assessments (Source: WHO, 2016)</w:t>
      </w:r>
    </w:p>
    <w:p w14:paraId="22871666" w14:textId="7ADF209F" w:rsidR="00BD711C" w:rsidRPr="00F21050" w:rsidRDefault="00BD711C" w:rsidP="00BD711C">
      <w:pPr>
        <w:pStyle w:val="Caption"/>
        <w:rPr>
          <w:rFonts w:cs="Arial"/>
          <w:color w:val="000000"/>
          <w:lang w:eastAsia="ja-JP"/>
        </w:rPr>
      </w:pPr>
    </w:p>
    <w:p w14:paraId="26712EA8" w14:textId="20CF03C8" w:rsidR="00901A1D" w:rsidRDefault="00901A1D" w:rsidP="00901A1D">
      <w:pPr>
        <w:pStyle w:val="Caption"/>
        <w:keepNext/>
      </w:pPr>
      <w:bookmarkStart w:id="208" w:name="_Ref132747259"/>
      <w:r>
        <w:lastRenderedPageBreak/>
        <w:t>Table C</w:t>
      </w:r>
      <w:fldSimple w:instr=" SEQ Table_C \* ARABIC ">
        <w:r w:rsidR="00FD64B0">
          <w:rPr>
            <w:noProof/>
          </w:rPr>
          <w:t>1</w:t>
        </w:r>
      </w:fldSimple>
      <w:bookmarkEnd w:id="208"/>
      <w:r>
        <w:t xml:space="preserve"> – </w:t>
      </w:r>
      <w:r w:rsidRPr="0046322E">
        <w:t>Environmental values of discharged wastewater and applicable policies and/or guidelines for assessing risks</w:t>
      </w:r>
    </w:p>
    <w:tbl>
      <w:tblPr>
        <w:tblStyle w:val="ListTable3-Accent1"/>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4786"/>
      </w:tblGrid>
      <w:tr w:rsidR="00BD711C" w:rsidRPr="00261C26" w14:paraId="6820DB9E" w14:textId="77777777" w:rsidTr="00522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shd w:val="clear" w:color="auto" w:fill="003F72"/>
          </w:tcPr>
          <w:p w14:paraId="3373107C" w14:textId="77777777" w:rsidR="00BD711C" w:rsidRPr="00654D85" w:rsidRDefault="00BD711C" w:rsidP="00654D85">
            <w:pPr>
              <w:pStyle w:val="Tabletext0"/>
            </w:pPr>
            <w:r w:rsidRPr="00654D85">
              <w:t>Environmental values</w:t>
            </w:r>
          </w:p>
        </w:tc>
        <w:tc>
          <w:tcPr>
            <w:tcW w:w="2353" w:type="pct"/>
            <w:shd w:val="clear" w:color="auto" w:fill="003F72"/>
          </w:tcPr>
          <w:p w14:paraId="604C3F2F" w14:textId="77777777" w:rsidR="00BD711C" w:rsidRPr="00654D85" w:rsidRDefault="00BD711C" w:rsidP="00654D85">
            <w:pPr>
              <w:pStyle w:val="Tabletext0"/>
              <w:cnfStyle w:val="100000000000" w:firstRow="1" w:lastRow="0" w:firstColumn="0" w:lastColumn="0" w:oddVBand="0" w:evenVBand="0" w:oddHBand="0" w:evenHBand="0" w:firstRowFirstColumn="0" w:firstRowLastColumn="0" w:lastRowFirstColumn="0" w:lastRowLastColumn="0"/>
            </w:pPr>
            <w:r w:rsidRPr="00654D85">
              <w:t>Applicable policy/guidelines</w:t>
            </w:r>
          </w:p>
        </w:tc>
      </w:tr>
      <w:tr w:rsidR="00BD711C" w:rsidRPr="00261C26" w14:paraId="0767EEF1" w14:textId="77777777" w:rsidTr="00522185">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4F962BAB" w14:textId="77777777" w:rsidR="00BD711C" w:rsidRPr="00654D85" w:rsidRDefault="00BD711C" w:rsidP="00654D85">
            <w:pPr>
              <w:pStyle w:val="Tabletext0"/>
              <w:rPr>
                <w:b w:val="0"/>
                <w:bCs w:val="0"/>
              </w:rPr>
            </w:pPr>
            <w:r w:rsidRPr="00654D85">
              <w:rPr>
                <w:b w:val="0"/>
                <w:bCs w:val="0"/>
              </w:rPr>
              <w:t>Urban (non-potable) with uncontrolled public access including:</w:t>
            </w:r>
          </w:p>
          <w:p w14:paraId="4F160ED8" w14:textId="77777777" w:rsidR="00BD711C" w:rsidRPr="00654D85" w:rsidRDefault="00BD711C" w:rsidP="00525686">
            <w:pPr>
              <w:pStyle w:val="Tabletext0"/>
              <w:numPr>
                <w:ilvl w:val="0"/>
                <w:numId w:val="32"/>
              </w:numPr>
              <w:ind w:left="464"/>
              <w:rPr>
                <w:b w:val="0"/>
                <w:bCs w:val="0"/>
              </w:rPr>
            </w:pPr>
            <w:r w:rsidRPr="00654D85">
              <w:rPr>
                <w:b w:val="0"/>
                <w:bCs w:val="0"/>
              </w:rPr>
              <w:t>residential and commercial garden watering, car washing, toilet flushing, water features</w:t>
            </w:r>
          </w:p>
          <w:p w14:paraId="1C445880" w14:textId="77777777" w:rsidR="00BD711C" w:rsidRPr="00654D85" w:rsidRDefault="00BD711C" w:rsidP="00525686">
            <w:pPr>
              <w:pStyle w:val="Tabletext0"/>
              <w:numPr>
                <w:ilvl w:val="0"/>
                <w:numId w:val="32"/>
              </w:numPr>
              <w:ind w:left="464"/>
              <w:rPr>
                <w:b w:val="0"/>
                <w:bCs w:val="0"/>
              </w:rPr>
            </w:pPr>
            <w:r w:rsidRPr="00654D85">
              <w:rPr>
                <w:b w:val="0"/>
                <w:bCs w:val="0"/>
              </w:rPr>
              <w:t>municipal uses such irrigation for urban recreation, open space and sporting facilities, road making and dust control and street cleaning</w:t>
            </w:r>
          </w:p>
          <w:p w14:paraId="0503ECC9" w14:textId="77777777" w:rsidR="00BD711C" w:rsidRPr="00654D85" w:rsidRDefault="00BD711C" w:rsidP="00525686">
            <w:pPr>
              <w:pStyle w:val="Tabletext0"/>
              <w:numPr>
                <w:ilvl w:val="0"/>
                <w:numId w:val="32"/>
              </w:numPr>
              <w:ind w:left="464"/>
              <w:rPr>
                <w:b w:val="0"/>
                <w:bCs w:val="0"/>
              </w:rPr>
            </w:pPr>
            <w:r w:rsidRPr="00654D85">
              <w:rPr>
                <w:b w:val="0"/>
                <w:bCs w:val="0"/>
              </w:rPr>
              <w:t>fire control</w:t>
            </w:r>
          </w:p>
        </w:tc>
        <w:tc>
          <w:tcPr>
            <w:tcW w:w="2353" w:type="pct"/>
          </w:tcPr>
          <w:p w14:paraId="029F9D09"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Act 2017</w:t>
            </w:r>
          </w:p>
          <w:p w14:paraId="405816B8"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DHHS 2013</w:t>
            </w:r>
          </w:p>
          <w:p w14:paraId="0E6C7062"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EPA Victoria 2021a</w:t>
            </w:r>
          </w:p>
          <w:p w14:paraId="71201A6B"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EPA Victoria 2021b</w:t>
            </w:r>
          </w:p>
          <w:p w14:paraId="77A26B43"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 xml:space="preserve">NRMMC et al., 2006, 2008 </w:t>
            </w:r>
          </w:p>
          <w:p w14:paraId="2CF9D4DD"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Regulations, permissions and licences</w:t>
            </w:r>
          </w:p>
        </w:tc>
      </w:tr>
      <w:tr w:rsidR="00BD711C" w:rsidRPr="00261C26" w14:paraId="7F62BC35" w14:textId="77777777" w:rsidTr="00522185">
        <w:trPr>
          <w:trHeight w:val="1551"/>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3946400F" w14:textId="77777777" w:rsidR="00BD711C" w:rsidRPr="00654D85" w:rsidRDefault="00BD711C" w:rsidP="00654D85">
            <w:pPr>
              <w:pStyle w:val="Tabletext0"/>
              <w:rPr>
                <w:b w:val="0"/>
                <w:bCs w:val="0"/>
              </w:rPr>
            </w:pPr>
            <w:r w:rsidRPr="00654D85">
              <w:rPr>
                <w:b w:val="0"/>
                <w:bCs w:val="0"/>
              </w:rPr>
              <w:t xml:space="preserve">Agricultural including: </w:t>
            </w:r>
          </w:p>
          <w:p w14:paraId="5714553E" w14:textId="77777777" w:rsidR="00BD711C" w:rsidRPr="00654D85" w:rsidRDefault="00BD711C" w:rsidP="00525686">
            <w:pPr>
              <w:pStyle w:val="Tabletext0"/>
              <w:numPr>
                <w:ilvl w:val="0"/>
                <w:numId w:val="33"/>
              </w:numPr>
              <w:ind w:left="464"/>
              <w:rPr>
                <w:b w:val="0"/>
                <w:bCs w:val="0"/>
              </w:rPr>
            </w:pPr>
            <w:r w:rsidRPr="00654D85">
              <w:rPr>
                <w:b w:val="0"/>
                <w:bCs w:val="0"/>
              </w:rPr>
              <w:t>irrigation of human food crops consumed raw</w:t>
            </w:r>
          </w:p>
          <w:p w14:paraId="4217048A" w14:textId="77777777" w:rsidR="00BD711C" w:rsidRPr="00654D85" w:rsidRDefault="00BD711C" w:rsidP="00525686">
            <w:pPr>
              <w:pStyle w:val="Tabletext0"/>
              <w:numPr>
                <w:ilvl w:val="0"/>
                <w:numId w:val="33"/>
              </w:numPr>
              <w:ind w:left="464"/>
              <w:rPr>
                <w:b w:val="0"/>
                <w:bCs w:val="0"/>
              </w:rPr>
            </w:pPr>
            <w:r w:rsidRPr="00654D85">
              <w:rPr>
                <w:b w:val="0"/>
                <w:bCs w:val="0"/>
              </w:rPr>
              <w:t>irrigation of human food crops cooked/processed</w:t>
            </w:r>
          </w:p>
          <w:p w14:paraId="0815F3E2" w14:textId="77777777" w:rsidR="00BD711C" w:rsidRPr="00654D85" w:rsidRDefault="00BD711C" w:rsidP="00525686">
            <w:pPr>
              <w:pStyle w:val="Tabletext0"/>
              <w:numPr>
                <w:ilvl w:val="0"/>
                <w:numId w:val="33"/>
              </w:numPr>
              <w:ind w:left="464"/>
              <w:rPr>
                <w:b w:val="0"/>
                <w:bCs w:val="0"/>
              </w:rPr>
            </w:pPr>
            <w:r w:rsidRPr="00654D85">
              <w:rPr>
                <w:b w:val="0"/>
                <w:bCs w:val="0"/>
              </w:rPr>
              <w:t>irrigation of non-food crops such as instant turf, woodlots and flowers</w:t>
            </w:r>
          </w:p>
          <w:p w14:paraId="4D39DF18" w14:textId="77777777" w:rsidR="00BD711C" w:rsidRPr="00654D85" w:rsidRDefault="00BD711C" w:rsidP="00525686">
            <w:pPr>
              <w:pStyle w:val="Tabletext0"/>
              <w:numPr>
                <w:ilvl w:val="0"/>
                <w:numId w:val="33"/>
              </w:numPr>
              <w:ind w:left="464"/>
              <w:rPr>
                <w:b w:val="0"/>
                <w:bCs w:val="0"/>
              </w:rPr>
            </w:pPr>
            <w:r w:rsidRPr="00654D85">
              <w:rPr>
                <w:b w:val="0"/>
                <w:bCs w:val="0"/>
              </w:rPr>
              <w:t>grazing/fodder for livestock</w:t>
            </w:r>
          </w:p>
          <w:p w14:paraId="40308C30" w14:textId="77777777" w:rsidR="00BD711C" w:rsidRPr="00654D85" w:rsidRDefault="00BD711C" w:rsidP="00525686">
            <w:pPr>
              <w:pStyle w:val="Tabletext0"/>
              <w:numPr>
                <w:ilvl w:val="0"/>
                <w:numId w:val="33"/>
              </w:numPr>
              <w:ind w:left="464"/>
              <w:rPr>
                <w:b w:val="0"/>
                <w:bCs w:val="0"/>
              </w:rPr>
            </w:pPr>
            <w:r w:rsidRPr="00654D85">
              <w:rPr>
                <w:b w:val="0"/>
                <w:bCs w:val="0"/>
              </w:rPr>
              <w:t>stock watering</w:t>
            </w:r>
          </w:p>
        </w:tc>
        <w:tc>
          <w:tcPr>
            <w:tcW w:w="2353" w:type="pct"/>
          </w:tcPr>
          <w:p w14:paraId="217ED991"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Environment Protection Act 2017</w:t>
            </w:r>
          </w:p>
          <w:p w14:paraId="1A6D5822"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Livestock Disease Control Act 1994</w:t>
            </w:r>
          </w:p>
          <w:p w14:paraId="6FDADCA0"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 xml:space="preserve">NRMMC et al., 2006, 2008 </w:t>
            </w:r>
          </w:p>
          <w:p w14:paraId="3A4EE2E2" w14:textId="77777777" w:rsidR="00BD711C" w:rsidRPr="00654D85" w:rsidRDefault="00BD711C" w:rsidP="00654D85">
            <w:pPr>
              <w:pStyle w:val="Tabletext0"/>
              <w:ind w:left="459"/>
              <w:cnfStyle w:val="000000000000" w:firstRow="0" w:lastRow="0" w:firstColumn="0" w:lastColumn="0" w:oddVBand="0" w:evenVBand="0" w:oddHBand="0" w:evenHBand="0" w:firstRowFirstColumn="0" w:firstRowLastColumn="0" w:lastRowFirstColumn="0" w:lastRowLastColumn="0"/>
            </w:pPr>
          </w:p>
        </w:tc>
      </w:tr>
      <w:tr w:rsidR="00BD711C" w:rsidRPr="00261C26" w14:paraId="12234D7C" w14:textId="77777777" w:rsidTr="00522185">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09DB41BB" w14:textId="77777777" w:rsidR="00BD711C" w:rsidRPr="00654D85" w:rsidRDefault="00BD711C" w:rsidP="00654D85">
            <w:pPr>
              <w:pStyle w:val="Tabletext0"/>
              <w:rPr>
                <w:b w:val="0"/>
                <w:bCs w:val="0"/>
              </w:rPr>
            </w:pPr>
            <w:r w:rsidRPr="00654D85">
              <w:rPr>
                <w:b w:val="0"/>
                <w:bCs w:val="0"/>
              </w:rPr>
              <w:t xml:space="preserve">Industrial including: </w:t>
            </w:r>
          </w:p>
          <w:p w14:paraId="3B755BCE" w14:textId="77777777" w:rsidR="00BD711C" w:rsidRPr="00654D85" w:rsidRDefault="00BD711C" w:rsidP="00525686">
            <w:pPr>
              <w:pStyle w:val="Tabletext0"/>
              <w:numPr>
                <w:ilvl w:val="0"/>
                <w:numId w:val="34"/>
              </w:numPr>
              <w:ind w:left="464"/>
              <w:rPr>
                <w:b w:val="0"/>
                <w:bCs w:val="0"/>
              </w:rPr>
            </w:pPr>
            <w:r w:rsidRPr="00654D85">
              <w:rPr>
                <w:b w:val="0"/>
                <w:bCs w:val="0"/>
              </w:rPr>
              <w:t>open systems with worker exposure potential</w:t>
            </w:r>
          </w:p>
          <w:p w14:paraId="204FC282" w14:textId="77777777" w:rsidR="00BD711C" w:rsidRPr="00654D85" w:rsidRDefault="00BD711C" w:rsidP="00525686">
            <w:pPr>
              <w:pStyle w:val="Tabletext0"/>
              <w:numPr>
                <w:ilvl w:val="0"/>
                <w:numId w:val="34"/>
              </w:numPr>
              <w:ind w:left="464"/>
              <w:rPr>
                <w:b w:val="0"/>
                <w:bCs w:val="0"/>
              </w:rPr>
            </w:pPr>
            <w:r w:rsidRPr="00654D85">
              <w:rPr>
                <w:b w:val="0"/>
                <w:bCs w:val="0"/>
              </w:rPr>
              <w:t>wash-down water</w:t>
            </w:r>
          </w:p>
          <w:p w14:paraId="2EE5B272" w14:textId="77777777" w:rsidR="00BD711C" w:rsidRPr="00654D85" w:rsidRDefault="00BD711C" w:rsidP="00525686">
            <w:pPr>
              <w:pStyle w:val="Tabletext0"/>
              <w:numPr>
                <w:ilvl w:val="0"/>
                <w:numId w:val="34"/>
              </w:numPr>
              <w:ind w:left="464"/>
              <w:rPr>
                <w:b w:val="0"/>
                <w:bCs w:val="0"/>
              </w:rPr>
            </w:pPr>
            <w:r w:rsidRPr="00654D85">
              <w:rPr>
                <w:b w:val="0"/>
                <w:bCs w:val="0"/>
              </w:rPr>
              <w:t>cooling/process water</w:t>
            </w:r>
          </w:p>
        </w:tc>
        <w:tc>
          <w:tcPr>
            <w:tcW w:w="2353" w:type="pct"/>
          </w:tcPr>
          <w:p w14:paraId="3CFB8240"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Act 2017</w:t>
            </w:r>
          </w:p>
          <w:p w14:paraId="17C0ABFE"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Occupational Health and Safety Act 2004</w:t>
            </w:r>
          </w:p>
          <w:p w14:paraId="5592E179"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Public Health and Wellbeing Act 2008</w:t>
            </w:r>
          </w:p>
          <w:p w14:paraId="7EE0D39E"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Regulations for cooling towers</w:t>
            </w:r>
          </w:p>
        </w:tc>
      </w:tr>
      <w:tr w:rsidR="00BD711C" w:rsidRPr="00261C26" w14:paraId="00CC2A1E" w14:textId="77777777" w:rsidTr="007726C1">
        <w:tc>
          <w:tcPr>
            <w:cnfStyle w:val="001000000000" w:firstRow="0" w:lastRow="0" w:firstColumn="1" w:lastColumn="0" w:oddVBand="0" w:evenVBand="0" w:oddHBand="0" w:evenHBand="0" w:firstRowFirstColumn="0" w:firstRowLastColumn="0" w:lastRowFirstColumn="0" w:lastRowLastColumn="0"/>
            <w:tcW w:w="2647" w:type="pct"/>
            <w:tcBorders>
              <w:bottom w:val="single" w:sz="4" w:space="0" w:color="auto"/>
              <w:right w:val="none" w:sz="0" w:space="0" w:color="auto"/>
            </w:tcBorders>
          </w:tcPr>
          <w:p w14:paraId="6F6055E7" w14:textId="77777777" w:rsidR="00BD711C" w:rsidRPr="00654D85" w:rsidRDefault="00BD711C" w:rsidP="00654D85">
            <w:pPr>
              <w:pStyle w:val="Tabletext0"/>
              <w:rPr>
                <w:b w:val="0"/>
                <w:bCs w:val="0"/>
              </w:rPr>
            </w:pPr>
            <w:r w:rsidRPr="00654D85">
              <w:rPr>
                <w:b w:val="0"/>
                <w:bCs w:val="0"/>
              </w:rPr>
              <w:t>Primary and secondary contact recreation</w:t>
            </w:r>
          </w:p>
        </w:tc>
        <w:tc>
          <w:tcPr>
            <w:tcW w:w="2353" w:type="pct"/>
            <w:tcBorders>
              <w:bottom w:val="single" w:sz="4" w:space="0" w:color="auto"/>
            </w:tcBorders>
          </w:tcPr>
          <w:p w14:paraId="5DCC602C"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 xml:space="preserve">ERS </w:t>
            </w:r>
          </w:p>
          <w:p w14:paraId="04926F80"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NHMRC 2008</w:t>
            </w:r>
          </w:p>
        </w:tc>
      </w:tr>
      <w:tr w:rsidR="00BD711C" w:rsidRPr="00261C26" w14:paraId="67623295" w14:textId="77777777" w:rsidTr="0077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bottom w:val="single" w:sz="4" w:space="0" w:color="auto"/>
              <w:right w:val="none" w:sz="0" w:space="0" w:color="auto"/>
            </w:tcBorders>
          </w:tcPr>
          <w:p w14:paraId="33785F3F" w14:textId="77777777" w:rsidR="00BD711C" w:rsidRPr="00654D85" w:rsidRDefault="00BD711C" w:rsidP="00654D85">
            <w:pPr>
              <w:pStyle w:val="Tabletext0"/>
              <w:rPr>
                <w:b w:val="0"/>
                <w:bCs w:val="0"/>
              </w:rPr>
            </w:pPr>
            <w:r w:rsidRPr="00654D85">
              <w:rPr>
                <w:b w:val="0"/>
                <w:bCs w:val="0"/>
              </w:rPr>
              <w:t>Recreational fishing and shellfish harvesting</w:t>
            </w:r>
          </w:p>
        </w:tc>
        <w:tc>
          <w:tcPr>
            <w:tcW w:w="2353" w:type="pct"/>
            <w:tcBorders>
              <w:top w:val="single" w:sz="4" w:space="0" w:color="auto"/>
              <w:bottom w:val="single" w:sz="4" w:space="0" w:color="auto"/>
            </w:tcBorders>
          </w:tcPr>
          <w:p w14:paraId="2BEABD05" w14:textId="77777777" w:rsidR="00BD711C" w:rsidRPr="00654D85" w:rsidRDefault="00BD711C" w:rsidP="00525686">
            <w:pPr>
              <w:pStyle w:val="Tabletext0"/>
              <w:keepNext/>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ERS</w:t>
            </w:r>
          </w:p>
        </w:tc>
      </w:tr>
    </w:tbl>
    <w:p w14:paraId="56A61536" w14:textId="77777777" w:rsidR="00A22D5C" w:rsidRDefault="00A22D5C">
      <w:pPr>
        <w:spacing w:before="0" w:after="0"/>
        <w:rPr>
          <w:rFonts w:cs="Arial"/>
          <w:color w:val="000000"/>
          <w:lang w:eastAsia="ja-JP"/>
        </w:rPr>
      </w:pPr>
      <w:r>
        <w:rPr>
          <w:rFonts w:cs="Arial"/>
          <w:color w:val="000000"/>
          <w:lang w:eastAsia="ja-JP"/>
        </w:rPr>
        <w:br w:type="page"/>
      </w:r>
    </w:p>
    <w:p w14:paraId="589631C0" w14:textId="1BFF9FD8" w:rsidR="006B42B8" w:rsidRPr="00B81D3F" w:rsidRDefault="006B42B8" w:rsidP="00F46C15">
      <w:pPr>
        <w:pStyle w:val="AppendixA1"/>
      </w:pPr>
      <w:bookmarkStart w:id="209" w:name="_Toc130207869"/>
      <w:bookmarkStart w:id="210" w:name="_Toc130208069"/>
      <w:bookmarkStart w:id="211" w:name="_Toc130208767"/>
      <w:bookmarkStart w:id="212" w:name="_Toc130209032"/>
      <w:bookmarkStart w:id="213" w:name="_Toc130207876"/>
      <w:bookmarkStart w:id="214" w:name="_Toc130208076"/>
      <w:bookmarkStart w:id="215" w:name="_Toc130208774"/>
      <w:bookmarkStart w:id="216" w:name="_Toc130209039"/>
      <w:bookmarkStart w:id="217" w:name="_Toc130207877"/>
      <w:bookmarkStart w:id="218" w:name="_Toc130208077"/>
      <w:bookmarkStart w:id="219" w:name="_Toc130208775"/>
      <w:bookmarkStart w:id="220" w:name="_Toc130209040"/>
      <w:bookmarkStart w:id="221" w:name="_Toc130207878"/>
      <w:bookmarkStart w:id="222" w:name="_Toc130208078"/>
      <w:bookmarkStart w:id="223" w:name="_Toc130208776"/>
      <w:bookmarkStart w:id="224" w:name="_Toc130209041"/>
      <w:bookmarkStart w:id="225" w:name="_Toc130207879"/>
      <w:bookmarkStart w:id="226" w:name="_Toc130208079"/>
      <w:bookmarkStart w:id="227" w:name="_Toc130208777"/>
      <w:bookmarkStart w:id="228" w:name="_Toc130209042"/>
      <w:bookmarkStart w:id="229" w:name="_Toc130207880"/>
      <w:bookmarkStart w:id="230" w:name="_Toc130208080"/>
      <w:bookmarkStart w:id="231" w:name="_Toc130208778"/>
      <w:bookmarkStart w:id="232" w:name="_Toc130209043"/>
      <w:bookmarkStart w:id="233" w:name="_Toc130207881"/>
      <w:bookmarkStart w:id="234" w:name="_Toc130208081"/>
      <w:bookmarkStart w:id="235" w:name="_Toc130208779"/>
      <w:bookmarkStart w:id="236" w:name="_Toc130209044"/>
      <w:bookmarkStart w:id="237" w:name="_Toc130207882"/>
      <w:bookmarkStart w:id="238" w:name="_Toc130208082"/>
      <w:bookmarkStart w:id="239" w:name="_Toc130208780"/>
      <w:bookmarkStart w:id="240" w:name="_Toc130209045"/>
      <w:bookmarkStart w:id="241" w:name="_Toc130207883"/>
      <w:bookmarkStart w:id="242" w:name="_Toc130208083"/>
      <w:bookmarkStart w:id="243" w:name="_Toc130208781"/>
      <w:bookmarkStart w:id="244" w:name="_Toc130209046"/>
      <w:bookmarkStart w:id="245" w:name="_Toc130207884"/>
      <w:bookmarkStart w:id="246" w:name="_Toc130208084"/>
      <w:bookmarkStart w:id="247" w:name="_Toc130208782"/>
      <w:bookmarkStart w:id="248" w:name="_Toc130209047"/>
      <w:bookmarkStart w:id="249" w:name="_Toc130207885"/>
      <w:bookmarkStart w:id="250" w:name="_Toc130208085"/>
      <w:bookmarkStart w:id="251" w:name="_Toc130208783"/>
      <w:bookmarkStart w:id="252" w:name="_Toc130209048"/>
      <w:bookmarkStart w:id="253" w:name="_Toc130207886"/>
      <w:bookmarkStart w:id="254" w:name="_Toc130208086"/>
      <w:bookmarkStart w:id="255" w:name="_Toc130208784"/>
      <w:bookmarkStart w:id="256" w:name="_Toc130209049"/>
      <w:bookmarkStart w:id="257" w:name="_Toc130207887"/>
      <w:bookmarkStart w:id="258" w:name="_Toc130208087"/>
      <w:bookmarkStart w:id="259" w:name="_Toc130208785"/>
      <w:bookmarkStart w:id="260" w:name="_Toc130209050"/>
      <w:bookmarkStart w:id="261" w:name="_Toc130207888"/>
      <w:bookmarkStart w:id="262" w:name="_Toc130208088"/>
      <w:bookmarkStart w:id="263" w:name="_Toc130208786"/>
      <w:bookmarkStart w:id="264" w:name="_Toc130209051"/>
      <w:bookmarkStart w:id="265" w:name="_Toc130207889"/>
      <w:bookmarkStart w:id="266" w:name="_Toc130208089"/>
      <w:bookmarkStart w:id="267" w:name="_Toc130208787"/>
      <w:bookmarkStart w:id="268" w:name="_Toc130209052"/>
      <w:bookmarkStart w:id="269" w:name="_Toc130207890"/>
      <w:bookmarkStart w:id="270" w:name="_Toc130208090"/>
      <w:bookmarkStart w:id="271" w:name="_Toc130208788"/>
      <w:bookmarkStart w:id="272" w:name="_Toc130209053"/>
      <w:bookmarkStart w:id="273" w:name="_Toc130207891"/>
      <w:bookmarkStart w:id="274" w:name="_Toc130208091"/>
      <w:bookmarkStart w:id="275" w:name="_Toc130208789"/>
      <w:bookmarkStart w:id="276" w:name="_Toc130209054"/>
      <w:bookmarkStart w:id="277" w:name="_Toc130207892"/>
      <w:bookmarkStart w:id="278" w:name="_Toc130208092"/>
      <w:bookmarkStart w:id="279" w:name="_Toc130208790"/>
      <w:bookmarkStart w:id="280" w:name="_Toc130209055"/>
      <w:bookmarkStart w:id="281" w:name="_Toc49942292"/>
      <w:bookmarkStart w:id="282" w:name="_Toc51929041"/>
      <w:bookmarkStart w:id="283" w:name="_Toc87369312"/>
      <w:bookmarkStart w:id="284" w:name="_Toc133938169"/>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B81D3F">
        <w:lastRenderedPageBreak/>
        <w:t>The microbial risk assessment framework</w:t>
      </w:r>
      <w:bookmarkEnd w:id="281"/>
      <w:bookmarkEnd w:id="282"/>
      <w:bookmarkEnd w:id="283"/>
      <w:bookmarkEnd w:id="284"/>
    </w:p>
    <w:p w14:paraId="14FF7FB3" w14:textId="3202DB4C" w:rsidR="006B42B8" w:rsidRPr="00C01F65" w:rsidRDefault="006B42B8" w:rsidP="006B42B8">
      <w:pPr>
        <w:rPr>
          <w:rFonts w:cs="Arial"/>
        </w:rPr>
      </w:pPr>
      <w:r w:rsidRPr="00C01F65">
        <w:rPr>
          <w:rFonts w:cs="Arial"/>
        </w:rPr>
        <w:t>The microbial risk assessment framework uses the quantitative microbial risk assessment (QMRA) approach, which is a holistic, quantitative approach combining scientific data and information. It follows the steps described in</w:t>
      </w:r>
      <w:r w:rsidR="00E36803">
        <w:rPr>
          <w:rFonts w:cs="Arial"/>
        </w:rPr>
        <w:t xml:space="preserve"> </w:t>
      </w:r>
      <w:r w:rsidR="00A5221B">
        <w:rPr>
          <w:rFonts w:cs="Arial"/>
        </w:rPr>
        <w:fldChar w:fldCharType="begin"/>
      </w:r>
      <w:r w:rsidR="00A5221B">
        <w:rPr>
          <w:rFonts w:cs="Arial"/>
        </w:rPr>
        <w:instrText xml:space="preserve"> REF _Ref132747204 \h </w:instrText>
      </w:r>
      <w:r w:rsidR="00A5221B">
        <w:rPr>
          <w:rFonts w:cs="Arial"/>
        </w:rPr>
      </w:r>
      <w:r w:rsidR="00A5221B">
        <w:rPr>
          <w:rFonts w:cs="Arial"/>
        </w:rPr>
        <w:fldChar w:fldCharType="separate"/>
      </w:r>
      <w:r w:rsidR="00FD64B0">
        <w:t>Figure C</w:t>
      </w:r>
      <w:r w:rsidR="00FD64B0">
        <w:rPr>
          <w:noProof/>
        </w:rPr>
        <w:t>1</w:t>
      </w:r>
      <w:r w:rsidR="00A5221B">
        <w:rPr>
          <w:rFonts w:cs="Arial"/>
        </w:rPr>
        <w:fldChar w:fldCharType="end"/>
      </w:r>
      <w:r w:rsidR="00A5221B">
        <w:rPr>
          <w:rFonts w:cs="Arial"/>
        </w:rPr>
        <w:t xml:space="preserve"> </w:t>
      </w:r>
      <w:r w:rsidRPr="00C01F65">
        <w:rPr>
          <w:rFonts w:cs="Arial"/>
        </w:rPr>
        <w:t>to describe:</w:t>
      </w:r>
    </w:p>
    <w:p w14:paraId="28D2AD8D" w14:textId="77777777" w:rsidR="006B42B8" w:rsidRPr="00C01F65" w:rsidRDefault="006B42B8" w:rsidP="00525686">
      <w:pPr>
        <w:pStyle w:val="ListParagraph"/>
        <w:numPr>
          <w:ilvl w:val="0"/>
          <w:numId w:val="14"/>
        </w:numPr>
        <w:rPr>
          <w:rFonts w:cs="Arial"/>
        </w:rPr>
      </w:pPr>
      <w:r w:rsidRPr="00C01F65">
        <w:rPr>
          <w:rFonts w:cs="Arial"/>
        </w:rPr>
        <w:t xml:space="preserve">the pathogen loading to the environment </w:t>
      </w:r>
    </w:p>
    <w:p w14:paraId="3558C48D" w14:textId="77777777" w:rsidR="006B42B8" w:rsidRPr="00C01F65" w:rsidRDefault="006B42B8" w:rsidP="00525686">
      <w:pPr>
        <w:pStyle w:val="ListParagraph"/>
        <w:numPr>
          <w:ilvl w:val="0"/>
          <w:numId w:val="14"/>
        </w:numPr>
        <w:rPr>
          <w:rFonts w:cs="Arial"/>
        </w:rPr>
      </w:pPr>
      <w:r w:rsidRPr="00C01F65">
        <w:rPr>
          <w:rFonts w:cs="Arial"/>
        </w:rPr>
        <w:t xml:space="preserve">the transport and fate of pathogen in the environment, including any removal by treatment or inactivation in the environment </w:t>
      </w:r>
    </w:p>
    <w:p w14:paraId="29793642" w14:textId="77777777" w:rsidR="006B42B8" w:rsidRPr="00C01F65" w:rsidRDefault="006B42B8" w:rsidP="00525686">
      <w:pPr>
        <w:pStyle w:val="ListParagraph"/>
        <w:numPr>
          <w:ilvl w:val="0"/>
          <w:numId w:val="14"/>
        </w:numPr>
        <w:rPr>
          <w:rFonts w:cs="Arial"/>
        </w:rPr>
      </w:pPr>
      <w:r w:rsidRPr="00C01F65">
        <w:rPr>
          <w:rFonts w:cs="Arial"/>
        </w:rPr>
        <w:t xml:space="preserve">the exposure of the relevant population </w:t>
      </w:r>
    </w:p>
    <w:p w14:paraId="2A233E12" w14:textId="77777777" w:rsidR="006B42B8" w:rsidRPr="00C01F65" w:rsidRDefault="006B42B8" w:rsidP="00525686">
      <w:pPr>
        <w:pStyle w:val="ListParagraph"/>
        <w:numPr>
          <w:ilvl w:val="0"/>
          <w:numId w:val="14"/>
        </w:numPr>
        <w:rPr>
          <w:rFonts w:cs="Arial"/>
        </w:rPr>
      </w:pPr>
      <w:r w:rsidRPr="00C01F65">
        <w:rPr>
          <w:rFonts w:cs="Arial"/>
        </w:rPr>
        <w:t xml:space="preserve">the </w:t>
      </w:r>
      <w:r>
        <w:rPr>
          <w:rFonts w:cs="Arial"/>
        </w:rPr>
        <w:t>dose-response</w:t>
      </w:r>
      <w:r w:rsidRPr="00C01F65">
        <w:rPr>
          <w:rFonts w:cs="Arial"/>
        </w:rPr>
        <w:t xml:space="preserve"> (health effect given the pathogen dose). </w:t>
      </w:r>
    </w:p>
    <w:p w14:paraId="251105F1" w14:textId="0E7D9283" w:rsidR="006B42B8" w:rsidRDefault="00D9390E" w:rsidP="006B42B8">
      <w:pPr>
        <w:rPr>
          <w:rFonts w:cs="Arial"/>
        </w:rPr>
      </w:pPr>
      <w:r>
        <w:t>Quantitative microbial risk assessment</w:t>
      </w:r>
      <w:r w:rsidR="006B42B8" w:rsidRPr="00C01F65">
        <w:rPr>
          <w:rFonts w:cs="Arial"/>
        </w:rPr>
        <w:t xml:space="preserve"> can include fate and transport models for various media, including the source zone (initial release of faecal contamination), air, soil/land surface, surface water, vadose zone and aquifer (Whelan et al.</w:t>
      </w:r>
      <w:r w:rsidR="006B42B8">
        <w:rPr>
          <w:rFonts w:cs="Arial"/>
        </w:rPr>
        <w:t>,</w:t>
      </w:r>
      <w:r w:rsidR="006B42B8" w:rsidRPr="00C01F65">
        <w:rPr>
          <w:rFonts w:cs="Arial"/>
        </w:rPr>
        <w:t xml:space="preserve"> 2014). The analysis step of a QMRA integrates these various interdisciplinary exposure and effect models and databases.</w:t>
      </w:r>
    </w:p>
    <w:p w14:paraId="3BDD55C4" w14:textId="77777777" w:rsidR="006B42B8" w:rsidRPr="00C01F65" w:rsidRDefault="006B42B8" w:rsidP="006B42B8">
      <w:pPr>
        <w:rPr>
          <w:rFonts w:cs="Arial"/>
        </w:rPr>
      </w:pPr>
      <w:r w:rsidRPr="00C01F65">
        <w:rPr>
          <w:rFonts w:cs="Arial"/>
        </w:rPr>
        <w:t xml:space="preserve">In the context of a wastewater treatment plant, the following approach is generally taken to assess compliance to a health target through QMRA (WHO, 2016): </w:t>
      </w:r>
    </w:p>
    <w:p w14:paraId="353025CF" w14:textId="77777777" w:rsidR="006B42B8" w:rsidRPr="00C01F65" w:rsidRDefault="006B42B8" w:rsidP="00525686">
      <w:pPr>
        <w:pStyle w:val="ListParagraph"/>
        <w:numPr>
          <w:ilvl w:val="0"/>
          <w:numId w:val="15"/>
        </w:numPr>
        <w:rPr>
          <w:rFonts w:cs="Arial"/>
        </w:rPr>
      </w:pPr>
      <w:r w:rsidRPr="10077A7C">
        <w:rPr>
          <w:rFonts w:cs="Arial"/>
        </w:rPr>
        <w:t xml:space="preserve">Characterisation of </w:t>
      </w:r>
      <w:bookmarkStart w:id="285" w:name="_Int_Id4RO9L0"/>
      <w:r w:rsidRPr="10077A7C">
        <w:rPr>
          <w:rFonts w:cs="Arial"/>
        </w:rPr>
        <w:t>the microbial</w:t>
      </w:r>
      <w:bookmarkEnd w:id="285"/>
      <w:r w:rsidRPr="10077A7C">
        <w:rPr>
          <w:rFonts w:cs="Arial"/>
        </w:rPr>
        <w:t xml:space="preserve"> contamination in </w:t>
      </w:r>
      <w:bookmarkStart w:id="286" w:name="_Int_2Ykg2b7r"/>
      <w:r w:rsidRPr="10077A7C">
        <w:rPr>
          <w:rFonts w:cs="Arial"/>
        </w:rPr>
        <w:t>the source</w:t>
      </w:r>
      <w:bookmarkEnd w:id="286"/>
      <w:r w:rsidRPr="10077A7C">
        <w:rPr>
          <w:rFonts w:cs="Arial"/>
        </w:rPr>
        <w:t xml:space="preserve"> water. </w:t>
      </w:r>
    </w:p>
    <w:p w14:paraId="1327355E" w14:textId="714DA603" w:rsidR="006B42B8" w:rsidRPr="00C01F65" w:rsidRDefault="006B42B8" w:rsidP="00525686">
      <w:pPr>
        <w:pStyle w:val="ListParagraph"/>
        <w:numPr>
          <w:ilvl w:val="0"/>
          <w:numId w:val="15"/>
        </w:numPr>
        <w:rPr>
          <w:rFonts w:cs="Arial"/>
        </w:rPr>
      </w:pPr>
      <w:r w:rsidRPr="00C01F65">
        <w:rPr>
          <w:rFonts w:cs="Arial"/>
        </w:rPr>
        <w:t>Characterisation of removal and inactivation of microbial contamination by treatment and environmental processes (</w:t>
      </w:r>
      <w:r>
        <w:rPr>
          <w:rFonts w:cs="Arial"/>
        </w:rPr>
        <w:t>l</w:t>
      </w:r>
      <w:r w:rsidRPr="00C01F65">
        <w:rPr>
          <w:rFonts w:cs="Arial"/>
        </w:rPr>
        <w:t xml:space="preserve">og </w:t>
      </w:r>
      <w:r>
        <w:rPr>
          <w:rFonts w:cs="Arial"/>
        </w:rPr>
        <w:t>r</w:t>
      </w:r>
      <w:r w:rsidRPr="00C01F65">
        <w:rPr>
          <w:rFonts w:cs="Arial"/>
        </w:rPr>
        <w:t xml:space="preserve">eduction </w:t>
      </w:r>
      <w:r>
        <w:rPr>
          <w:rFonts w:cs="Arial"/>
        </w:rPr>
        <w:t>v</w:t>
      </w:r>
      <w:r w:rsidRPr="00C01F65">
        <w:rPr>
          <w:rFonts w:cs="Arial"/>
        </w:rPr>
        <w:t xml:space="preserve">alues or </w:t>
      </w:r>
      <w:r w:rsidR="001B41E5">
        <w:rPr>
          <w:rFonts w:cs="Arial"/>
        </w:rPr>
        <w:t>‘</w:t>
      </w:r>
      <w:r w:rsidRPr="00C01F65">
        <w:rPr>
          <w:rFonts w:cs="Arial"/>
        </w:rPr>
        <w:t>LRVs</w:t>
      </w:r>
      <w:r w:rsidR="001B41E5">
        <w:rPr>
          <w:rFonts w:cs="Arial"/>
        </w:rPr>
        <w:t>’</w:t>
      </w:r>
      <w:r w:rsidRPr="00C01F65">
        <w:rPr>
          <w:rFonts w:cs="Arial"/>
        </w:rPr>
        <w:t>), based on literature, process models or by monitoring the removal of process indicator organisms.</w:t>
      </w:r>
    </w:p>
    <w:p w14:paraId="6EA37985" w14:textId="77777777" w:rsidR="00C53437" w:rsidRDefault="006B42B8" w:rsidP="00525686">
      <w:pPr>
        <w:pStyle w:val="ListParagraph"/>
        <w:numPr>
          <w:ilvl w:val="0"/>
          <w:numId w:val="15"/>
        </w:numPr>
        <w:rPr>
          <w:rFonts w:cs="Arial"/>
        </w:rPr>
      </w:pPr>
      <w:r w:rsidRPr="00C01F65">
        <w:rPr>
          <w:rFonts w:cs="Arial"/>
        </w:rPr>
        <w:t>Calculation of risk of infection, and in some cases of illness, in the exposed population, based on pathogen dose</w:t>
      </w:r>
      <w:r>
        <w:rPr>
          <w:rFonts w:cs="Arial"/>
        </w:rPr>
        <w:t>-</w:t>
      </w:r>
      <w:r w:rsidRPr="00C01F65">
        <w:rPr>
          <w:rFonts w:cs="Arial"/>
        </w:rPr>
        <w:t xml:space="preserve">response and routes of exposure. </w:t>
      </w:r>
    </w:p>
    <w:p w14:paraId="6A67A1CF" w14:textId="264B9C40" w:rsidR="00A800A3" w:rsidRDefault="006B42B8" w:rsidP="00525686">
      <w:pPr>
        <w:pStyle w:val="ListParagraph"/>
        <w:numPr>
          <w:ilvl w:val="0"/>
          <w:numId w:val="15"/>
        </w:numPr>
        <w:rPr>
          <w:rFonts w:cs="Arial"/>
        </w:rPr>
      </w:pPr>
      <w:r w:rsidRPr="00C53437">
        <w:rPr>
          <w:rFonts w:cs="Arial"/>
        </w:rPr>
        <w:t>In some cases, disability adjusted life years (DALYs) (</w:t>
      </w:r>
      <w:r w:rsidR="007E63F3" w:rsidRPr="007E63F3">
        <w:rPr>
          <w:rFonts w:cs="Arial"/>
        </w:rPr>
        <w:t>see box</w:t>
      </w:r>
      <w:r w:rsidR="002E153E">
        <w:rPr>
          <w:rFonts w:cs="Arial"/>
        </w:rPr>
        <w:t>:</w:t>
      </w:r>
      <w:r w:rsidR="007E63F3">
        <w:rPr>
          <w:rFonts w:cs="Arial"/>
        </w:rPr>
        <w:t xml:space="preserve"> </w:t>
      </w:r>
      <w:r w:rsidR="00826134" w:rsidRPr="00743696">
        <w:rPr>
          <w:rFonts w:cs="Arial"/>
          <w:b/>
          <w:bCs/>
          <w:i/>
          <w:iCs/>
        </w:rPr>
        <w:t xml:space="preserve">Disability adjusted life years </w:t>
      </w:r>
      <w:r w:rsidR="00A9212E" w:rsidRPr="00743696">
        <w:rPr>
          <w:rFonts w:cs="Arial"/>
          <w:b/>
          <w:bCs/>
          <w:i/>
          <w:iCs/>
        </w:rPr>
        <w:t>(</w:t>
      </w:r>
      <w:r w:rsidR="00826134" w:rsidRPr="00743696">
        <w:rPr>
          <w:rFonts w:cs="Arial"/>
          <w:b/>
          <w:bCs/>
          <w:i/>
          <w:iCs/>
        </w:rPr>
        <w:t>DALYs</w:t>
      </w:r>
      <w:r w:rsidR="00A9212E" w:rsidRPr="00743696">
        <w:rPr>
          <w:rFonts w:cs="Arial"/>
          <w:b/>
          <w:bCs/>
          <w:i/>
          <w:iCs/>
        </w:rPr>
        <w:t>) calculation</w:t>
      </w:r>
      <w:r w:rsidRPr="00C53437">
        <w:rPr>
          <w:rFonts w:cs="Arial"/>
        </w:rPr>
        <w:t xml:space="preserve">) are estimated from the risk of infection and illness by including the likelihood of symptoms with particular estimated impact on quality of life from its severity and possible sequelae or death. In Victoria, the acceptable outcome to human health from recycled water </w:t>
      </w:r>
      <w:bookmarkStart w:id="287" w:name="_Int_NLPqsVi7"/>
      <w:r w:rsidRPr="00C53437">
        <w:rPr>
          <w:rFonts w:cs="Arial"/>
        </w:rPr>
        <w:t>uses</w:t>
      </w:r>
      <w:bookmarkEnd w:id="287"/>
      <w:r w:rsidRPr="00C53437">
        <w:rPr>
          <w:rFonts w:cs="Arial"/>
        </w:rPr>
        <w:t xml:space="preserve"> is less than 10</w:t>
      </w:r>
      <w:r w:rsidRPr="00C53437">
        <w:rPr>
          <w:rFonts w:cs="Arial"/>
          <w:vertAlign w:val="superscript"/>
        </w:rPr>
        <w:t>-6</w:t>
      </w:r>
      <w:r w:rsidRPr="00C53437">
        <w:rPr>
          <w:rFonts w:cs="Arial"/>
        </w:rPr>
        <w:t xml:space="preserve"> DALY (NRMMC et al., 2006).</w:t>
      </w:r>
    </w:p>
    <w:p w14:paraId="53352D80" w14:textId="6DE7A310" w:rsidR="006B42B8" w:rsidRPr="00A800A3" w:rsidRDefault="006B42B8" w:rsidP="00525686">
      <w:pPr>
        <w:pStyle w:val="ListParagraph"/>
        <w:numPr>
          <w:ilvl w:val="0"/>
          <w:numId w:val="15"/>
        </w:numPr>
        <w:rPr>
          <w:rFonts w:cs="Arial"/>
        </w:rPr>
      </w:pPr>
      <w:r w:rsidRPr="00A800A3">
        <w:rPr>
          <w:rFonts w:cs="Arial"/>
        </w:rPr>
        <w:t>The calculated risk is evaluated against the health target set by EPA or other normative body. Calculations can be made with a simple deterministic approach (point estimate, also called deterministic QMRA) (WHO, 2016) or by more complex stochastic calculations (often using Monte Carlo simulations, also referred to as probabilistic QMRA) (Haas et al., 1999, 2014).</w:t>
      </w:r>
    </w:p>
    <w:p w14:paraId="24B49F85" w14:textId="1AE9C7B4" w:rsidR="00A104E3" w:rsidRDefault="00A104E3">
      <w:pPr>
        <w:spacing w:after="0"/>
        <w:rPr>
          <w:rFonts w:cs="Arial"/>
          <w:color w:val="000000"/>
          <w:lang w:eastAsia="ja-JP"/>
        </w:rPr>
      </w:pPr>
      <w:r>
        <w:rPr>
          <w:rFonts w:cs="Arial"/>
        </w:rPr>
        <w:br w:type="page"/>
      </w:r>
    </w:p>
    <w:p w14:paraId="7AB99009" w14:textId="46D62B59" w:rsidR="00BD1AA6" w:rsidRPr="00C01F65" w:rsidRDefault="00BD1AA6" w:rsidP="00BD1AA6">
      <w:pPr>
        <w:spacing w:after="0"/>
        <w:rPr>
          <w:rFonts w:cs="Arial"/>
          <w:b/>
        </w:rPr>
      </w:pPr>
    </w:p>
    <w:p w14:paraId="66274AFE" w14:textId="05880A4D" w:rsidR="00BD1AA6" w:rsidRDefault="00BD1AA6"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b/>
        </w:rPr>
      </w:pPr>
      <w:r>
        <w:rPr>
          <w:rFonts w:cs="Arial"/>
          <w:b/>
        </w:rPr>
        <w:t>Disability adjusted life years (DALYs) calculation</w:t>
      </w:r>
    </w:p>
    <w:p w14:paraId="0FB1F45C" w14:textId="09BB0123"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b/>
        </w:rPr>
      </w:pPr>
      <w:r w:rsidRPr="00C01F65">
        <w:rPr>
          <w:rFonts w:cs="Arial"/>
          <w:b/>
        </w:rPr>
        <w:t xml:space="preserve">This explanation of the calculation of DALYs is extracted from the </w:t>
      </w:r>
      <w:r>
        <w:rPr>
          <w:rFonts w:cs="Arial"/>
          <w:b/>
          <w:i/>
        </w:rPr>
        <w:t xml:space="preserve">Australian </w:t>
      </w:r>
      <w:r w:rsidRPr="00C01F65">
        <w:rPr>
          <w:rFonts w:cs="Arial"/>
          <w:b/>
          <w:i/>
        </w:rPr>
        <w:t>Guidelines for Water Recycling: Managing Health and Environmental Risks</w:t>
      </w:r>
      <w:r w:rsidRPr="00C01F65">
        <w:rPr>
          <w:rFonts w:cs="Arial"/>
          <w:b/>
        </w:rPr>
        <w:t xml:space="preserve"> </w:t>
      </w:r>
      <w:r>
        <w:rPr>
          <w:rFonts w:cs="Arial"/>
          <w:b/>
        </w:rPr>
        <w:t xml:space="preserve">(Phase 1) </w:t>
      </w:r>
      <w:r w:rsidRPr="00C01F65">
        <w:rPr>
          <w:rFonts w:cs="Arial"/>
          <w:b/>
        </w:rPr>
        <w:t>(NRMMC</w:t>
      </w:r>
      <w:r>
        <w:rPr>
          <w:rFonts w:cs="Arial"/>
          <w:b/>
        </w:rPr>
        <w:t xml:space="preserve"> et al.,</w:t>
      </w:r>
      <w:r w:rsidRPr="00C01F65">
        <w:rPr>
          <w:rFonts w:cs="Arial"/>
          <w:b/>
        </w:rPr>
        <w:t xml:space="preserve"> 2006). The calculation of DALYs per case is based on Havelaar and Melse (2003), with a modification using Australian data for rotavirus, as described in WSAA (2004).</w:t>
      </w:r>
    </w:p>
    <w:p w14:paraId="38F819A1"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Pathogens found in sources of contamination can have very different health outcomes. Some outcomes are mild (</w:t>
      </w:r>
      <w:r>
        <w:rPr>
          <w:rFonts w:cs="Arial"/>
        </w:rPr>
        <w:t>for example</w:t>
      </w:r>
      <w:r w:rsidRPr="00C01F65">
        <w:rPr>
          <w:rFonts w:cs="Arial"/>
        </w:rPr>
        <w:t xml:space="preserve"> diarrhoea) while others can be severe (</w:t>
      </w:r>
      <w:r>
        <w:rPr>
          <w:rFonts w:cs="Arial"/>
        </w:rPr>
        <w:t>for example,</w:t>
      </w:r>
      <w:r w:rsidRPr="00C01F65">
        <w:rPr>
          <w:rFonts w:cs="Arial"/>
        </w:rPr>
        <w:t xml:space="preserve"> haemolytic uraemic syndrome associated with </w:t>
      </w:r>
      <w:r w:rsidRPr="00C01F65">
        <w:rPr>
          <w:rFonts w:cs="Arial"/>
          <w:i/>
          <w:iCs/>
        </w:rPr>
        <w:t xml:space="preserve">Escherichia coli </w:t>
      </w:r>
      <w:r w:rsidRPr="00C01F65">
        <w:rPr>
          <w:rFonts w:cs="Arial"/>
        </w:rPr>
        <w:t>O157:H7). Disability adjusted life years (DALYs) provides a mechanism for assessing these outcomes and allocating resources based on the severity of impact. Standard risk assessments determine the likelihood of infection or illness. DALYs convert these likelihoods into burdens of disease.</w:t>
      </w:r>
    </w:p>
    <w:p w14:paraId="20FC15C6" w14:textId="549276D4"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The basic principle of DALY</w:t>
      </w:r>
      <w:r w:rsidR="003B06A4">
        <w:rPr>
          <w:rFonts w:cs="Arial"/>
        </w:rPr>
        <w:t xml:space="preserve"> </w:t>
      </w:r>
      <w:r w:rsidRPr="00C01F65">
        <w:rPr>
          <w:rFonts w:cs="Arial"/>
        </w:rPr>
        <w:t>is to provide a weight of severity for each health impact, within the range of zero (good health) to one (death). The weighting is then multiplied by the duration of the effect and the number of people affected. In the case of death, duration is regarded as the years lost compared to normal life expectancy (estimated at 81 years).</w:t>
      </w:r>
    </w:p>
    <w:p w14:paraId="01DC1012"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center"/>
        <w:rPr>
          <w:rFonts w:cs="Arial"/>
        </w:rPr>
      </w:pPr>
      <w:r w:rsidRPr="00C01F65">
        <w:rPr>
          <w:rFonts w:cs="Arial"/>
          <w:b/>
          <w:color w:val="000000" w:themeColor="text1"/>
        </w:rPr>
        <w:t>DALYs = YLL (years of life lost) + YLD (years lived with a disability or illness)</w:t>
      </w:r>
      <w:r w:rsidRPr="00C01F65">
        <w:rPr>
          <w:rFonts w:cs="Arial"/>
        </w:rPr>
        <w:t>.</w:t>
      </w:r>
    </w:p>
    <w:p w14:paraId="72612C6C" w14:textId="1F7AB85D"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Disability refers to conditions that detract from good health. In th</w:t>
      </w:r>
      <w:r>
        <w:rPr>
          <w:rFonts w:cs="Arial"/>
        </w:rPr>
        <w:t>is guidance</w:t>
      </w:r>
      <w:r w:rsidRPr="00C01F65">
        <w:rPr>
          <w:rFonts w:cs="Arial"/>
        </w:rPr>
        <w:t xml:space="preserve">, disability generally relates to illness. Using this approach, a mild diarrhoea with a severity weighting of 0.1, lasting seven days results in a DALY of 0.002 (0.1 x 7/365), whereas the death of a </w:t>
      </w:r>
      <w:r w:rsidR="003803C4" w:rsidRPr="00C01F65">
        <w:rPr>
          <w:rFonts w:cs="Arial"/>
        </w:rPr>
        <w:t>1-year-old</w:t>
      </w:r>
      <w:r w:rsidRPr="00C01F65">
        <w:rPr>
          <w:rFonts w:cs="Arial"/>
        </w:rPr>
        <w:t xml:space="preserve"> (resulting in a loss of 80 years of life) equates to a DALY of 80 (1x 80).</w:t>
      </w:r>
    </w:p>
    <w:p w14:paraId="14F219AF"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Using an Australian example of rotavirus infection:</w:t>
      </w:r>
    </w:p>
    <w:p w14:paraId="26D00F17" w14:textId="77777777" w:rsidR="007F01D5" w:rsidRPr="00C01F65"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mild diarrhoea (severity rating of 0.1), lasting three days in 97.5% of cases</w:t>
      </w:r>
    </w:p>
    <w:p w14:paraId="16DFA7E5" w14:textId="77777777" w:rsidR="007F01D5" w:rsidRPr="00C01F65"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severe diarrhoea (severity rating of 0.23), lasting seven days in 2.5% of cases</w:t>
      </w:r>
    </w:p>
    <w:p w14:paraId="246CF123" w14:textId="09357A57" w:rsidR="007F01D5" w:rsidRPr="00F21050"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rare deaths of very young children in 0.015% of cases.</w:t>
      </w:r>
    </w:p>
    <w:p w14:paraId="026B9885" w14:textId="41FF82C1"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The DALY per case = (0.1 x 3/365 x 0.975) + (0.23 x 7/365 x 0.025) + (1 x 80 x 0.00015) = 0.0008 + 0.0001 + 0.012 = 0.013</w:t>
      </w:r>
    </w:p>
    <w:p w14:paraId="74C6E0C2" w14:textId="2370C2B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 xml:space="preserve">Infection with </w:t>
      </w:r>
      <w:r w:rsidRPr="00C01F65">
        <w:rPr>
          <w:rFonts w:cs="Arial"/>
          <w:i/>
          <w:iCs/>
        </w:rPr>
        <w:t xml:space="preserve">Cryptosporidium </w:t>
      </w:r>
      <w:r w:rsidRPr="00C01F65">
        <w:rPr>
          <w:rFonts w:cs="Arial"/>
        </w:rPr>
        <w:t>can cause watery diarrhoea (severity weighting of 0.067) lasting for seven days with extremely rare deaths in 0.0001% of cases. This equates to a DALY per case of 0.0015.</w:t>
      </w:r>
    </w:p>
    <w:p w14:paraId="0CA96665" w14:textId="37EAB8D4"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i/>
          <w:iCs/>
        </w:rPr>
        <w:t xml:space="preserve">Campylobacter </w:t>
      </w:r>
      <w:r w:rsidRPr="00C01F65">
        <w:rPr>
          <w:rFonts w:cs="Arial"/>
        </w:rPr>
        <w:t>can cause diarrhoea of varying severity, including Guillain–Barré syndrome of varying severity, reactive arthritis and occasional deaths. The calculated DALY per case is 0.0046.</w:t>
      </w:r>
    </w:p>
    <w:p w14:paraId="59C9FB18" w14:textId="42C16865" w:rsidR="007F01D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ascii="Arial" w:eastAsia="Times New Roman" w:hAnsi="Arial" w:cs="Arial"/>
        </w:rPr>
      </w:pPr>
      <w:r w:rsidRPr="00C01F65">
        <w:rPr>
          <w:rFonts w:cs="Arial"/>
        </w:rPr>
        <w:t xml:space="preserve">Based on DALY per case, the impacts of the three pathogens, by decreasing order of importance, is rotavirus &gt; </w:t>
      </w:r>
      <w:r w:rsidRPr="00C01F65">
        <w:rPr>
          <w:rFonts w:cs="Arial"/>
          <w:i/>
          <w:iCs/>
        </w:rPr>
        <w:t xml:space="preserve">Campylobacter </w:t>
      </w:r>
      <w:r w:rsidRPr="00C01F65">
        <w:rPr>
          <w:rFonts w:cs="Arial"/>
        </w:rPr>
        <w:t xml:space="preserve">&gt; </w:t>
      </w:r>
      <w:r w:rsidRPr="00C01F65">
        <w:rPr>
          <w:rFonts w:cs="Arial"/>
          <w:i/>
          <w:iCs/>
        </w:rPr>
        <w:t>Cryptosporidium</w:t>
      </w:r>
      <w:r w:rsidRPr="00C01F65">
        <w:rPr>
          <w:rFonts w:cs="Arial"/>
        </w:rPr>
        <w:t>.</w:t>
      </w:r>
      <w:r>
        <w:rPr>
          <w:rFonts w:ascii="Arial" w:hAnsi="Arial" w:cs="Arial"/>
        </w:rPr>
        <w:br w:type="page"/>
      </w:r>
    </w:p>
    <w:p w14:paraId="334FAC02" w14:textId="43B4902E" w:rsidR="001D03F2" w:rsidRPr="00C01F65" w:rsidRDefault="001D03F2" w:rsidP="00F46C15">
      <w:pPr>
        <w:pStyle w:val="AppendixA1"/>
      </w:pPr>
      <w:bookmarkStart w:id="288" w:name="_Toc51929042"/>
      <w:bookmarkStart w:id="289" w:name="_Toc87369313"/>
      <w:bookmarkStart w:id="290" w:name="_Toc133938170"/>
      <w:r w:rsidRPr="00C01F65">
        <w:lastRenderedPageBreak/>
        <w:t>Selecting a QMRA approach</w:t>
      </w:r>
      <w:bookmarkEnd w:id="288"/>
      <w:bookmarkEnd w:id="289"/>
      <w:bookmarkEnd w:id="290"/>
    </w:p>
    <w:p w14:paraId="0D098A4F" w14:textId="254E6EB5" w:rsidR="00E22F4B" w:rsidRDefault="1F686757" w:rsidP="005D1143">
      <w:r>
        <w:t xml:space="preserve">Quantitative microbial risk assessment </w:t>
      </w:r>
      <w:r w:rsidR="066860D5">
        <w:t>is suited to a tiered approach, starting with a relatively simple but conservative screening-level QMRA to prioritise risks of different exposures or scenarios.</w:t>
      </w:r>
      <w:r w:rsidR="007E63F3">
        <w:t xml:space="preserve"> </w:t>
      </w:r>
      <w:r w:rsidR="007E63F3" w:rsidRPr="007E63F3">
        <w:t xml:space="preserve">A screening QMRA approach will be sufficient in most cases. It will also assist in determining whether a detailed QMRA is warranted. The selection of a more advanced QMRA approach should be based on </w:t>
      </w:r>
      <w:r w:rsidR="00F636C0">
        <w:fldChar w:fldCharType="begin"/>
      </w:r>
      <w:r w:rsidR="00F636C0">
        <w:instrText xml:space="preserve"> REF _Ref132747092 \h </w:instrText>
      </w:r>
      <w:r w:rsidR="00F636C0">
        <w:fldChar w:fldCharType="separate"/>
      </w:r>
      <w:r w:rsidR="00FD64B0">
        <w:t>Table C</w:t>
      </w:r>
      <w:r w:rsidR="00FD64B0">
        <w:rPr>
          <w:noProof/>
        </w:rPr>
        <w:t>2</w:t>
      </w:r>
      <w:r w:rsidR="00F636C0">
        <w:fldChar w:fldCharType="end"/>
      </w:r>
      <w:r w:rsidR="00F636C0">
        <w:t xml:space="preserve"> </w:t>
      </w:r>
      <w:r w:rsidR="007E63F3" w:rsidRPr="007E63F3">
        <w:t>(which provides pros and cons of various approaches) and</w:t>
      </w:r>
      <w:r w:rsidR="00F636C0">
        <w:t xml:space="preserve"> </w:t>
      </w:r>
      <w:r w:rsidR="00F636C0">
        <w:fldChar w:fldCharType="begin"/>
      </w:r>
      <w:r w:rsidR="00F636C0">
        <w:instrText xml:space="preserve"> REF _Ref132747019 \h </w:instrText>
      </w:r>
      <w:r w:rsidR="00F636C0">
        <w:fldChar w:fldCharType="separate"/>
      </w:r>
      <w:r w:rsidR="00FD64B0">
        <w:t>Figure C</w:t>
      </w:r>
      <w:r w:rsidR="00FD64B0">
        <w:rPr>
          <w:noProof/>
        </w:rPr>
        <w:t>2</w:t>
      </w:r>
      <w:r w:rsidR="00F636C0">
        <w:fldChar w:fldCharType="end"/>
      </w:r>
      <w:r w:rsidR="007E63F3" w:rsidRPr="007E63F3">
        <w:t>.</w:t>
      </w:r>
    </w:p>
    <w:p w14:paraId="216ADB3D" w14:textId="67484CFF" w:rsidR="005D1143" w:rsidRDefault="005D1143" w:rsidP="005D1143">
      <w:pPr>
        <w:pStyle w:val="Caption"/>
        <w:keepNext/>
      </w:pPr>
      <w:bookmarkStart w:id="291" w:name="_Ref132747092"/>
      <w:r>
        <w:t>Table C</w:t>
      </w:r>
      <w:fldSimple w:instr=" SEQ Table_C \* ARABIC ">
        <w:r w:rsidR="00FD64B0">
          <w:rPr>
            <w:noProof/>
          </w:rPr>
          <w:t>2</w:t>
        </w:r>
      </w:fldSimple>
      <w:bookmarkEnd w:id="291"/>
      <w:r>
        <w:t xml:space="preserve"> – </w:t>
      </w:r>
      <w:r w:rsidRPr="009004A3">
        <w:t>Different QMRA approaches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4754"/>
        <w:gridCol w:w="2657"/>
      </w:tblGrid>
      <w:tr w:rsidR="00E22F4B" w:rsidRPr="00394AC8" w14:paraId="11BD9CDF" w14:textId="77777777" w:rsidTr="00E22F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5" w:type="pct"/>
            <w:tcBorders>
              <w:bottom w:val="none" w:sz="0" w:space="0" w:color="auto"/>
              <w:right w:val="none" w:sz="0" w:space="0" w:color="auto"/>
            </w:tcBorders>
            <w:shd w:val="clear" w:color="auto" w:fill="003F72"/>
          </w:tcPr>
          <w:p w14:paraId="420BB6AA" w14:textId="77777777" w:rsidR="00E22F4B" w:rsidRPr="00394AC8" w:rsidRDefault="00E22F4B" w:rsidP="00222236">
            <w:pPr>
              <w:pStyle w:val="Tabletext0"/>
            </w:pPr>
          </w:p>
        </w:tc>
        <w:tc>
          <w:tcPr>
            <w:tcW w:w="2338" w:type="pct"/>
            <w:shd w:val="clear" w:color="auto" w:fill="003F72"/>
          </w:tcPr>
          <w:p w14:paraId="566B79EA" w14:textId="77777777" w:rsidR="00E22F4B" w:rsidRPr="00394AC8" w:rsidRDefault="00E22F4B"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394AC8">
              <w:t>Pros</w:t>
            </w:r>
          </w:p>
        </w:tc>
        <w:tc>
          <w:tcPr>
            <w:tcW w:w="1307" w:type="pct"/>
            <w:shd w:val="clear" w:color="auto" w:fill="003F72"/>
          </w:tcPr>
          <w:p w14:paraId="7430DDE5" w14:textId="77777777" w:rsidR="00E22F4B" w:rsidRPr="00394AC8" w:rsidRDefault="00E22F4B"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394AC8">
              <w:t>Cons</w:t>
            </w:r>
          </w:p>
        </w:tc>
      </w:tr>
      <w:tr w:rsidR="00E22F4B" w:rsidRPr="00394AC8" w14:paraId="5257DF76" w14:textId="77777777" w:rsidTr="00E22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top w:val="none" w:sz="0" w:space="0" w:color="auto"/>
              <w:bottom w:val="none" w:sz="0" w:space="0" w:color="auto"/>
              <w:right w:val="none" w:sz="0" w:space="0" w:color="auto"/>
            </w:tcBorders>
          </w:tcPr>
          <w:p w14:paraId="3237C219" w14:textId="77777777" w:rsidR="00E22F4B" w:rsidRPr="00783B42" w:rsidRDefault="00E22F4B" w:rsidP="00222236">
            <w:pPr>
              <w:pStyle w:val="Tabletext0"/>
            </w:pPr>
            <w:r w:rsidRPr="00783B42">
              <w:t>Screening QMRA</w:t>
            </w:r>
          </w:p>
          <w:p w14:paraId="201DFD92" w14:textId="77777777" w:rsidR="00E22F4B" w:rsidRPr="00783B42" w:rsidRDefault="00E22F4B" w:rsidP="00222236">
            <w:pPr>
              <w:pStyle w:val="Tabletext0"/>
              <w:rPr>
                <w:b w:val="0"/>
                <w:bCs w:val="0"/>
              </w:rPr>
            </w:pPr>
            <w:r w:rsidRPr="00783B42">
              <w:rPr>
                <w:b w:val="0"/>
                <w:bCs w:val="0"/>
              </w:rPr>
              <w:t>Mostly desk-based, relies on data from the literature.</w:t>
            </w:r>
          </w:p>
          <w:p w14:paraId="39957E44" w14:textId="77777777" w:rsidR="00E22F4B" w:rsidRPr="00783B42" w:rsidRDefault="00E22F4B" w:rsidP="00222236">
            <w:pPr>
              <w:pStyle w:val="Tabletext0"/>
              <w:rPr>
                <w:b w:val="0"/>
                <w:bCs w:val="0"/>
              </w:rPr>
            </w:pPr>
            <w:r w:rsidRPr="00783B42">
              <w:rPr>
                <w:b w:val="0"/>
                <w:bCs w:val="0"/>
              </w:rPr>
              <w:t>Provides worst</w:t>
            </w:r>
            <w:r>
              <w:rPr>
                <w:b w:val="0"/>
                <w:bCs w:val="0"/>
              </w:rPr>
              <w:t>-</w:t>
            </w:r>
            <w:r w:rsidRPr="00783B42">
              <w:rPr>
                <w:b w:val="0"/>
                <w:bCs w:val="0"/>
              </w:rPr>
              <w:t>case estimate.</w:t>
            </w:r>
          </w:p>
        </w:tc>
        <w:tc>
          <w:tcPr>
            <w:tcW w:w="2338" w:type="pct"/>
            <w:tcBorders>
              <w:top w:val="none" w:sz="0" w:space="0" w:color="auto"/>
              <w:bottom w:val="none" w:sz="0" w:space="0" w:color="auto"/>
            </w:tcBorders>
          </w:tcPr>
          <w:p w14:paraId="3719C155"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Broad overview of risk to highlight significant issues or to eliminate insignificant concerns.</w:t>
            </w:r>
          </w:p>
          <w:p w14:paraId="721AB06B"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5C2195">
              <w:t>Collection and analysis of readily available information using sanitary surveys.</w:t>
            </w:r>
          </w:p>
          <w:p w14:paraId="04EEF136" w14:textId="77777777" w:rsidR="00E22F4B" w:rsidRPr="005C2195"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5C2195">
              <w:t>Rapid and low cost.</w:t>
            </w:r>
          </w:p>
        </w:tc>
        <w:tc>
          <w:tcPr>
            <w:tcW w:w="1307" w:type="pct"/>
            <w:tcBorders>
              <w:top w:val="none" w:sz="0" w:space="0" w:color="auto"/>
              <w:bottom w:val="none" w:sz="0" w:space="0" w:color="auto"/>
            </w:tcBorders>
          </w:tcPr>
          <w:p w14:paraId="5DA84D4D"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Worst-case estimates on pathogen occurrence and barrier efficacy.</w:t>
            </w:r>
          </w:p>
          <w:p w14:paraId="1CAA7504" w14:textId="77777777" w:rsidR="00E22F4B" w:rsidRPr="00220878"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220878">
              <w:t>Highly dependent on assumptions.</w:t>
            </w:r>
          </w:p>
        </w:tc>
      </w:tr>
      <w:tr w:rsidR="00E22F4B" w:rsidRPr="00394AC8" w14:paraId="1C86F081" w14:textId="77777777" w:rsidTr="00E22F4B">
        <w:tc>
          <w:tcPr>
            <w:cnfStyle w:val="001000000000" w:firstRow="0" w:lastRow="0" w:firstColumn="1" w:lastColumn="0" w:oddVBand="0" w:evenVBand="0" w:oddHBand="0" w:evenHBand="0" w:firstRowFirstColumn="0" w:firstRowLastColumn="0" w:lastRowFirstColumn="0" w:lastRowLastColumn="0"/>
            <w:tcW w:w="1355" w:type="pct"/>
            <w:tcBorders>
              <w:right w:val="none" w:sz="0" w:space="0" w:color="auto"/>
            </w:tcBorders>
          </w:tcPr>
          <w:p w14:paraId="102496E0" w14:textId="77777777" w:rsidR="00E22F4B" w:rsidRDefault="00E22F4B" w:rsidP="00222236">
            <w:pPr>
              <w:pStyle w:val="Tabletext0"/>
              <w:rPr>
                <w:b w:val="0"/>
                <w:bCs w:val="0"/>
              </w:rPr>
            </w:pPr>
            <w:r w:rsidRPr="00394AC8">
              <w:t xml:space="preserve">Advanced QMRA </w:t>
            </w:r>
          </w:p>
          <w:p w14:paraId="66BCBD27" w14:textId="77777777" w:rsidR="00E22F4B" w:rsidRDefault="00E22F4B" w:rsidP="00222236">
            <w:pPr>
              <w:pStyle w:val="Tabletext0"/>
            </w:pPr>
            <w:r w:rsidRPr="00AD14F9">
              <w:rPr>
                <w:b w:val="0"/>
                <w:bCs w:val="0"/>
              </w:rPr>
              <w:t>Uses data from the literature and from monitoring.</w:t>
            </w:r>
          </w:p>
          <w:p w14:paraId="71B180B1" w14:textId="77777777" w:rsidR="00E22F4B" w:rsidRPr="00394AC8" w:rsidRDefault="00E22F4B" w:rsidP="00222236">
            <w:pPr>
              <w:pStyle w:val="Tabletext0"/>
            </w:pPr>
            <w:r w:rsidRPr="00AD14F9">
              <w:rPr>
                <w:b w:val="0"/>
                <w:bCs w:val="0"/>
              </w:rPr>
              <w:t>Provides best- and worst-case estimates.</w:t>
            </w:r>
          </w:p>
        </w:tc>
        <w:tc>
          <w:tcPr>
            <w:tcW w:w="2338" w:type="pct"/>
          </w:tcPr>
          <w:p w14:paraId="41A30C59"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94AC8">
              <w:rPr>
                <w:rFonts w:cs="Arial"/>
              </w:rPr>
              <w:t>More detailed information on possible health risks</w:t>
            </w:r>
            <w:r>
              <w:rPr>
                <w:rFonts w:cs="Arial"/>
              </w:rPr>
              <w:t>.</w:t>
            </w:r>
          </w:p>
          <w:p w14:paraId="271D8A86"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40909">
              <w:rPr>
                <w:rFonts w:cs="Arial"/>
              </w:rPr>
              <w:t>Additional collection of more specific data and information (such as data on microbial contamination using reference pathogens monitoring and their variation).</w:t>
            </w:r>
          </w:p>
          <w:p w14:paraId="33580881" w14:textId="77777777" w:rsidR="00E22F4B" w:rsidRPr="00340909"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40909">
              <w:rPr>
                <w:rFonts w:cs="Arial"/>
              </w:rPr>
              <w:t>More objective and reliable due to using more specific information.</w:t>
            </w:r>
          </w:p>
        </w:tc>
        <w:tc>
          <w:tcPr>
            <w:tcW w:w="1307" w:type="pct"/>
          </w:tcPr>
          <w:p w14:paraId="534AFDD3"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94AC8">
              <w:rPr>
                <w:rFonts w:cs="Arial"/>
              </w:rPr>
              <w:t>Medium cost and time.</w:t>
            </w:r>
          </w:p>
          <w:p w14:paraId="7EF873FF" w14:textId="77777777" w:rsidR="00E22F4B" w:rsidRPr="00CF3B34"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CF3B34">
              <w:rPr>
                <w:rFonts w:cs="Arial"/>
              </w:rPr>
              <w:t>Best (point) estimates.</w:t>
            </w:r>
          </w:p>
        </w:tc>
      </w:tr>
      <w:tr w:rsidR="00E22F4B" w:rsidRPr="00394AC8" w14:paraId="1811F81D" w14:textId="77777777" w:rsidTr="00E22F4B">
        <w:trPr>
          <w:cnfStyle w:val="000000100000" w:firstRow="0" w:lastRow="0" w:firstColumn="0" w:lastColumn="0" w:oddVBand="0" w:evenVBand="0" w:oddHBand="1"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1355" w:type="pct"/>
            <w:tcBorders>
              <w:top w:val="none" w:sz="0" w:space="0" w:color="auto"/>
              <w:bottom w:val="none" w:sz="0" w:space="0" w:color="auto"/>
              <w:right w:val="none" w:sz="0" w:space="0" w:color="auto"/>
            </w:tcBorders>
          </w:tcPr>
          <w:p w14:paraId="7FC549DE" w14:textId="77777777" w:rsidR="00E22F4B" w:rsidRPr="009E6409" w:rsidRDefault="00E22F4B" w:rsidP="00222236">
            <w:pPr>
              <w:pStyle w:val="Tabletext0"/>
            </w:pPr>
            <w:r w:rsidRPr="009E6409">
              <w:t>In-depth QMRA</w:t>
            </w:r>
          </w:p>
          <w:p w14:paraId="4EAFD504" w14:textId="77777777" w:rsidR="00E22F4B" w:rsidRPr="009E6409" w:rsidRDefault="00E22F4B" w:rsidP="00222236">
            <w:pPr>
              <w:pStyle w:val="Tabletext0"/>
              <w:rPr>
                <w:b w:val="0"/>
                <w:bCs w:val="0"/>
              </w:rPr>
            </w:pPr>
            <w:r w:rsidRPr="009E6409">
              <w:rPr>
                <w:b w:val="0"/>
                <w:bCs w:val="0"/>
              </w:rPr>
              <w:t>Involves an extensive monitoring program.</w:t>
            </w:r>
          </w:p>
          <w:p w14:paraId="4A8BCE99" w14:textId="77777777" w:rsidR="00E22F4B" w:rsidRPr="009E6409" w:rsidRDefault="00E22F4B" w:rsidP="00222236">
            <w:pPr>
              <w:pStyle w:val="Tabletext0"/>
              <w:rPr>
                <w:b w:val="0"/>
                <w:bCs w:val="0"/>
              </w:rPr>
            </w:pPr>
            <w:r w:rsidRPr="009E6409">
              <w:rPr>
                <w:b w:val="0"/>
                <w:bCs w:val="0"/>
              </w:rPr>
              <w:t>Uses Monte Carlo simulation for risk calculation.</w:t>
            </w:r>
          </w:p>
        </w:tc>
        <w:tc>
          <w:tcPr>
            <w:tcW w:w="2338" w:type="pct"/>
            <w:tcBorders>
              <w:top w:val="none" w:sz="0" w:space="0" w:color="auto"/>
              <w:bottom w:val="none" w:sz="0" w:space="0" w:color="auto"/>
            </w:tcBorders>
          </w:tcPr>
          <w:p w14:paraId="70819CBE"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Comprehensive understanding/robust definition of health risks.</w:t>
            </w:r>
          </w:p>
          <w:p w14:paraId="37672B12"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885F53">
              <w:t>Additional collection of more specific data and information (</w:t>
            </w:r>
            <w:r w:rsidRPr="00885F53">
              <w:rPr>
                <w:rFonts w:cs="Arial"/>
              </w:rPr>
              <w:t>such as</w:t>
            </w:r>
            <w:r w:rsidRPr="00885F53">
              <w:t xml:space="preserve"> data on pathogen occurrence, their fate and variation in the environment).</w:t>
            </w:r>
          </w:p>
          <w:p w14:paraId="0BEC29BC" w14:textId="77777777" w:rsidR="00E22F4B" w:rsidRPr="00885F53"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885F53">
              <w:t>Most objective and reliable due to use of more specific information and probabilistic approach to incorporate variability and uncertainty.</w:t>
            </w:r>
          </w:p>
        </w:tc>
        <w:tc>
          <w:tcPr>
            <w:tcW w:w="1307" w:type="pct"/>
            <w:tcBorders>
              <w:top w:val="none" w:sz="0" w:space="0" w:color="auto"/>
              <w:bottom w:val="none" w:sz="0" w:space="0" w:color="auto"/>
            </w:tcBorders>
          </w:tcPr>
          <w:p w14:paraId="7E09BCC0"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Highest cost and longest time.</w:t>
            </w:r>
          </w:p>
          <w:p w14:paraId="569B1F70" w14:textId="77777777" w:rsidR="00E22F4B" w:rsidRPr="00CF3B34"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CF3B34">
              <w:t>Probabilistic estimates.</w:t>
            </w:r>
          </w:p>
        </w:tc>
      </w:tr>
    </w:tbl>
    <w:p w14:paraId="3AC1F0F9" w14:textId="77777777" w:rsidR="0049391B" w:rsidRDefault="0049391B" w:rsidP="001D03F2"/>
    <w:p w14:paraId="4D2A1D73" w14:textId="1062D63F" w:rsidR="00804500" w:rsidRDefault="066860D5" w:rsidP="001D03F2">
      <w:r>
        <w:t xml:space="preserve">Screening-level QMRAs may use average, worst and best-case scenarios to illustrate a range of risks that can be deduced from available information with a level of uncertainty </w:t>
      </w:r>
      <w:bookmarkStart w:id="292" w:name="_Int_zMqudxKe"/>
      <w:r>
        <w:t>but</w:t>
      </w:r>
      <w:bookmarkEnd w:id="292"/>
      <w:r>
        <w:t xml:space="preserve"> are usually used to provide a worst-case estimate. </w:t>
      </w:r>
      <w:r w:rsidR="007E63F3" w:rsidRPr="007E63F3">
        <w:t>Screening QMRAs are not a pass/fail test but they provide a conservative estimate of the risk. If the risk is not acceptable, then a more advanced approach may be warranted to eliminate conservative assumptions</w:t>
      </w:r>
      <w:r w:rsidR="007E63F3" w:rsidRPr="00856C59">
        <w:t>.</w:t>
      </w:r>
      <w:r w:rsidR="00856C59" w:rsidRPr="00856C59">
        <w:t xml:space="preserve"> </w:t>
      </w:r>
    </w:p>
    <w:p w14:paraId="51D27105" w14:textId="12DE364B" w:rsidR="001D03F2" w:rsidRPr="00C01F65" w:rsidRDefault="001D03F2" w:rsidP="001D03F2">
      <w:r w:rsidRPr="00C01F65">
        <w:t xml:space="preserve">As it is difficult to quantitatively account for all sources of variability and uncertainty in QMRA, it </w:t>
      </w:r>
      <w:r w:rsidR="00652923">
        <w:t>may be</w:t>
      </w:r>
      <w:r w:rsidRPr="00C01F65">
        <w:t xml:space="preserve"> important to consider factors such as pathogen densities, populations, </w:t>
      </w:r>
      <w:r>
        <w:t>dose-</w:t>
      </w:r>
      <w:r>
        <w:lastRenderedPageBreak/>
        <w:t>response</w:t>
      </w:r>
      <w:r w:rsidRPr="00C01F65">
        <w:t xml:space="preserve"> models, which may be relevant to the study’s objective. Therefore, different levels of complexity may be needed to support the intended risk management outcome (WHO</w:t>
      </w:r>
      <w:r>
        <w:t>,</w:t>
      </w:r>
      <w:r w:rsidRPr="00C01F65">
        <w:t xml:space="preserve"> 2016) and an iterative approach could be used (</w:t>
      </w:r>
      <w:r w:rsidR="00F636C0">
        <w:fldChar w:fldCharType="begin"/>
      </w:r>
      <w:r w:rsidR="00F636C0">
        <w:instrText xml:space="preserve"> REF _Ref132747019 \h </w:instrText>
      </w:r>
      <w:r w:rsidR="00F636C0">
        <w:fldChar w:fldCharType="separate"/>
      </w:r>
      <w:r w:rsidR="00FD64B0">
        <w:t>Figure C</w:t>
      </w:r>
      <w:r w:rsidR="00FD64B0">
        <w:rPr>
          <w:noProof/>
        </w:rPr>
        <w:t>2</w:t>
      </w:r>
      <w:r w:rsidR="00F636C0">
        <w:fldChar w:fldCharType="end"/>
      </w:r>
      <w:r w:rsidRPr="00C01F65">
        <w:t xml:space="preserve">). If the QMRA approach does not provide enough knowledge to understand and mitigate the risk, another level of complexity can be added. By reducing conservative assumptions made for less complex approaches, the calculated risk may then become acceptable. </w:t>
      </w:r>
    </w:p>
    <w:p w14:paraId="5D7A37F4" w14:textId="77777777" w:rsidR="001D03F2" w:rsidRPr="00C01F65" w:rsidRDefault="001D03F2" w:rsidP="001D03F2">
      <w:r w:rsidRPr="00C01F65">
        <w:t>For example, a simple QMRA approach may assume that:</w:t>
      </w:r>
    </w:p>
    <w:p w14:paraId="7C4A7B3D" w14:textId="77777777" w:rsidR="001D03F2" w:rsidRPr="002B0D82" w:rsidRDefault="001D03F2" w:rsidP="002B0D82">
      <w:pPr>
        <w:pStyle w:val="ListBullet"/>
      </w:pPr>
      <w:r w:rsidRPr="001153B0">
        <w:rPr>
          <w:i/>
          <w:iCs/>
        </w:rPr>
        <w:t>Salmonella</w:t>
      </w:r>
      <w:r w:rsidRPr="002B0D82">
        <w:t xml:space="preserve"> concentrations always remain the same (assumed to be the highest known levels)</w:t>
      </w:r>
    </w:p>
    <w:p w14:paraId="5066C4C0" w14:textId="77777777" w:rsidR="001D03F2" w:rsidRPr="002B0D82" w:rsidRDefault="001D03F2" w:rsidP="002B0D82">
      <w:pPr>
        <w:pStyle w:val="ListBullet"/>
      </w:pPr>
      <w:r w:rsidRPr="002B0D82">
        <w:t xml:space="preserve">all </w:t>
      </w:r>
      <w:r w:rsidRPr="001153B0">
        <w:rPr>
          <w:i/>
          <w:iCs/>
        </w:rPr>
        <w:t xml:space="preserve">Salmonella </w:t>
      </w:r>
      <w:r w:rsidRPr="002B0D82">
        <w:t>detected are infectious for humans</w:t>
      </w:r>
    </w:p>
    <w:p w14:paraId="1196E1AE" w14:textId="77777777" w:rsidR="001D03F2" w:rsidRPr="002B0D82" w:rsidRDefault="001D03F2" w:rsidP="002B0D82">
      <w:pPr>
        <w:pStyle w:val="ListBullet"/>
      </w:pPr>
      <w:bookmarkStart w:id="293" w:name="_Int_kkkk3Yb/"/>
      <w:r w:rsidRPr="002B0D82">
        <w:t>all</w:t>
      </w:r>
      <w:bookmarkEnd w:id="293"/>
      <w:r w:rsidRPr="002B0D82">
        <w:t xml:space="preserve"> people exposed to the lowest known infectious dose will get sick. </w:t>
      </w:r>
    </w:p>
    <w:p w14:paraId="645C8136" w14:textId="77777777" w:rsidR="001D03F2" w:rsidRPr="00C01F65" w:rsidRDefault="001D03F2" w:rsidP="001D03F2">
      <w:r w:rsidRPr="00C01F65">
        <w:t xml:space="preserve">It means that the risk may be conservatively assessed well above the health target. By using a probabilistic approach involving a </w:t>
      </w:r>
      <w:r w:rsidRPr="000E2DFB">
        <w:t>Monte Carlo simulatio</w:t>
      </w:r>
      <w:r w:rsidRPr="00C01F65">
        <w:t>n, the QMRA will, for example</w:t>
      </w:r>
      <w:r>
        <w:t>,</w:t>
      </w:r>
      <w:r w:rsidRPr="00C01F65">
        <w:t xml:space="preserve"> randomly assign to a sample of thousands of individuals:</w:t>
      </w:r>
    </w:p>
    <w:p w14:paraId="68ED3BAB" w14:textId="77777777" w:rsidR="001D03F2" w:rsidRPr="00C01F65" w:rsidRDefault="001D03F2" w:rsidP="002B0D82">
      <w:pPr>
        <w:pStyle w:val="ListBullet"/>
      </w:pPr>
      <w:r>
        <w:t>d</w:t>
      </w:r>
      <w:r w:rsidRPr="00C01F65">
        <w:t xml:space="preserve">ifferent volumes ingested </w:t>
      </w:r>
    </w:p>
    <w:p w14:paraId="7016F758" w14:textId="77777777" w:rsidR="001D03F2" w:rsidRPr="00C01F65" w:rsidRDefault="001D03F2" w:rsidP="002B0D82">
      <w:pPr>
        <w:pStyle w:val="ListBullet"/>
      </w:pPr>
      <w:r>
        <w:t>v</w:t>
      </w:r>
      <w:r w:rsidRPr="00C01F65">
        <w:t xml:space="preserve">arious concentrations of </w:t>
      </w:r>
      <w:r w:rsidRPr="00C01F65">
        <w:rPr>
          <w:i/>
          <w:iCs/>
        </w:rPr>
        <w:t>Salmonella</w:t>
      </w:r>
      <w:r w:rsidRPr="00C01F65">
        <w:t xml:space="preserve"> at the time of exposure</w:t>
      </w:r>
    </w:p>
    <w:p w14:paraId="3C1BDE36" w14:textId="77777777" w:rsidR="001D03F2" w:rsidRPr="00C01F65" w:rsidRDefault="001D03F2" w:rsidP="002B0D82">
      <w:pPr>
        <w:pStyle w:val="ListBullet"/>
      </w:pPr>
      <w:r>
        <w:t>d</w:t>
      </w:r>
      <w:r w:rsidRPr="00C01F65">
        <w:t xml:space="preserve">ifferent probabilities of getting sick. </w:t>
      </w:r>
    </w:p>
    <w:p w14:paraId="14287F2F" w14:textId="19CD9D51" w:rsidR="001D03F2" w:rsidRPr="00C01F65" w:rsidRDefault="001D03F2" w:rsidP="001D03F2">
      <w:r w:rsidRPr="00C01F65">
        <w:t xml:space="preserve">By </w:t>
      </w:r>
      <w:r w:rsidR="00155AD6" w:rsidRPr="00C01F65">
        <w:t>considering</w:t>
      </w:r>
      <w:r w:rsidRPr="00C01F65">
        <w:t xml:space="preserve"> the variability in exposures and consequences, the more complex QMRA will most likely provide a lower risk estimate that is more reflective of the true risk.</w:t>
      </w:r>
    </w:p>
    <w:p w14:paraId="59B1D429" w14:textId="77777777" w:rsidR="001D03F2" w:rsidRPr="00C01F65" w:rsidRDefault="001D03F2" w:rsidP="001D03F2">
      <w:r w:rsidRPr="00C01F65">
        <w:t xml:space="preserve">Risk assessors might choose not to conduct more complex QMRA modelling when quick action is needed due to immediate concern and the cost of assessment is more than the cost of remediation. Similarly, a screening-level might indicate that the risk is insignificant. It might also be impossible to conduct further QMRA modelling as the assumptions are very uncertain and further analyses based on these assumptions would not provide more certainty. </w:t>
      </w:r>
    </w:p>
    <w:p w14:paraId="27FA5489" w14:textId="2C0603AD" w:rsidR="001D03F2" w:rsidRDefault="001D03F2" w:rsidP="001D03F2">
      <w:r w:rsidRPr="00C01F65">
        <w:t>On the other hand, further QMRA modelling might be required to increase objectivity and reduce reliance on assumptions, to ensure that remedial actions are well targeted by comparing alternatives. A more complex QMRA would provide a more systematic consideration of uncertainties and would provide insight into the validity of the results using sensitivity analysis.</w:t>
      </w:r>
    </w:p>
    <w:p w14:paraId="761ACB6B" w14:textId="77777777" w:rsidR="005F4530" w:rsidRDefault="005F4530" w:rsidP="005F4530">
      <w:r w:rsidRPr="00C01F65">
        <w:t xml:space="preserve">Pathogen risks can be weighed with other economic, social and cultural factors for an overall cost-benefit analysis to select the best option. For example, a </w:t>
      </w:r>
      <w:r>
        <w:t>waterbody</w:t>
      </w:r>
      <w:r w:rsidRPr="00C01F65">
        <w:t xml:space="preserve"> might be closed for recreational activities after a screening QMRA has indicated a significant risk. The small number of recreational users does not warrant further investigation and the potentially prohibitive costs involved in additional treatment and/or remediation.</w:t>
      </w:r>
    </w:p>
    <w:p w14:paraId="3F6F7DF2" w14:textId="77777777" w:rsidR="00E22F4B" w:rsidRPr="00C01F65" w:rsidRDefault="00E22F4B" w:rsidP="005F4530"/>
    <w:bookmarkStart w:id="294" w:name="_Toc49942294"/>
    <w:bookmarkStart w:id="295" w:name="_Toc51929043"/>
    <w:bookmarkStart w:id="296" w:name="_Toc87369314"/>
    <w:p w14:paraId="65719B41" w14:textId="77777777" w:rsidR="005D1143" w:rsidRDefault="005D1143" w:rsidP="005D1143">
      <w:pPr>
        <w:keepNext/>
        <w:spacing w:after="0"/>
      </w:pPr>
      <w:r>
        <w:rPr>
          <w:rFonts w:ascii="Arial" w:eastAsia="Times New Roman" w:hAnsi="Arial" w:cs="Arial"/>
          <w:noProof/>
        </w:rPr>
        <w:lastRenderedPageBreak/>
        <mc:AlternateContent>
          <mc:Choice Requires="wpg">
            <w:drawing>
              <wp:inline distT="0" distB="0" distL="0" distR="0" wp14:anchorId="2B57CA2D" wp14:editId="77F70844">
                <wp:extent cx="5947200" cy="3437262"/>
                <wp:effectExtent l="12700" t="0" r="9525" b="4445"/>
                <wp:docPr id="61" name="Group 61"/>
                <wp:cNvGraphicFramePr/>
                <a:graphic xmlns:a="http://schemas.openxmlformats.org/drawingml/2006/main">
                  <a:graphicData uri="http://schemas.microsoft.com/office/word/2010/wordprocessingGroup">
                    <wpg:wgp>
                      <wpg:cNvGrpSpPr/>
                      <wpg:grpSpPr>
                        <a:xfrm>
                          <a:off x="0" y="0"/>
                          <a:ext cx="5947200" cy="3437262"/>
                          <a:chOff x="0" y="0"/>
                          <a:chExt cx="5948045" cy="3437890"/>
                        </a:xfrm>
                      </wpg:grpSpPr>
                      <pic:pic xmlns:pic="http://schemas.openxmlformats.org/drawingml/2006/picture">
                        <pic:nvPicPr>
                          <pic:cNvPr id="60" name="Picture 6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57809" y="0"/>
                            <a:ext cx="5295265" cy="3437890"/>
                          </a:xfrm>
                          <a:prstGeom prst="rect">
                            <a:avLst/>
                          </a:prstGeom>
                          <a:noFill/>
                        </pic:spPr>
                      </pic:pic>
                      <wps:wsp>
                        <wps:cNvPr id="462" name="Rectangle 462"/>
                        <wps:cNvSpPr/>
                        <wps:spPr>
                          <a:xfrm>
                            <a:off x="0" y="7952"/>
                            <a:ext cx="5948045" cy="335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B71D49" id="Group 61" o:spid="_x0000_s1026" style="width:468.3pt;height:270.65pt;mso-position-horizontal-relative:char;mso-position-vertical-relative:line" coordsize="59480,3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">
                <v:shape id="Picture 60" o:spid="_x0000_s1027" type="#_x0000_t75" style="position:absolute;left:3578;width:52952;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">
                  <v:imagedata r:id="rId73" o:title=""/>
                </v:shape>
                <v:rect id="Rectangle 462" o:spid="_x0000_s1028" style="position:absolute;top:79;width:59480;height:3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" filled="f" strokecolor="black [3213]" strokeweight="2pt"/>
                <w10:anchorlock/>
              </v:group>
            </w:pict>
          </mc:Fallback>
        </mc:AlternateContent>
      </w:r>
    </w:p>
    <w:p w14:paraId="2D7BBC34" w14:textId="293F2CC5" w:rsidR="00E65065" w:rsidRDefault="005D1143" w:rsidP="005D1143">
      <w:pPr>
        <w:pStyle w:val="Caption"/>
      </w:pPr>
      <w:bookmarkStart w:id="297" w:name="_Ref132747019"/>
      <w:bookmarkStart w:id="298" w:name="_Ref132747111"/>
      <w:r>
        <w:t>Figure C</w:t>
      </w:r>
      <w:fldSimple w:instr=" SEQ Figure_C \* ARABIC ">
        <w:r w:rsidR="00FD64B0">
          <w:rPr>
            <w:noProof/>
          </w:rPr>
          <w:t>2</w:t>
        </w:r>
      </w:fldSimple>
      <w:bookmarkEnd w:id="297"/>
      <w:r>
        <w:t xml:space="preserve"> – </w:t>
      </w:r>
      <w:r w:rsidRPr="00B333CA">
        <w:t>Iterative approach for implementing QMRA</w:t>
      </w:r>
      <w:bookmarkEnd w:id="298"/>
    </w:p>
    <w:p w14:paraId="5E8ADC08" w14:textId="77777777" w:rsidR="00F636C0" w:rsidRPr="00F636C0" w:rsidRDefault="00F636C0" w:rsidP="00F636C0"/>
    <w:p w14:paraId="18C8FB7C" w14:textId="228916FE" w:rsidR="00B639F5" w:rsidRPr="00F46C15" w:rsidRDefault="00B639F5" w:rsidP="00F46C15">
      <w:pPr>
        <w:pStyle w:val="AppendixA1"/>
      </w:pPr>
      <w:bookmarkStart w:id="299" w:name="_Toc133938171"/>
      <w:r w:rsidRPr="00F46C15">
        <w:t>Assessing microbial risks of wastewater discharge</w:t>
      </w:r>
      <w:bookmarkEnd w:id="294"/>
      <w:bookmarkEnd w:id="295"/>
      <w:bookmarkEnd w:id="296"/>
      <w:bookmarkEnd w:id="299"/>
      <w:r w:rsidRPr="00F46C15">
        <w:t xml:space="preserve"> </w:t>
      </w:r>
    </w:p>
    <w:p w14:paraId="36D9DAE3" w14:textId="3CFB0B77" w:rsidR="00B639F5" w:rsidRPr="00F46C15" w:rsidRDefault="00B639F5" w:rsidP="00F46C15">
      <w:pPr>
        <w:pStyle w:val="AppendixA11"/>
      </w:pPr>
      <w:bookmarkStart w:id="300" w:name="_Toc49942295"/>
      <w:bookmarkStart w:id="301" w:name="_Toc51929044"/>
      <w:bookmarkStart w:id="302" w:name="_Toc87369315"/>
      <w:bookmarkStart w:id="303" w:name="_Toc133938172"/>
      <w:r w:rsidRPr="00F46C15">
        <w:t>Problem formulation</w:t>
      </w:r>
      <w:bookmarkEnd w:id="300"/>
      <w:bookmarkEnd w:id="301"/>
      <w:bookmarkEnd w:id="302"/>
      <w:bookmarkEnd w:id="303"/>
    </w:p>
    <w:p w14:paraId="27644007" w14:textId="0221541C" w:rsidR="0090696E" w:rsidRDefault="00B639F5" w:rsidP="00B639F5">
      <w:pPr>
        <w:rPr>
          <w:lang w:val="en-US" w:eastAsia="ja-JP"/>
        </w:rPr>
      </w:pPr>
      <w:r w:rsidRPr="00C01F65">
        <w:rPr>
          <w:lang w:val="en-US" w:eastAsia="ja-JP"/>
        </w:rPr>
        <w:t>To define the scope of the risk assessment and be able to formulate the problem appropriately, it is useful to draw a schematic diagram, such as the one illustrated in</w:t>
      </w:r>
      <w:r w:rsidR="003803C4">
        <w:rPr>
          <w:lang w:val="en-US" w:eastAsia="ja-JP"/>
        </w:rPr>
        <w:t xml:space="preserve"> </w:t>
      </w:r>
      <w:r w:rsidR="00D422E5">
        <w:rPr>
          <w:lang w:val="en-US" w:eastAsia="ja-JP"/>
        </w:rPr>
        <w:fldChar w:fldCharType="begin"/>
      </w:r>
      <w:r w:rsidR="00D422E5">
        <w:rPr>
          <w:lang w:val="en-US" w:eastAsia="ja-JP"/>
        </w:rPr>
        <w:instrText xml:space="preserve"> REF _Ref132746801 \h </w:instrText>
      </w:r>
      <w:r w:rsidR="00D422E5">
        <w:rPr>
          <w:lang w:val="en-US" w:eastAsia="ja-JP"/>
        </w:rPr>
      </w:r>
      <w:r w:rsidR="00D422E5">
        <w:rPr>
          <w:lang w:val="en-US" w:eastAsia="ja-JP"/>
        </w:rPr>
        <w:fldChar w:fldCharType="separate"/>
      </w:r>
      <w:r w:rsidR="00FD64B0">
        <w:t>Figure C</w:t>
      </w:r>
      <w:r w:rsidR="00FD64B0">
        <w:rPr>
          <w:noProof/>
        </w:rPr>
        <w:t>3</w:t>
      </w:r>
      <w:r w:rsidR="00D422E5">
        <w:rPr>
          <w:lang w:val="en-US" w:eastAsia="ja-JP"/>
        </w:rPr>
        <w:fldChar w:fldCharType="end"/>
      </w:r>
      <w:r w:rsidR="00D422E5">
        <w:rPr>
          <w:lang w:val="en-US" w:eastAsia="ja-JP"/>
        </w:rPr>
        <w:t xml:space="preserve">. </w:t>
      </w:r>
      <w:r w:rsidRPr="00C01F65">
        <w:rPr>
          <w:lang w:val="en-US" w:eastAsia="ja-JP"/>
        </w:rPr>
        <w:t>The intention is to identify all the sources-pathways-receptors and to determine what the hazards are and what environmental values are likely to be impacted. It means the sources of contamination (hazards) and exposure pathways will dictate the assumptions made during the risk assessment.</w:t>
      </w:r>
      <w:r w:rsidR="0090696E">
        <w:rPr>
          <w:lang w:val="en-US" w:eastAsia="ja-JP"/>
        </w:rPr>
        <w:t xml:space="preserve"> </w:t>
      </w:r>
    </w:p>
    <w:p w14:paraId="1578F3A4" w14:textId="37261173" w:rsidR="007E63F3" w:rsidRPr="00C01F65" w:rsidRDefault="00D422E5" w:rsidP="007E63F3">
      <w:pPr>
        <w:rPr>
          <w:lang w:val="en-US" w:eastAsia="ja-JP"/>
        </w:rPr>
      </w:pPr>
      <w:r>
        <w:rPr>
          <w:lang w:val="en-US" w:eastAsia="ja-JP"/>
        </w:rPr>
        <w:fldChar w:fldCharType="begin"/>
      </w:r>
      <w:r>
        <w:rPr>
          <w:lang w:val="en-US" w:eastAsia="ja-JP"/>
        </w:rPr>
        <w:instrText xml:space="preserve"> REF _Ref132746801 \h </w:instrText>
      </w:r>
      <w:r>
        <w:rPr>
          <w:lang w:val="en-US" w:eastAsia="ja-JP"/>
        </w:rPr>
      </w:r>
      <w:r>
        <w:rPr>
          <w:lang w:val="en-US" w:eastAsia="ja-JP"/>
        </w:rPr>
        <w:fldChar w:fldCharType="separate"/>
      </w:r>
      <w:r w:rsidR="00FD64B0">
        <w:t>Figure C</w:t>
      </w:r>
      <w:r w:rsidR="00FD64B0">
        <w:rPr>
          <w:noProof/>
        </w:rPr>
        <w:t>3</w:t>
      </w:r>
      <w:r>
        <w:rPr>
          <w:lang w:val="en-US" w:eastAsia="ja-JP"/>
        </w:rPr>
        <w:fldChar w:fldCharType="end"/>
      </w:r>
      <w:r>
        <w:rPr>
          <w:lang w:val="en-US" w:eastAsia="ja-JP"/>
        </w:rPr>
        <w:t xml:space="preserve"> </w:t>
      </w:r>
      <w:r w:rsidR="007E63F3" w:rsidRPr="007E63F3">
        <w:rPr>
          <w:lang w:val="en-US" w:eastAsia="ja-JP"/>
        </w:rPr>
        <w:t xml:space="preserve">is an example of </w:t>
      </w:r>
      <w:r w:rsidR="0096547E">
        <w:rPr>
          <w:lang w:val="en-US" w:eastAsia="ja-JP"/>
        </w:rPr>
        <w:t xml:space="preserve">a </w:t>
      </w:r>
      <w:r w:rsidR="007E63F3" w:rsidRPr="007E63F3">
        <w:rPr>
          <w:lang w:val="en-US" w:eastAsia="ja-JP"/>
        </w:rPr>
        <w:t xml:space="preserve">schematic </w:t>
      </w:r>
      <w:r w:rsidR="0096547E">
        <w:rPr>
          <w:lang w:val="en-US" w:eastAsia="ja-JP"/>
        </w:rPr>
        <w:t>diagram</w:t>
      </w:r>
      <w:r w:rsidR="007E63F3" w:rsidRPr="007E63F3">
        <w:rPr>
          <w:lang w:val="en-US" w:eastAsia="ja-JP"/>
        </w:rPr>
        <w:t xml:space="preserve"> of a point</w:t>
      </w:r>
      <w:r w:rsidR="008F156B">
        <w:rPr>
          <w:lang w:val="en-US" w:eastAsia="ja-JP"/>
        </w:rPr>
        <w:t>-</w:t>
      </w:r>
      <w:r w:rsidR="007E63F3" w:rsidRPr="007E63F3">
        <w:rPr>
          <w:lang w:val="en-US" w:eastAsia="ja-JP"/>
        </w:rPr>
        <w:t>source model. However, the information provided in this guidance can be applied to a range of sources and assessment needs. For example, it can be used to identify and assess risk from diffuse sources of pollution, such as surface run-off associated with some industrial and agricultural activities.</w:t>
      </w:r>
    </w:p>
    <w:p w14:paraId="1399F638" w14:textId="77777777" w:rsidR="00BC1023" w:rsidRPr="002B0D82" w:rsidRDefault="00BC1023" w:rsidP="004B788D">
      <w:pPr>
        <w:pStyle w:val="Heading4"/>
      </w:pPr>
      <w:r w:rsidRPr="002B0D82">
        <w:t>Hazards in the raw wastewater</w:t>
      </w:r>
    </w:p>
    <w:p w14:paraId="20E2D410" w14:textId="333F95BD" w:rsidR="00AC6613" w:rsidRDefault="00BC1023" w:rsidP="00BC1023">
      <w:r w:rsidRPr="00C01F65">
        <w:t>Wastewater may refer to sewage, stormwater</w:t>
      </w:r>
      <w:r>
        <w:t>, animal effluents</w:t>
      </w:r>
      <w:r w:rsidRPr="00C01F65">
        <w:t xml:space="preserve"> or trade wastes with various degrees of treatment. In addition to the faecal matter from toilets, sewage contains material collected from all internal household drains and all the contaminants of greywater and urine. Sewage can therefore contain a range of enteric pathogens infectious to humans</w:t>
      </w:r>
      <w:r>
        <w:t xml:space="preserve">. </w:t>
      </w:r>
      <w:r w:rsidRPr="00C01F65">
        <w:t xml:space="preserve">Sewage also contains high levels of nutrients, particularly nitrates, which have been identified as key health hazards when they contaminate aquifers used as a source of drinking water. Discharge of trade wastes to sewers can also introduce a range of pathogens and other contaminants, particularly chemicals. </w:t>
      </w:r>
    </w:p>
    <w:p w14:paraId="4B12A49E" w14:textId="77777777" w:rsidR="00E22F4B" w:rsidRDefault="00E22F4B" w:rsidP="00E22F4B">
      <w:pPr>
        <w:spacing w:after="0"/>
      </w:pPr>
      <w:r w:rsidRPr="00C01F65">
        <w:lastRenderedPageBreak/>
        <w:t>Stormwater refers to the water resulting from rain draining into the stormwater system from roofs, roads, footpaths and other ground surfaces. It is usually channelled into local waterways but may also discharge into a sewerage system. Stormwater may carry rubbish, animal faeces, motor oil, petrol, tyre rubber, soil and debris. Initial run</w:t>
      </w:r>
      <w:r>
        <w:t>-</w:t>
      </w:r>
      <w:r w:rsidRPr="00C01F65">
        <w:t>off associated with heavy rainfall can contain very high concentrations of enteric pathogens (disease-causing organisms) and contaminants (both chemical and physical).</w:t>
      </w:r>
    </w:p>
    <w:p w14:paraId="2542310B" w14:textId="77777777" w:rsidR="00E22F4B" w:rsidRDefault="00E22F4B" w:rsidP="00E22F4B">
      <w:pPr>
        <w:spacing w:after="0"/>
      </w:pPr>
      <w:r>
        <w:t>Animal effluents refer to point-source discharge of effluents from processing plants such as food processing plants, abattoirs, sale yards, intensive farming facilities such as feedlots or dairy. Animal effluents usually contain a range of enteric pathogens infectious to humans and high levels of nutrients. Animal effluents are usually either discharged after on-site treatment or treated as trade waste in a wastewater treatment plant operated by a water corporation.</w:t>
      </w:r>
    </w:p>
    <w:p w14:paraId="2B1E4D42" w14:textId="54C9143D" w:rsidR="000D0C54" w:rsidRDefault="000D0C54" w:rsidP="000D0C54">
      <w:pPr>
        <w:rPr>
          <w:rFonts w:eastAsia="Times New Roman" w:cs="Arial"/>
          <w:iCs/>
        </w:rPr>
      </w:pPr>
      <w:r w:rsidRPr="00C01F65">
        <w:t xml:space="preserve">All discharges from wastewater treatment plants represent a likely source of contaminants to </w:t>
      </w:r>
      <w:r>
        <w:t>surface waters</w:t>
      </w:r>
      <w:r w:rsidRPr="00C01F65">
        <w:t xml:space="preserve"> due to their pathogen and chemical loading. Discharges could also come from any sewerage asset, including pumping stations, outfalls, bypasses, overflows, chokes and leakage, on-site sewage disposal systems and water reuse systems.</w:t>
      </w:r>
      <w:r>
        <w:t xml:space="preserve"> </w:t>
      </w:r>
      <w:r>
        <w:fldChar w:fldCharType="begin"/>
      </w:r>
      <w:r>
        <w:instrText xml:space="preserve"> REF _Ref88289958 \h </w:instrText>
      </w:r>
      <w:r>
        <w:fldChar w:fldCharType="separate"/>
      </w:r>
      <w:r w:rsidR="00FD64B0" w:rsidRPr="004B788D">
        <w:t>Table C</w:t>
      </w:r>
      <w:r w:rsidR="00FD64B0">
        <w:rPr>
          <w:noProof/>
        </w:rPr>
        <w:t>3</w:t>
      </w:r>
      <w:r>
        <w:fldChar w:fldCharType="end"/>
      </w:r>
      <w:r>
        <w:t xml:space="preserve"> </w:t>
      </w:r>
      <w:r w:rsidRPr="00C01F65">
        <w:t>provides the typical concentration of indicators and pathogens in raw sewage and stormwater.</w:t>
      </w:r>
      <w:r>
        <w:t xml:space="preserve"> Pathogen loading from animal effluents will be highly variable, depending on the activity and animal involved. </w:t>
      </w:r>
      <w:r w:rsidRPr="00AF40AE">
        <w:t>Microbial risk assessors should be able to account for uncertainties due to analytical methods. When monitoring is required, culture methods are preferred for pathogen analysis</w:t>
      </w:r>
      <w:r>
        <w:t>, although</w:t>
      </w:r>
      <w:r w:rsidRPr="00AF40AE">
        <w:t xml:space="preserve"> th</w:t>
      </w:r>
      <w:r>
        <w:t>ey</w:t>
      </w:r>
      <w:r w:rsidRPr="00AF40AE">
        <w:t xml:space="preserve"> may not always be possible.</w:t>
      </w:r>
    </w:p>
    <w:p w14:paraId="4486AFFF" w14:textId="77777777" w:rsidR="000D0C54" w:rsidRDefault="000D0C54" w:rsidP="000D0C54">
      <w:pPr>
        <w:rPr>
          <w:rFonts w:eastAsia="Times New Roman" w:cs="Arial"/>
          <w:iCs/>
        </w:rPr>
      </w:pPr>
      <w:r w:rsidRPr="00C01F65">
        <w:rPr>
          <w:rFonts w:eastAsia="Times New Roman" w:cs="Arial"/>
          <w:iCs/>
        </w:rPr>
        <w:t xml:space="preserve">Historical data is useful in understanding the raw </w:t>
      </w:r>
      <w:r>
        <w:rPr>
          <w:rFonts w:eastAsia="Times New Roman" w:cs="Arial"/>
          <w:iCs/>
        </w:rPr>
        <w:t>wastewater</w:t>
      </w:r>
      <w:r w:rsidRPr="00C01F65">
        <w:rPr>
          <w:rFonts w:eastAsia="Times New Roman" w:cs="Arial"/>
          <w:iCs/>
        </w:rPr>
        <w:t xml:space="preserve"> characteristics. Data needs to be reviewed over time and after specific events, such as heavy rainfall, particularly for sewerage systems that receive stormwater discharges. </w:t>
      </w:r>
      <w:r w:rsidRPr="00666DF4">
        <w:rPr>
          <w:rFonts w:eastAsia="Times New Roman" w:cs="Arial"/>
          <w:iCs/>
        </w:rPr>
        <w:t xml:space="preserve">However, substantial gaps in datasets are likely, as source water surveillance and monitoring programs are generally not designed to detect any changes in a system that are usually outside the knowledge and control of the </w:t>
      </w:r>
      <w:r>
        <w:rPr>
          <w:rFonts w:eastAsia="Times New Roman" w:cs="Arial"/>
          <w:iCs/>
        </w:rPr>
        <w:t>wastewater treatment plant operator</w:t>
      </w:r>
      <w:r w:rsidRPr="00666DF4">
        <w:rPr>
          <w:rFonts w:eastAsia="Times New Roman" w:cs="Arial"/>
          <w:iCs/>
        </w:rPr>
        <w:t>. These gaps need to be identified. In some cases, generic data (</w:t>
      </w:r>
      <w:r w:rsidRPr="00666DF4">
        <w:rPr>
          <w:rFonts w:cs="Arial"/>
        </w:rPr>
        <w:t>such as</w:t>
      </w:r>
      <w:r w:rsidRPr="00666DF4">
        <w:rPr>
          <w:rFonts w:eastAsia="Times New Roman" w:cs="Arial"/>
          <w:iCs/>
        </w:rPr>
        <w:t xml:space="preserve"> data from other wastewater treatment</w:t>
      </w:r>
      <w:r w:rsidRPr="00C01F65">
        <w:rPr>
          <w:rFonts w:eastAsia="Times New Roman" w:cs="Arial"/>
          <w:iCs/>
        </w:rPr>
        <w:t xml:space="preserve"> plants) can be useful, but such data should be used with care. In many cases, it may be necessary to undertake targeted sampling programs to underpin further assessment of source water quality. </w:t>
      </w:r>
    </w:p>
    <w:p w14:paraId="7E1AAD5D" w14:textId="10F5443D" w:rsidR="000D0C54" w:rsidRDefault="000D0C54" w:rsidP="000D0C54">
      <w:pPr>
        <w:spacing w:after="240"/>
        <w:rPr>
          <w:rFonts w:eastAsia="Times New Roman" w:cs="Arial"/>
          <w:iCs/>
        </w:rPr>
      </w:pPr>
      <w:r w:rsidRPr="00C01F65">
        <w:rPr>
          <w:rFonts w:eastAsia="Times New Roman" w:cs="Arial"/>
          <w:iCs/>
        </w:rPr>
        <w:t>These sampling programs need to consider catchment inputs and potential hazards and hazardous events, as described in</w:t>
      </w:r>
      <w:r>
        <w:rPr>
          <w:rFonts w:eastAsia="Times New Roman" w:cs="Arial"/>
          <w:iCs/>
        </w:rPr>
        <w:t xml:space="preserve"> </w:t>
      </w:r>
      <w:r w:rsidRPr="00C33564">
        <w:rPr>
          <w:rFonts w:eastAsia="Times New Roman" w:cs="Arial"/>
          <w:iCs/>
        </w:rPr>
        <w:fldChar w:fldCharType="begin"/>
      </w:r>
      <w:r w:rsidRPr="00C33564">
        <w:rPr>
          <w:rFonts w:eastAsia="Times New Roman" w:cs="Arial"/>
          <w:iCs/>
        </w:rPr>
        <w:instrText xml:space="preserve"> REF _Ref88289991 \h  \* MERGEFORMAT </w:instrText>
      </w:r>
      <w:r w:rsidRPr="00C33564">
        <w:rPr>
          <w:rFonts w:eastAsia="Times New Roman" w:cs="Arial"/>
          <w:iCs/>
        </w:rPr>
      </w:r>
      <w:r w:rsidRPr="00C33564">
        <w:rPr>
          <w:rFonts w:eastAsia="Times New Roman" w:cs="Arial"/>
          <w:iCs/>
        </w:rPr>
        <w:fldChar w:fldCharType="separate"/>
      </w:r>
      <w:r w:rsidR="00FD64B0" w:rsidRPr="00FD64B0">
        <w:rPr>
          <w:rFonts w:cs="Arial"/>
          <w:iCs/>
        </w:rPr>
        <w:t>Table C4</w:t>
      </w:r>
      <w:r w:rsidRPr="00C33564">
        <w:rPr>
          <w:rFonts w:eastAsia="Times New Roman" w:cs="Arial"/>
          <w:iCs/>
        </w:rPr>
        <w:fldChar w:fldCharType="end"/>
      </w:r>
      <w:r w:rsidRPr="00C01F65">
        <w:rPr>
          <w:rFonts w:eastAsia="Times New Roman" w:cs="Arial"/>
          <w:iCs/>
        </w:rPr>
        <w:t xml:space="preserve">. The type and nature of industries and trade-waste discharges need to be considered for sewage and stormwater systems. </w:t>
      </w:r>
    </w:p>
    <w:p w14:paraId="250850DB" w14:textId="77777777" w:rsidR="00E22F4B" w:rsidRDefault="00E22F4B" w:rsidP="00BC1023"/>
    <w:p w14:paraId="0325BD1B" w14:textId="77777777" w:rsidR="00025B9F" w:rsidRDefault="00025B9F" w:rsidP="00025B9F">
      <w:pPr>
        <w:keepNext/>
        <w:spacing w:after="0"/>
      </w:pPr>
      <w:r>
        <w:rPr>
          <w:rFonts w:ascii="Arial" w:hAnsi="Arial" w:cs="Arial"/>
          <w:i/>
          <w:iCs/>
          <w:noProof/>
        </w:rPr>
        <w:lastRenderedPageBreak/>
        <w:drawing>
          <wp:inline distT="0" distB="0" distL="0" distR="0" wp14:anchorId="4E239179" wp14:editId="56C8423F">
            <wp:extent cx="6367050" cy="4790209"/>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2832" cy="4802083"/>
                    </a:xfrm>
                    <a:prstGeom prst="rect">
                      <a:avLst/>
                    </a:prstGeom>
                    <a:noFill/>
                  </pic:spPr>
                </pic:pic>
              </a:graphicData>
            </a:graphic>
          </wp:inline>
        </w:drawing>
      </w:r>
    </w:p>
    <w:p w14:paraId="4CDF9F5D" w14:textId="555BE5E0" w:rsidR="008F5873" w:rsidRDefault="00025B9F" w:rsidP="00025B9F">
      <w:pPr>
        <w:pStyle w:val="Caption"/>
        <w:rPr>
          <w:rFonts w:ascii="Arial" w:hAnsi="Arial" w:cs="Arial"/>
          <w:i w:val="0"/>
          <w:iCs w:val="0"/>
        </w:rPr>
      </w:pPr>
      <w:bookmarkStart w:id="304" w:name="_Ref132746801"/>
      <w:r>
        <w:t>Figure C</w:t>
      </w:r>
      <w:fldSimple w:instr=" SEQ Figure_C \* ARABIC ">
        <w:r w:rsidR="00FD64B0">
          <w:rPr>
            <w:noProof/>
          </w:rPr>
          <w:t>3</w:t>
        </w:r>
      </w:fldSimple>
      <w:bookmarkEnd w:id="304"/>
      <w:r>
        <w:t xml:space="preserve"> – </w:t>
      </w:r>
      <w:r w:rsidRPr="00B91313">
        <w:t>Schematic diagram of the exposure pathways for a wastewater treatment plant</w:t>
      </w:r>
    </w:p>
    <w:p w14:paraId="516B62A3" w14:textId="77777777" w:rsidR="00E20C20" w:rsidRPr="00E91C86" w:rsidRDefault="00E20C20" w:rsidP="00E91C86">
      <w:pPr>
        <w:spacing w:after="0"/>
        <w:rPr>
          <w:rFonts w:ascii="Arial" w:hAnsi="Arial" w:cs="Arial"/>
          <w:i/>
          <w:iCs/>
        </w:rPr>
      </w:pPr>
    </w:p>
    <w:p w14:paraId="6ACE8E8B" w14:textId="62791A47" w:rsidR="00A5658C" w:rsidRDefault="00A5658C">
      <w:pPr>
        <w:spacing w:after="0"/>
        <w:rPr>
          <w:color w:val="000000" w:themeColor="text1"/>
        </w:rPr>
      </w:pPr>
      <w:r>
        <w:rPr>
          <w:color w:val="000000" w:themeColor="text1"/>
        </w:rPr>
        <w:br w:type="page"/>
      </w:r>
    </w:p>
    <w:p w14:paraId="5AF20A01" w14:textId="256D2ADD" w:rsidR="00B639F5" w:rsidRPr="004B788D" w:rsidRDefault="00C551F8" w:rsidP="00A4665C">
      <w:pPr>
        <w:pStyle w:val="Caption"/>
      </w:pPr>
      <w:bookmarkStart w:id="305" w:name="_Ref88289958"/>
      <w:bookmarkStart w:id="306" w:name="_Toc49812782"/>
      <w:bookmarkStart w:id="307" w:name="_Ref57143763"/>
      <w:bookmarkStart w:id="308" w:name="_Ref88289951"/>
      <w:r w:rsidRPr="004B788D">
        <w:lastRenderedPageBreak/>
        <w:t>Table C</w:t>
      </w:r>
      <w:fldSimple w:instr=" SEQ Table_C \* ARABIC ">
        <w:r w:rsidR="00FD64B0">
          <w:rPr>
            <w:noProof/>
          </w:rPr>
          <w:t>3</w:t>
        </w:r>
      </w:fldSimple>
      <w:bookmarkEnd w:id="305"/>
      <w:r w:rsidRPr="004B788D">
        <w:t xml:space="preserve"> – Typical log-normal concentrations of pathogens and indicators in raw sewage and stormwater</w:t>
      </w:r>
      <w:bookmarkEnd w:id="306"/>
      <w:bookmarkEnd w:id="307"/>
      <w:bookmarkEnd w:id="308"/>
    </w:p>
    <w:tbl>
      <w:tblPr>
        <w:tblStyle w:val="ListTable3-Accent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339"/>
        <w:gridCol w:w="2687"/>
      </w:tblGrid>
      <w:tr w:rsidR="00FC6B04" w:rsidRPr="00695E15" w14:paraId="09C7CE3E" w14:textId="77777777" w:rsidTr="00C551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1" w:type="pct"/>
            <w:tcBorders>
              <w:bottom w:val="none" w:sz="0" w:space="0" w:color="auto"/>
              <w:right w:val="none" w:sz="0" w:space="0" w:color="auto"/>
            </w:tcBorders>
            <w:shd w:val="clear" w:color="auto" w:fill="003F72"/>
          </w:tcPr>
          <w:p w14:paraId="769DED63" w14:textId="77777777" w:rsidR="008F6A57" w:rsidRPr="00695E15" w:rsidRDefault="008F6A57" w:rsidP="00222236">
            <w:pPr>
              <w:pStyle w:val="Tabletext0"/>
            </w:pPr>
            <w:r w:rsidRPr="00695E15">
              <w:t>Microorganism</w:t>
            </w:r>
          </w:p>
        </w:tc>
        <w:tc>
          <w:tcPr>
            <w:tcW w:w="1684" w:type="pct"/>
            <w:shd w:val="clear" w:color="auto" w:fill="003F72"/>
          </w:tcPr>
          <w:p w14:paraId="23A8D76B"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Raw sewage</w:t>
            </w:r>
          </w:p>
          <w:p w14:paraId="1F5CDF71"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(org/100 ml)</w:t>
            </w:r>
          </w:p>
        </w:tc>
        <w:tc>
          <w:tcPr>
            <w:tcW w:w="1355" w:type="pct"/>
            <w:shd w:val="clear" w:color="auto" w:fill="003F72"/>
          </w:tcPr>
          <w:p w14:paraId="5D276D71" w14:textId="77777777" w:rsidR="00FC6B04" w:rsidRDefault="008F6A57" w:rsidP="00222236">
            <w:pPr>
              <w:pStyle w:val="Tabletext0"/>
              <w:cnfStyle w:val="100000000000" w:firstRow="1" w:lastRow="0" w:firstColumn="0" w:lastColumn="0" w:oddVBand="0" w:evenVBand="0" w:oddHBand="0" w:evenHBand="0" w:firstRowFirstColumn="0" w:firstRowLastColumn="0" w:lastRowFirstColumn="0" w:lastRowLastColumn="0"/>
            </w:pPr>
            <w:r w:rsidRPr="00695E15">
              <w:t>Raw stormwater</w:t>
            </w:r>
          </w:p>
          <w:p w14:paraId="48F4B509" w14:textId="4C9E7200" w:rsidR="008F6A57" w:rsidRPr="00695E15" w:rsidRDefault="0C590503"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10077A7C">
              <w:t>(</w:t>
            </w:r>
            <w:bookmarkStart w:id="309" w:name="_Int_nXjNTxFS"/>
            <w:r w:rsidRPr="10077A7C">
              <w:t>urban</w:t>
            </w:r>
            <w:bookmarkEnd w:id="309"/>
            <w:r w:rsidRPr="10077A7C">
              <w:t xml:space="preserve"> catchment)</w:t>
            </w:r>
          </w:p>
          <w:p w14:paraId="6ED202F1"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(org/100 ml)</w:t>
            </w:r>
          </w:p>
        </w:tc>
      </w:tr>
      <w:tr w:rsidR="008F6A57" w:rsidRPr="00695E15" w14:paraId="2B1F4267"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513FC935" w14:textId="77777777" w:rsidR="008F6A57" w:rsidRPr="00695E15" w:rsidRDefault="008F6A57" w:rsidP="00222236">
            <w:pPr>
              <w:pStyle w:val="Tabletext0"/>
              <w:rPr>
                <w:i/>
              </w:rPr>
            </w:pPr>
            <w:r w:rsidRPr="00695E15">
              <w:t>Bacteria</w:t>
            </w:r>
          </w:p>
        </w:tc>
        <w:tc>
          <w:tcPr>
            <w:tcW w:w="1684" w:type="pct"/>
          </w:tcPr>
          <w:p w14:paraId="1716E84C" w14:textId="77777777" w:rsidR="008F6A57" w:rsidRPr="00695E15" w:rsidRDefault="008F6A5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64DA709E" w14:textId="77777777" w:rsidR="008F6A57" w:rsidRPr="00695E15" w:rsidRDefault="008F6A5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05B2291A" w14:textId="77777777" w:rsidTr="00C551F8">
        <w:trPr>
          <w:trHeight w:val="1292"/>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273A5692" w14:textId="77777777" w:rsidR="00315A07" w:rsidRPr="00315A07" w:rsidRDefault="00315A07" w:rsidP="00222236">
            <w:pPr>
              <w:pStyle w:val="Tabletext0"/>
              <w:rPr>
                <w:b w:val="0"/>
                <w:bCs w:val="0"/>
                <w:i/>
                <w:lang w:val="fr-FR"/>
              </w:rPr>
            </w:pPr>
            <w:r w:rsidRPr="00315A07">
              <w:rPr>
                <w:b w:val="0"/>
                <w:bCs w:val="0"/>
                <w:i/>
                <w:lang w:val="fr-FR"/>
              </w:rPr>
              <w:t>Salmonella</w:t>
            </w:r>
          </w:p>
          <w:p w14:paraId="0417EC98" w14:textId="77777777" w:rsidR="00315A07" w:rsidRPr="00315A07" w:rsidRDefault="00315A07" w:rsidP="00222236">
            <w:pPr>
              <w:pStyle w:val="Tabletext0"/>
              <w:rPr>
                <w:b w:val="0"/>
                <w:bCs w:val="0"/>
                <w:i/>
                <w:lang w:val="fr-FR"/>
              </w:rPr>
            </w:pPr>
            <w:r w:rsidRPr="00315A07">
              <w:rPr>
                <w:b w:val="0"/>
                <w:bCs w:val="0"/>
                <w:i/>
                <w:lang w:val="fr-FR"/>
              </w:rPr>
              <w:t>Clostridium perfringens</w:t>
            </w:r>
          </w:p>
          <w:p w14:paraId="24DC369F" w14:textId="77777777" w:rsidR="00315A07" w:rsidRPr="00315A07" w:rsidRDefault="00315A07" w:rsidP="00222236">
            <w:pPr>
              <w:pStyle w:val="Tabletext0"/>
              <w:rPr>
                <w:b w:val="0"/>
                <w:bCs w:val="0"/>
                <w:i/>
                <w:lang w:val="fr-FR"/>
              </w:rPr>
            </w:pPr>
            <w:r w:rsidRPr="00315A07">
              <w:rPr>
                <w:b w:val="0"/>
                <w:bCs w:val="0"/>
                <w:i/>
                <w:lang w:val="fr-FR"/>
              </w:rPr>
              <w:t>Campylobacter</w:t>
            </w:r>
          </w:p>
          <w:p w14:paraId="2F283C77" w14:textId="77777777" w:rsidR="00315A07" w:rsidRPr="00315A07" w:rsidRDefault="00315A07" w:rsidP="00222236">
            <w:pPr>
              <w:pStyle w:val="Tabletext0"/>
              <w:rPr>
                <w:b w:val="0"/>
                <w:bCs w:val="0"/>
                <w:i/>
                <w:lang w:val="fr-FR"/>
              </w:rPr>
            </w:pPr>
            <w:r w:rsidRPr="00315A07">
              <w:rPr>
                <w:b w:val="0"/>
                <w:bCs w:val="0"/>
                <w:i/>
                <w:lang w:val="fr-FR"/>
              </w:rPr>
              <w:t>Shigella</w:t>
            </w:r>
          </w:p>
          <w:p w14:paraId="35A47EBE" w14:textId="77777777" w:rsidR="00315A07" w:rsidRPr="00315A07" w:rsidRDefault="00315A07" w:rsidP="00222236">
            <w:pPr>
              <w:pStyle w:val="Tabletext0"/>
              <w:rPr>
                <w:b w:val="0"/>
                <w:bCs w:val="0"/>
                <w:i/>
                <w:lang w:val="fr-FR"/>
              </w:rPr>
            </w:pPr>
            <w:r w:rsidRPr="00315A07">
              <w:rPr>
                <w:b w:val="0"/>
                <w:bCs w:val="0"/>
                <w:i/>
                <w:lang w:val="fr-FR"/>
              </w:rPr>
              <w:t xml:space="preserve">E. coli </w:t>
            </w:r>
            <w:r w:rsidRPr="00315A07">
              <w:rPr>
                <w:b w:val="0"/>
                <w:bCs w:val="0"/>
                <w:iCs/>
                <w:lang w:val="fr-FR"/>
              </w:rPr>
              <w:t>(indicator*)</w:t>
            </w:r>
          </w:p>
          <w:p w14:paraId="3085D44B" w14:textId="7B0953F3" w:rsidR="00315A07" w:rsidRPr="00140BBE" w:rsidRDefault="00315A07" w:rsidP="00222236">
            <w:pPr>
              <w:pStyle w:val="Tabletext0"/>
              <w:rPr>
                <w:i/>
                <w:highlight w:val="yellow"/>
                <w:lang w:val="fr-FR"/>
              </w:rPr>
            </w:pPr>
            <w:r w:rsidRPr="00315A07">
              <w:rPr>
                <w:b w:val="0"/>
                <w:bCs w:val="0"/>
                <w:iCs/>
                <w:lang w:val="fr-FR"/>
              </w:rPr>
              <w:t>Enterococci (indicator)</w:t>
            </w:r>
          </w:p>
        </w:tc>
        <w:tc>
          <w:tcPr>
            <w:tcW w:w="1684" w:type="pct"/>
          </w:tcPr>
          <w:p w14:paraId="69698105"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0F87976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3</w:t>
            </w:r>
            <w:r w:rsidRPr="00315A07">
              <w:t>–10</w:t>
            </w:r>
            <w:r w:rsidRPr="00315A07">
              <w:rPr>
                <w:vertAlign w:val="superscript"/>
              </w:rPr>
              <w:t>5</w:t>
            </w:r>
          </w:p>
          <w:p w14:paraId="5FC80430"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17558101"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3</w:t>
            </w:r>
          </w:p>
          <w:p w14:paraId="4642B57E"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4</w:t>
            </w:r>
            <w:r w:rsidRPr="00315A07">
              <w:t>–10</w:t>
            </w:r>
            <w:r w:rsidRPr="00315A07">
              <w:rPr>
                <w:vertAlign w:val="superscript"/>
              </w:rPr>
              <w:t>9</w:t>
            </w:r>
          </w:p>
          <w:p w14:paraId="792EEE14" w14:textId="08396A1C"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5</w:t>
            </w:r>
            <w:r w:rsidRPr="00315A07">
              <w:t>-10</w:t>
            </w:r>
            <w:r w:rsidRPr="00315A07">
              <w:rPr>
                <w:vertAlign w:val="superscript"/>
              </w:rPr>
              <w:t>6</w:t>
            </w:r>
          </w:p>
        </w:tc>
        <w:tc>
          <w:tcPr>
            <w:tcW w:w="1355" w:type="pct"/>
          </w:tcPr>
          <w:p w14:paraId="187071CD"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2CCA74C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2</w:t>
            </w:r>
            <w:r w:rsidRPr="00695E15">
              <w:t>–10</w:t>
            </w:r>
            <w:r w:rsidRPr="00695E15">
              <w:rPr>
                <w:vertAlign w:val="superscript"/>
              </w:rPr>
              <w:t>3.3</w:t>
            </w:r>
          </w:p>
          <w:p w14:paraId="6DEDDB30"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0</w:t>
            </w:r>
            <w:r w:rsidRPr="00695E15">
              <w:t>–10</w:t>
            </w:r>
            <w:r w:rsidRPr="00695E15">
              <w:rPr>
                <w:vertAlign w:val="superscript"/>
              </w:rPr>
              <w:t>0.7</w:t>
            </w:r>
          </w:p>
          <w:p w14:paraId="58FEC0CA"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036E51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3.6</w:t>
            </w:r>
            <w:r w:rsidRPr="00695E15">
              <w:t>–10</w:t>
            </w:r>
            <w:r w:rsidRPr="00695E15">
              <w:rPr>
                <w:vertAlign w:val="superscript"/>
              </w:rPr>
              <w:t>5.2</w:t>
            </w:r>
          </w:p>
          <w:p w14:paraId="14FE954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3.2</w:t>
            </w:r>
            <w:r w:rsidRPr="00695E15">
              <w:t>–10</w:t>
            </w:r>
            <w:r w:rsidRPr="00695E15">
              <w:rPr>
                <w:vertAlign w:val="superscript"/>
              </w:rPr>
              <w:t>4.5</w:t>
            </w:r>
          </w:p>
        </w:tc>
      </w:tr>
      <w:tr w:rsidR="00315A07" w:rsidRPr="00695E15" w14:paraId="6B7CB0DC"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1EDF8F88" w14:textId="04367E27" w:rsidR="00315A07" w:rsidRPr="00315A07" w:rsidRDefault="00315A07" w:rsidP="00222236">
            <w:pPr>
              <w:pStyle w:val="Tabletext0"/>
              <w:rPr>
                <w:i/>
              </w:rPr>
            </w:pPr>
            <w:r w:rsidRPr="00315A07">
              <w:t>Viruses</w:t>
            </w:r>
          </w:p>
        </w:tc>
        <w:tc>
          <w:tcPr>
            <w:tcW w:w="1684" w:type="pct"/>
          </w:tcPr>
          <w:p w14:paraId="01921A05" w14:textId="77777777"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5CFCDB7A"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22B9B3FA" w14:textId="77777777" w:rsidTr="00C551F8">
        <w:trPr>
          <w:trHeight w:val="118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399242A9" w14:textId="77777777" w:rsidR="00315A07" w:rsidRPr="00315A07" w:rsidRDefault="00315A07" w:rsidP="00222236">
            <w:pPr>
              <w:pStyle w:val="Tabletext0"/>
              <w:rPr>
                <w:b w:val="0"/>
                <w:bCs w:val="0"/>
                <w:i/>
              </w:rPr>
            </w:pPr>
            <w:r w:rsidRPr="00315A07">
              <w:rPr>
                <w:b w:val="0"/>
                <w:bCs w:val="0"/>
              </w:rPr>
              <w:t>Enteroviruses</w:t>
            </w:r>
          </w:p>
          <w:p w14:paraId="3B14127B" w14:textId="77777777" w:rsidR="00315A07" w:rsidRPr="00315A07" w:rsidRDefault="00315A07" w:rsidP="00222236">
            <w:pPr>
              <w:pStyle w:val="Tabletext0"/>
              <w:rPr>
                <w:b w:val="0"/>
                <w:bCs w:val="0"/>
                <w:i/>
              </w:rPr>
            </w:pPr>
            <w:r w:rsidRPr="00315A07">
              <w:rPr>
                <w:b w:val="0"/>
                <w:bCs w:val="0"/>
              </w:rPr>
              <w:t>Adenoviruses</w:t>
            </w:r>
          </w:p>
          <w:p w14:paraId="0C15BE4C" w14:textId="77777777" w:rsidR="00315A07" w:rsidRPr="00315A07" w:rsidRDefault="00315A07" w:rsidP="00222236">
            <w:pPr>
              <w:pStyle w:val="Tabletext0"/>
              <w:rPr>
                <w:b w:val="0"/>
                <w:bCs w:val="0"/>
                <w:i/>
              </w:rPr>
            </w:pPr>
            <w:r w:rsidRPr="00315A07">
              <w:rPr>
                <w:b w:val="0"/>
                <w:bCs w:val="0"/>
              </w:rPr>
              <w:t>Noroviruses</w:t>
            </w:r>
          </w:p>
          <w:p w14:paraId="39321345" w14:textId="77777777" w:rsidR="00315A07" w:rsidRPr="00315A07" w:rsidRDefault="00315A07" w:rsidP="00222236">
            <w:pPr>
              <w:pStyle w:val="Tabletext0"/>
              <w:rPr>
                <w:b w:val="0"/>
                <w:bCs w:val="0"/>
                <w:i/>
              </w:rPr>
            </w:pPr>
            <w:r w:rsidRPr="00315A07">
              <w:rPr>
                <w:b w:val="0"/>
                <w:bCs w:val="0"/>
              </w:rPr>
              <w:t>Rotaviruses</w:t>
            </w:r>
          </w:p>
          <w:p w14:paraId="511A179B" w14:textId="77777777" w:rsidR="00315A07" w:rsidRPr="00315A07" w:rsidRDefault="00315A07" w:rsidP="00222236">
            <w:pPr>
              <w:pStyle w:val="Tabletext0"/>
              <w:rPr>
                <w:b w:val="0"/>
                <w:bCs w:val="0"/>
              </w:rPr>
            </w:pPr>
            <w:r w:rsidRPr="00315A07">
              <w:rPr>
                <w:b w:val="0"/>
                <w:bCs w:val="0"/>
              </w:rPr>
              <w:t>Somatic coliphages (indicator)</w:t>
            </w:r>
          </w:p>
          <w:p w14:paraId="10AA78B0" w14:textId="71087178" w:rsidR="00315A07" w:rsidRPr="00315A07" w:rsidRDefault="00315A07" w:rsidP="00222236">
            <w:pPr>
              <w:pStyle w:val="Tabletext0"/>
              <w:rPr>
                <w:i/>
              </w:rPr>
            </w:pPr>
            <w:r w:rsidRPr="00315A07">
              <w:rPr>
                <w:b w:val="0"/>
                <w:bCs w:val="0"/>
              </w:rPr>
              <w:t>F-RNA coliphages (indicator)</w:t>
            </w:r>
          </w:p>
        </w:tc>
        <w:tc>
          <w:tcPr>
            <w:tcW w:w="1684" w:type="pct"/>
          </w:tcPr>
          <w:p w14:paraId="1DA864A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5</w:t>
            </w:r>
          </w:p>
          <w:p w14:paraId="602A2226"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3</w:t>
            </w:r>
          </w:p>
          <w:p w14:paraId="4B6CF095"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5</w:t>
            </w:r>
          </w:p>
          <w:p w14:paraId="2D5669BC"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rPr>
                <w:vertAlign w:val="superscript"/>
              </w:rPr>
            </w:pPr>
            <w:r w:rsidRPr="00315A07">
              <w:t>&lt;1–10</w:t>
            </w:r>
            <w:r w:rsidRPr="00315A07">
              <w:rPr>
                <w:vertAlign w:val="superscript"/>
              </w:rPr>
              <w:t>4</w:t>
            </w:r>
          </w:p>
          <w:p w14:paraId="67231076"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rPr>
                <w:vertAlign w:val="superscript"/>
              </w:rPr>
            </w:pPr>
            <w:r w:rsidRPr="00315A07">
              <w:t>&lt;1–10</w:t>
            </w:r>
            <w:r w:rsidRPr="00315A07">
              <w:rPr>
                <w:vertAlign w:val="superscript"/>
              </w:rPr>
              <w:t>8</w:t>
            </w:r>
          </w:p>
          <w:p w14:paraId="254F391F" w14:textId="473B5D6D"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6</w:t>
            </w:r>
          </w:p>
        </w:tc>
        <w:tc>
          <w:tcPr>
            <w:tcW w:w="1355" w:type="pct"/>
          </w:tcPr>
          <w:p w14:paraId="6B4F2EDA"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57C5642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AA0B2F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11FDA1E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A396A18"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17A7FDA0"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3.1</w:t>
            </w:r>
            <w:r w:rsidRPr="00695E15">
              <w:t>–10</w:t>
            </w:r>
            <w:r w:rsidRPr="00695E15">
              <w:rPr>
                <w:vertAlign w:val="superscript"/>
              </w:rPr>
              <w:t>4.7</w:t>
            </w:r>
          </w:p>
        </w:tc>
      </w:tr>
      <w:tr w:rsidR="00315A07" w:rsidRPr="00695E15" w14:paraId="5BFA0112"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493A30EC" w14:textId="6BF5F277" w:rsidR="00315A07" w:rsidRPr="00315A07" w:rsidRDefault="00315A07" w:rsidP="00222236">
            <w:pPr>
              <w:pStyle w:val="Tabletext0"/>
              <w:rPr>
                <w:i/>
              </w:rPr>
            </w:pPr>
            <w:r w:rsidRPr="00315A07">
              <w:t>Protozoa and helminths</w:t>
            </w:r>
          </w:p>
        </w:tc>
        <w:tc>
          <w:tcPr>
            <w:tcW w:w="1684" w:type="pct"/>
          </w:tcPr>
          <w:p w14:paraId="5873A2ED" w14:textId="77777777"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673E4C17"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776BEA0D" w14:textId="77777777" w:rsidTr="00C551F8">
        <w:trPr>
          <w:trHeight w:val="424"/>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5563B265" w14:textId="77777777" w:rsidR="00315A07" w:rsidRPr="00315A07" w:rsidRDefault="00315A07" w:rsidP="00222236">
            <w:pPr>
              <w:pStyle w:val="Tabletext0"/>
              <w:rPr>
                <w:b w:val="0"/>
                <w:bCs w:val="0"/>
                <w:i/>
              </w:rPr>
            </w:pPr>
            <w:r w:rsidRPr="00315A07">
              <w:rPr>
                <w:b w:val="0"/>
                <w:bCs w:val="0"/>
                <w:i/>
              </w:rPr>
              <w:t>Cryptosporidium</w:t>
            </w:r>
          </w:p>
          <w:p w14:paraId="481819D5" w14:textId="6CBFAD92" w:rsidR="00315A07" w:rsidRPr="00315A07" w:rsidRDefault="00315A07" w:rsidP="00222236">
            <w:pPr>
              <w:pStyle w:val="Tabletext0"/>
              <w:rPr>
                <w:b w:val="0"/>
                <w:bCs w:val="0"/>
                <w:i/>
              </w:rPr>
            </w:pPr>
            <w:r w:rsidRPr="00315A07">
              <w:rPr>
                <w:b w:val="0"/>
                <w:bCs w:val="0"/>
                <w:i/>
              </w:rPr>
              <w:t>Giardia</w:t>
            </w:r>
          </w:p>
        </w:tc>
        <w:tc>
          <w:tcPr>
            <w:tcW w:w="1684" w:type="pct"/>
          </w:tcPr>
          <w:p w14:paraId="4B7C014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2B9E4C07" w14:textId="6F49E319"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tc>
        <w:tc>
          <w:tcPr>
            <w:tcW w:w="1355" w:type="pct"/>
          </w:tcPr>
          <w:p w14:paraId="72D7683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-0.9</w:t>
            </w:r>
            <w:r w:rsidRPr="00695E15">
              <w:t>–10</w:t>
            </w:r>
            <w:r w:rsidRPr="00695E15">
              <w:rPr>
                <w:vertAlign w:val="superscript"/>
              </w:rPr>
              <w:t>0.7</w:t>
            </w:r>
          </w:p>
          <w:p w14:paraId="4CC68868"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-2.9</w:t>
            </w:r>
            <w:r w:rsidRPr="00695E15">
              <w:t>–10</w:t>
            </w:r>
            <w:r w:rsidRPr="00695E15">
              <w:rPr>
                <w:vertAlign w:val="superscript"/>
              </w:rPr>
              <w:t>-2.2</w:t>
            </w:r>
          </w:p>
        </w:tc>
      </w:tr>
      <w:tr w:rsidR="00315A07" w:rsidRPr="00695E15" w14:paraId="0D0F5C49"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top w:val="none" w:sz="0" w:space="0" w:color="auto"/>
              <w:bottom w:val="none" w:sz="0" w:space="0" w:color="auto"/>
              <w:right w:val="none" w:sz="0" w:space="0" w:color="auto"/>
            </w:tcBorders>
          </w:tcPr>
          <w:p w14:paraId="01FEE0A0" w14:textId="1072B4ED" w:rsidR="00315A07" w:rsidRPr="00315A07" w:rsidRDefault="00315A07" w:rsidP="00222236">
            <w:pPr>
              <w:pStyle w:val="Tabletext0"/>
              <w:rPr>
                <w:i/>
              </w:rPr>
            </w:pPr>
            <w:r w:rsidRPr="00315A07">
              <w:t>Helminth ova</w:t>
            </w:r>
          </w:p>
        </w:tc>
        <w:tc>
          <w:tcPr>
            <w:tcW w:w="1684" w:type="pct"/>
            <w:tcBorders>
              <w:top w:val="none" w:sz="0" w:space="0" w:color="auto"/>
              <w:bottom w:val="none" w:sz="0" w:space="0" w:color="auto"/>
            </w:tcBorders>
          </w:tcPr>
          <w:p w14:paraId="29FBFCD2" w14:textId="009A1BEA"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r w:rsidRPr="00315A07">
              <w:t>0–10</w:t>
            </w:r>
          </w:p>
        </w:tc>
        <w:tc>
          <w:tcPr>
            <w:tcW w:w="1355" w:type="pct"/>
            <w:tcBorders>
              <w:top w:val="none" w:sz="0" w:space="0" w:color="auto"/>
              <w:bottom w:val="none" w:sz="0" w:space="0" w:color="auto"/>
            </w:tcBorders>
          </w:tcPr>
          <w:p w14:paraId="431EBB97"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bl>
    <w:p w14:paraId="02810CFE" w14:textId="77777777" w:rsidR="00C551F8" w:rsidRPr="00C551F8" w:rsidRDefault="00C551F8" w:rsidP="00C551F8">
      <w:pPr>
        <w:pStyle w:val="Tablenotes"/>
      </w:pPr>
      <w:r w:rsidRPr="00C551F8">
        <w:t xml:space="preserve">*Most </w:t>
      </w:r>
      <w:r w:rsidRPr="00C551F8">
        <w:rPr>
          <w:i/>
          <w:iCs/>
        </w:rPr>
        <w:t>E. coli</w:t>
      </w:r>
      <w:r w:rsidRPr="00C551F8">
        <w:t xml:space="preserve"> are not pathogenic. Nonetheless, attention should be paid to the presence of pathogenic </w:t>
      </w:r>
      <w:r w:rsidRPr="00C551F8">
        <w:rPr>
          <w:i/>
          <w:iCs/>
        </w:rPr>
        <w:t xml:space="preserve">E. coli </w:t>
      </w:r>
      <w:r w:rsidRPr="00C551F8">
        <w:t>when wastewater contains animal effluents.</w:t>
      </w:r>
    </w:p>
    <w:p w14:paraId="1892E55B" w14:textId="2BDC1962" w:rsidR="00E31A83" w:rsidRDefault="00C551F8" w:rsidP="00C551F8">
      <w:pPr>
        <w:pStyle w:val="Tablenotes"/>
      </w:pPr>
      <w:r w:rsidRPr="00C551F8">
        <w:rPr>
          <w:lang w:val="fr-FR"/>
        </w:rPr>
        <w:t xml:space="preserve">Sources: Bitton (1999); Faechem et al. </w:t>
      </w:r>
      <w:r w:rsidRPr="00C551F8">
        <w:t>(1983); Geldreich (1990); NRC (1996); Navarro and Jiménez (2011); Soller et al. (2016); Deere and Khan (2016).</w:t>
      </w:r>
    </w:p>
    <w:p w14:paraId="3EC75424" w14:textId="4C5ADF86" w:rsidR="00222236" w:rsidRDefault="00222236" w:rsidP="00211B87">
      <w:r>
        <w:br w:type="page"/>
      </w:r>
    </w:p>
    <w:p w14:paraId="553DF0D9" w14:textId="77777777" w:rsidR="00C551F8" w:rsidRDefault="00C551F8" w:rsidP="00211B87"/>
    <w:p w14:paraId="4F734D7F" w14:textId="1F02CF51" w:rsidR="00C551F8" w:rsidRDefault="00C551F8" w:rsidP="00A4665C">
      <w:pPr>
        <w:pStyle w:val="Caption"/>
        <w:keepNext/>
        <w:keepLines/>
        <w:rPr>
          <w:rFonts w:ascii="Arial" w:eastAsia="Times New Roman" w:hAnsi="Arial" w:cs="Arial"/>
        </w:rPr>
      </w:pPr>
      <w:bookmarkStart w:id="310" w:name="_Ref9422638"/>
      <w:bookmarkStart w:id="311" w:name="_Ref88289991"/>
      <w:bookmarkStart w:id="312" w:name="_Toc49812783"/>
      <w:bookmarkStart w:id="313" w:name="_Ref57143832"/>
      <w:r w:rsidRPr="004B788D">
        <w:t>Table C</w:t>
      </w:r>
      <w:bookmarkEnd w:id="310"/>
      <w:r w:rsidR="00901A1D">
        <w:fldChar w:fldCharType="begin"/>
      </w:r>
      <w:r w:rsidR="00901A1D">
        <w:instrText xml:space="preserve"> SEQ Table_C \* ARABIC </w:instrText>
      </w:r>
      <w:r w:rsidR="00901A1D">
        <w:fldChar w:fldCharType="separate"/>
      </w:r>
      <w:r w:rsidR="00FD64B0">
        <w:rPr>
          <w:noProof/>
        </w:rPr>
        <w:t>4</w:t>
      </w:r>
      <w:r w:rsidR="00901A1D">
        <w:fldChar w:fldCharType="end"/>
      </w:r>
      <w:bookmarkEnd w:id="311"/>
      <w:r w:rsidRPr="004B788D">
        <w:t xml:space="preserve"> – Examples of potential hazardous events</w:t>
      </w:r>
      <w:bookmarkEnd w:id="312"/>
      <w:bookmarkEnd w:id="313"/>
    </w:p>
    <w:tbl>
      <w:tblPr>
        <w:tblStyle w:val="ListTable3-Accent1"/>
        <w:tblW w:w="48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4835"/>
      </w:tblGrid>
      <w:tr w:rsidR="003F0327" w:rsidRPr="003F0327" w14:paraId="6CD3BF29" w14:textId="77777777" w:rsidTr="009B61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4" w:type="pct"/>
            <w:tcBorders>
              <w:bottom w:val="none" w:sz="0" w:space="0" w:color="auto"/>
              <w:right w:val="none" w:sz="0" w:space="0" w:color="auto"/>
            </w:tcBorders>
            <w:shd w:val="clear" w:color="auto" w:fill="003F72"/>
          </w:tcPr>
          <w:p w14:paraId="744838BA" w14:textId="77777777" w:rsidR="003F0327" w:rsidRPr="003F0327" w:rsidRDefault="003F0327" w:rsidP="00222236">
            <w:pPr>
              <w:pStyle w:val="Tabletext0"/>
            </w:pPr>
            <w:r w:rsidRPr="003F0327">
              <w:t xml:space="preserve">Stormwater </w:t>
            </w:r>
          </w:p>
        </w:tc>
        <w:tc>
          <w:tcPr>
            <w:tcW w:w="2436" w:type="pct"/>
            <w:shd w:val="clear" w:color="auto" w:fill="003F72"/>
          </w:tcPr>
          <w:p w14:paraId="11B52186" w14:textId="77777777" w:rsidR="003F0327" w:rsidRPr="003F0327" w:rsidRDefault="003F0327" w:rsidP="00222236">
            <w:pPr>
              <w:pStyle w:val="Tabletext0"/>
              <w:cnfStyle w:val="100000000000" w:firstRow="1" w:lastRow="0" w:firstColumn="0" w:lastColumn="0" w:oddVBand="0" w:evenVBand="0" w:oddHBand="0" w:evenHBand="0" w:firstRowFirstColumn="0" w:firstRowLastColumn="0" w:lastRowFirstColumn="0" w:lastRowLastColumn="0"/>
            </w:pPr>
            <w:r w:rsidRPr="003F0327">
              <w:t>Sewerage systems</w:t>
            </w:r>
          </w:p>
        </w:tc>
      </w:tr>
      <w:tr w:rsidR="003F0327" w:rsidRPr="003F0327" w14:paraId="7C0CA39B" w14:textId="77777777" w:rsidTr="009B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tcBorders>
              <w:bottom w:val="single" w:sz="4" w:space="0" w:color="auto"/>
              <w:right w:val="none" w:sz="0" w:space="0" w:color="auto"/>
            </w:tcBorders>
          </w:tcPr>
          <w:p w14:paraId="7F4BD9F0" w14:textId="613EC624" w:rsidR="00D15C60" w:rsidRPr="00222236" w:rsidRDefault="003F0327" w:rsidP="00222236">
            <w:pPr>
              <w:pStyle w:val="Tabletext0"/>
              <w:rPr>
                <w:b w:val="0"/>
                <w:bCs w:val="0"/>
              </w:rPr>
            </w:pPr>
            <w:r w:rsidRPr="00222236">
              <w:rPr>
                <w:b w:val="0"/>
                <w:bCs w:val="0"/>
              </w:rPr>
              <w:t>Sewage overflows and septic system discharges</w:t>
            </w:r>
            <w:r w:rsidR="00BC0110" w:rsidRPr="00222236">
              <w:rPr>
                <w:b w:val="0"/>
                <w:bCs w:val="0"/>
              </w:rPr>
              <w:t>.</w:t>
            </w:r>
          </w:p>
          <w:p w14:paraId="2E5F532F" w14:textId="40442A85" w:rsidR="00D15C60" w:rsidRPr="00222236" w:rsidRDefault="003F0327" w:rsidP="00222236">
            <w:pPr>
              <w:pStyle w:val="Tabletext0"/>
              <w:rPr>
                <w:b w:val="0"/>
                <w:bCs w:val="0"/>
              </w:rPr>
            </w:pPr>
            <w:r w:rsidRPr="00222236">
              <w:rPr>
                <w:b w:val="0"/>
                <w:bCs w:val="0"/>
              </w:rPr>
              <w:t>Entry of livestock waste</w:t>
            </w:r>
            <w:r w:rsidR="00BC0110" w:rsidRPr="00222236">
              <w:rPr>
                <w:b w:val="0"/>
                <w:bCs w:val="0"/>
              </w:rPr>
              <w:t>.</w:t>
            </w:r>
          </w:p>
          <w:p w14:paraId="7CEF2AE8" w14:textId="122014A6" w:rsidR="00D15C60" w:rsidRPr="00222236" w:rsidRDefault="003F0327" w:rsidP="00222236">
            <w:pPr>
              <w:pStyle w:val="Tabletext0"/>
              <w:rPr>
                <w:b w:val="0"/>
                <w:bCs w:val="0"/>
              </w:rPr>
            </w:pPr>
            <w:r w:rsidRPr="00222236">
              <w:rPr>
                <w:b w:val="0"/>
                <w:bCs w:val="0"/>
              </w:rPr>
              <w:t>Climatic and seasonal variations (such as heavy rainfall, drought)</w:t>
            </w:r>
            <w:r w:rsidR="00BC0110" w:rsidRPr="00222236">
              <w:rPr>
                <w:b w:val="0"/>
                <w:bCs w:val="0"/>
              </w:rPr>
              <w:t>.</w:t>
            </w:r>
          </w:p>
          <w:p w14:paraId="01EE6619" w14:textId="73C4E018" w:rsidR="00D15C60" w:rsidRPr="00222236" w:rsidRDefault="003F0327" w:rsidP="00222236">
            <w:pPr>
              <w:pStyle w:val="Tabletext0"/>
              <w:rPr>
                <w:b w:val="0"/>
                <w:bCs w:val="0"/>
              </w:rPr>
            </w:pPr>
            <w:r w:rsidRPr="00222236">
              <w:rPr>
                <w:b w:val="0"/>
                <w:bCs w:val="0"/>
              </w:rPr>
              <w:t>Industrial discharges</w:t>
            </w:r>
            <w:r w:rsidR="00BC0110" w:rsidRPr="00222236">
              <w:rPr>
                <w:b w:val="0"/>
                <w:bCs w:val="0"/>
              </w:rPr>
              <w:t>.</w:t>
            </w:r>
          </w:p>
          <w:p w14:paraId="1D8ED526" w14:textId="62D5F6F9" w:rsidR="00D15C60" w:rsidRPr="00222236" w:rsidRDefault="003F0327" w:rsidP="00222236">
            <w:pPr>
              <w:pStyle w:val="Tabletext0"/>
              <w:rPr>
                <w:b w:val="0"/>
                <w:bCs w:val="0"/>
              </w:rPr>
            </w:pPr>
            <w:r w:rsidRPr="00222236">
              <w:rPr>
                <w:b w:val="0"/>
                <w:bCs w:val="0"/>
              </w:rPr>
              <w:t>Major fires, flooding, natural disasters, sabotage</w:t>
            </w:r>
            <w:r w:rsidR="00BC0110" w:rsidRPr="00222236">
              <w:rPr>
                <w:b w:val="0"/>
                <w:bCs w:val="0"/>
              </w:rPr>
              <w:t>.</w:t>
            </w:r>
          </w:p>
          <w:p w14:paraId="28E106FF" w14:textId="45708AD8" w:rsidR="00D15C60" w:rsidRPr="00222236" w:rsidRDefault="003F0327" w:rsidP="00222236">
            <w:pPr>
              <w:pStyle w:val="Tabletext0"/>
              <w:rPr>
                <w:b w:val="0"/>
                <w:bCs w:val="0"/>
              </w:rPr>
            </w:pPr>
            <w:r w:rsidRPr="00222236">
              <w:rPr>
                <w:b w:val="0"/>
                <w:bCs w:val="0"/>
              </w:rPr>
              <w:t>Accidental spills or discharge</w:t>
            </w:r>
            <w:r w:rsidR="00BC0110" w:rsidRPr="00222236">
              <w:rPr>
                <w:b w:val="0"/>
                <w:bCs w:val="0"/>
              </w:rPr>
              <w:t>.</w:t>
            </w:r>
          </w:p>
          <w:p w14:paraId="4D87DF4A" w14:textId="098B58E3" w:rsidR="00D15C60" w:rsidRPr="00222236" w:rsidRDefault="003F0327" w:rsidP="00222236">
            <w:pPr>
              <w:pStyle w:val="Tabletext0"/>
              <w:rPr>
                <w:b w:val="0"/>
                <w:bCs w:val="0"/>
              </w:rPr>
            </w:pPr>
            <w:r w:rsidRPr="00222236">
              <w:rPr>
                <w:b w:val="0"/>
                <w:bCs w:val="0"/>
              </w:rPr>
              <w:t>Leaching from existing or historical waste disposal (such as landfill) or mining sites; or from contaminated sites or hazardous wastes</w:t>
            </w:r>
            <w:r w:rsidR="00BC0110" w:rsidRPr="00222236">
              <w:rPr>
                <w:b w:val="0"/>
                <w:bCs w:val="0"/>
              </w:rPr>
              <w:t>.</w:t>
            </w:r>
          </w:p>
          <w:p w14:paraId="6492666C" w14:textId="41DDBCD4" w:rsidR="00D15C60" w:rsidRPr="00222236" w:rsidRDefault="003F0327" w:rsidP="00222236">
            <w:pPr>
              <w:pStyle w:val="Tabletext0"/>
              <w:rPr>
                <w:b w:val="0"/>
                <w:bCs w:val="0"/>
              </w:rPr>
            </w:pPr>
            <w:r w:rsidRPr="00222236">
              <w:rPr>
                <w:b w:val="0"/>
                <w:bCs w:val="0"/>
              </w:rPr>
              <w:t>Road washing</w:t>
            </w:r>
            <w:r w:rsidR="00BC0110" w:rsidRPr="00222236">
              <w:rPr>
                <w:b w:val="0"/>
                <w:bCs w:val="0"/>
              </w:rPr>
              <w:t>.</w:t>
            </w:r>
          </w:p>
          <w:p w14:paraId="2EBCCD06" w14:textId="72A1EBFA" w:rsidR="003F0327" w:rsidRPr="00222236" w:rsidRDefault="003F0327" w:rsidP="00222236">
            <w:pPr>
              <w:pStyle w:val="Tabletext0"/>
              <w:rPr>
                <w:b w:val="0"/>
                <w:bCs w:val="0"/>
              </w:rPr>
            </w:pPr>
            <w:r w:rsidRPr="00222236">
              <w:rPr>
                <w:b w:val="0"/>
                <w:bCs w:val="0"/>
              </w:rPr>
              <w:t>Densification of residential areas</w:t>
            </w:r>
            <w:r w:rsidR="00BC0110" w:rsidRPr="00222236">
              <w:rPr>
                <w:b w:val="0"/>
                <w:bCs w:val="0"/>
              </w:rPr>
              <w:t>.</w:t>
            </w:r>
          </w:p>
        </w:tc>
        <w:tc>
          <w:tcPr>
            <w:tcW w:w="2436" w:type="pct"/>
            <w:tcBorders>
              <w:bottom w:val="single" w:sz="4" w:space="0" w:color="auto"/>
            </w:tcBorders>
          </w:tcPr>
          <w:p w14:paraId="6BC1D2D8" w14:textId="7EF0E2A4"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3F0327">
              <w:t>Infiltration of stormwater</w:t>
            </w:r>
            <w:r w:rsidR="00763989">
              <w:t>.</w:t>
            </w:r>
          </w:p>
          <w:p w14:paraId="0FD0E556" w14:textId="4EFC8493"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Increased pathogen loads (outside outbreak event)</w:t>
            </w:r>
            <w:r w:rsidR="00A5658C">
              <w:t>.</w:t>
            </w:r>
          </w:p>
          <w:p w14:paraId="76F28FF2" w14:textId="7A33B7BE"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Change in community disease profile</w:t>
            </w:r>
            <w:r w:rsidR="00763989">
              <w:t>.</w:t>
            </w:r>
          </w:p>
          <w:p w14:paraId="5724C46B" w14:textId="2D1CF221"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Pandemic events</w:t>
            </w:r>
            <w:r w:rsidR="00763989">
              <w:t>.</w:t>
            </w:r>
          </w:p>
          <w:p w14:paraId="2E425D41" w14:textId="4A81AA70"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Infiltration of saline groundwater into sewer</w:t>
            </w:r>
            <w:r w:rsidR="00763989">
              <w:t>.</w:t>
            </w:r>
          </w:p>
          <w:p w14:paraId="6380B609" w14:textId="6B746B58"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Trade-waste discharges including accidental and illegal discharges</w:t>
            </w:r>
            <w:r w:rsidR="00763989">
              <w:t>.</w:t>
            </w:r>
          </w:p>
          <w:p w14:paraId="72BABCC5" w14:textId="6C46F4F2" w:rsidR="003F0327" w:rsidRP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Infiltration of waste from contaminated sites or waste disposal sites (for example, landfill)</w:t>
            </w:r>
            <w:r w:rsidR="00763989">
              <w:t>.</w:t>
            </w:r>
          </w:p>
          <w:p w14:paraId="00E8BFA4" w14:textId="77777777" w:rsidR="003F0327" w:rsidRPr="003F0327" w:rsidRDefault="003F0327" w:rsidP="00222236">
            <w:pPr>
              <w:pStyle w:val="Tabletext0"/>
              <w:cnfStyle w:val="000000100000" w:firstRow="0" w:lastRow="0" w:firstColumn="0" w:lastColumn="0" w:oddVBand="0" w:evenVBand="0" w:oddHBand="1" w:evenHBand="0" w:firstRowFirstColumn="0" w:firstRowLastColumn="0" w:lastRowFirstColumn="0" w:lastRowLastColumn="0"/>
            </w:pPr>
          </w:p>
        </w:tc>
      </w:tr>
    </w:tbl>
    <w:p w14:paraId="3CCDF27B" w14:textId="1AFE287B" w:rsidR="00C551F8" w:rsidRDefault="00C551F8" w:rsidP="00C551F8">
      <w:pPr>
        <w:pStyle w:val="Tablenotes"/>
      </w:pPr>
      <w:r w:rsidRPr="00601302">
        <w:t>Adapted from NRMMC et al. (2008)</w:t>
      </w:r>
    </w:p>
    <w:p w14:paraId="26CAB0C2" w14:textId="77777777" w:rsidR="00D612B5" w:rsidRDefault="00D612B5" w:rsidP="00D612B5"/>
    <w:p w14:paraId="5EE93885" w14:textId="4DFABA52" w:rsidR="003F0327" w:rsidRPr="00C01F65" w:rsidRDefault="003F0327" w:rsidP="003F0327">
      <w:pPr>
        <w:spacing w:after="240"/>
        <w:rPr>
          <w:rFonts w:eastAsia="Times New Roman" w:cs="Arial"/>
          <w:iCs/>
        </w:rPr>
      </w:pPr>
      <w:r w:rsidRPr="00C01F65">
        <w:rPr>
          <w:rFonts w:eastAsia="Times New Roman" w:cs="Arial"/>
          <w:iCs/>
        </w:rPr>
        <w:t>Uncertainties and variability when characterising hazards may include:</w:t>
      </w:r>
    </w:p>
    <w:p w14:paraId="342A1F8F" w14:textId="77777777" w:rsidR="003F0327" w:rsidRPr="00C01F65" w:rsidRDefault="003F0327" w:rsidP="00B81D3F">
      <w:pPr>
        <w:pStyle w:val="ListBullet"/>
      </w:pPr>
      <w:r w:rsidRPr="00C01F65">
        <w:rPr>
          <w:b/>
          <w:bCs/>
        </w:rPr>
        <w:t>Spatial variation:</w:t>
      </w:r>
      <w:r w:rsidRPr="00C01F65">
        <w:t xml:space="preserve"> Pathogen concentrations in raw wastewater will vary between and within sites, depending on catchment size, its topography and geohydrological conditions, local weather patterns, as well as upstream land uses determining faecal sources and loadings and the possible presence of barriers to reduce discharge of pathogens to surface water. </w:t>
      </w:r>
    </w:p>
    <w:p w14:paraId="4F09713D" w14:textId="77777777" w:rsidR="003F0327" w:rsidRPr="00C01F65" w:rsidRDefault="003F0327" w:rsidP="00B81D3F">
      <w:pPr>
        <w:pStyle w:val="ListBullet"/>
      </w:pPr>
      <w:r w:rsidRPr="00C01F65">
        <w:rPr>
          <w:b/>
          <w:bCs/>
        </w:rPr>
        <w:t>Temporal variation:</w:t>
      </w:r>
      <w:r w:rsidRPr="00C01F65">
        <w:t xml:space="preserve"> Pathogen concentrations in raw wastewater will vary depending on the seasonal health of the </w:t>
      </w:r>
      <w:r>
        <w:t xml:space="preserve">human and animal </w:t>
      </w:r>
      <w:r w:rsidRPr="00C01F65">
        <w:t>population and the occurrence of outbreaks, environmental conditions and hydrograph events. Pathogen concentrations in the effluent will also vary over time, depending on fluctuations in water loading, treatment performance and difference in pathogen survival depending on the season.</w:t>
      </w:r>
    </w:p>
    <w:p w14:paraId="4797D2FD" w14:textId="77777777" w:rsidR="006D48EB" w:rsidRPr="006D48EB" w:rsidRDefault="003F0327" w:rsidP="00B81D3F">
      <w:pPr>
        <w:pStyle w:val="ListBullet"/>
        <w:rPr>
          <w:rFonts w:ascii="Arial" w:eastAsia="Times New Roman" w:hAnsi="Arial"/>
        </w:rPr>
      </w:pPr>
      <w:r w:rsidRPr="006D48EB">
        <w:rPr>
          <w:b/>
          <w:bCs/>
        </w:rPr>
        <w:t>Demographic variation:</w:t>
      </w:r>
      <w:r w:rsidRPr="006D48EB">
        <w:t xml:space="preserve"> Pathogen concentrations in the raw wastewater will also depend on the size, age and health of the human and animal population in the catchment and prevalence of infections.</w:t>
      </w:r>
    </w:p>
    <w:p w14:paraId="477AE8F9" w14:textId="044868F1" w:rsidR="00D66810" w:rsidRPr="00C01F65" w:rsidRDefault="003F0327" w:rsidP="00B81D3F">
      <w:pPr>
        <w:pStyle w:val="ListBullet"/>
      </w:pPr>
      <w:r w:rsidRPr="006D48EB">
        <w:rPr>
          <w:b/>
          <w:bCs/>
        </w:rPr>
        <w:t>Source variation:</w:t>
      </w:r>
      <w:r w:rsidRPr="006D48EB">
        <w:t xml:space="preserve"> Pathogen types and concentrations in the raw wastewater will vary depending on the source of the wastewater. Information on concentrations and prevalence of pathogens in wastewaters from animal processing plants can be found in the literature. When a wastewater treatment plant receives significant volumes of trade waste and/or where environmental values are likely to include agriculture and irrigation, different pathogens may be identified: pathogens that i) can impact human </w:t>
      </w:r>
      <w:r w:rsidRPr="006D48EB">
        <w:lastRenderedPageBreak/>
        <w:t xml:space="preserve">health directly, or ii) can </w:t>
      </w:r>
      <w:r w:rsidR="00D66810" w:rsidRPr="00C01F65">
        <w:t>impact animal health, or iii) can impact human health indirectly, though the consumption of contaminated agriculture produce (</w:t>
      </w:r>
      <w:r w:rsidR="00D422E5">
        <w:fldChar w:fldCharType="begin"/>
      </w:r>
      <w:r w:rsidR="00D422E5">
        <w:instrText xml:space="preserve"> REF _Ref132746801 \h </w:instrText>
      </w:r>
      <w:r w:rsidR="00D422E5">
        <w:fldChar w:fldCharType="separate"/>
      </w:r>
      <w:r w:rsidR="00FD64B0">
        <w:t>Figure C</w:t>
      </w:r>
      <w:r w:rsidR="00FD64B0">
        <w:rPr>
          <w:noProof/>
        </w:rPr>
        <w:t>3</w:t>
      </w:r>
      <w:r w:rsidR="00D422E5">
        <w:fldChar w:fldCharType="end"/>
      </w:r>
      <w:r w:rsidR="00D422E5">
        <w:t>).</w:t>
      </w:r>
    </w:p>
    <w:p w14:paraId="51488673" w14:textId="77777777" w:rsidR="00D66810" w:rsidRPr="00C01F65" w:rsidRDefault="00D66810" w:rsidP="00B81D3F">
      <w:pPr>
        <w:pStyle w:val="ListBullet"/>
      </w:pPr>
      <w:r w:rsidRPr="008C183F">
        <w:rPr>
          <w:b/>
          <w:bCs/>
        </w:rPr>
        <w:t>Dilution variation:</w:t>
      </w:r>
      <w:r w:rsidRPr="00C01F65">
        <w:t xml:space="preserve"> Pathogen concentrations in the treated wastewater will also depend on the volume of effluent discharged compared to the flow of receiving waters determining the dilution factor. </w:t>
      </w:r>
    </w:p>
    <w:p w14:paraId="665ADC7E" w14:textId="3928378A" w:rsidR="00D66810" w:rsidRPr="00C01F65" w:rsidRDefault="006F4040" w:rsidP="00D66810">
      <w:pPr>
        <w:spacing w:after="240"/>
        <w:rPr>
          <w:rFonts w:eastAsia="Times New Roman" w:cs="Arial"/>
          <w:iCs/>
        </w:rPr>
      </w:pPr>
      <w:r w:rsidRPr="0049681C">
        <w:rPr>
          <w:rFonts w:eastAsia="Times New Roman" w:cs="Arial"/>
          <w:iCs/>
        </w:rPr>
        <w:t>Therefore</w:t>
      </w:r>
      <w:r w:rsidR="00D66810" w:rsidRPr="0049681C">
        <w:rPr>
          <w:rFonts w:eastAsia="Times New Roman" w:cs="Arial"/>
          <w:iCs/>
        </w:rPr>
        <w:t>, it is important that the inventory of hazards likely to adversely affect environmental values</w:t>
      </w:r>
      <w:r w:rsidR="00D66810">
        <w:rPr>
          <w:rFonts w:eastAsia="Times New Roman" w:cs="Arial"/>
          <w:iCs/>
        </w:rPr>
        <w:t xml:space="preserve"> </w:t>
      </w:r>
      <w:r w:rsidR="00D66810" w:rsidRPr="00C01F65">
        <w:rPr>
          <w:rFonts w:eastAsia="Times New Roman" w:cs="Arial"/>
          <w:iCs/>
        </w:rPr>
        <w:t xml:space="preserve">include: </w:t>
      </w:r>
    </w:p>
    <w:p w14:paraId="46C9AB22" w14:textId="77777777" w:rsidR="00D66810" w:rsidRPr="00C01F65" w:rsidRDefault="00D66810" w:rsidP="00B81D3F">
      <w:pPr>
        <w:pStyle w:val="ListBullet"/>
      </w:pPr>
      <w:r w:rsidRPr="00C01F65">
        <w:t>nature of inputs (types and range of industry, pharmaceuticals and agricultural chemical manufacturers, hospitals and veterinary clinics, abattoirs, food processing, dairy processing, industrial, domestic wastes, etc.)</w:t>
      </w:r>
    </w:p>
    <w:p w14:paraId="41B71DA1" w14:textId="77777777" w:rsidR="00D66810" w:rsidRPr="00C01F65" w:rsidRDefault="00D66810" w:rsidP="00B81D3F">
      <w:pPr>
        <w:pStyle w:val="ListBullet"/>
      </w:pPr>
      <w:r w:rsidRPr="00C01F65">
        <w:t>trade waste programs and controls (including assessment of risks of accidental or illegal discharges)</w:t>
      </w:r>
    </w:p>
    <w:p w14:paraId="28F88102" w14:textId="77777777" w:rsidR="00D66810" w:rsidRPr="00C01F65" w:rsidRDefault="00D66810" w:rsidP="00B81D3F">
      <w:pPr>
        <w:pStyle w:val="ListBullet"/>
      </w:pPr>
      <w:r w:rsidRPr="00C01F65">
        <w:t>volumes of domestic and industrial waste and discharge patterns (</w:t>
      </w:r>
      <w:r>
        <w:t>such as</w:t>
      </w:r>
      <w:r w:rsidRPr="00C01F65">
        <w:t xml:space="preserve"> contaminant loads, diurnal and seasonal variations)</w:t>
      </w:r>
    </w:p>
    <w:p w14:paraId="6079E332" w14:textId="77777777" w:rsidR="00D66810" w:rsidRPr="00C01F65" w:rsidRDefault="00D66810" w:rsidP="00B81D3F">
      <w:pPr>
        <w:pStyle w:val="ListBullet"/>
      </w:pPr>
      <w:r w:rsidRPr="00C01F65">
        <w:t>future developments</w:t>
      </w:r>
    </w:p>
    <w:p w14:paraId="3F0DDB37" w14:textId="77777777" w:rsidR="00D66810" w:rsidRPr="00C01F65" w:rsidRDefault="00D66810" w:rsidP="00B81D3F">
      <w:pPr>
        <w:pStyle w:val="ListBullet"/>
      </w:pPr>
      <w:r w:rsidRPr="00C01F65">
        <w:t>stormwater discharges (</w:t>
      </w:r>
      <w:r>
        <w:t>for example,</w:t>
      </w:r>
      <w:r w:rsidRPr="00C01F65">
        <w:t xml:space="preserve"> agricultural and mining activities, residential and industrial developments, septic waste inputs, weather patterns, etc.)</w:t>
      </w:r>
    </w:p>
    <w:p w14:paraId="119FB5F5" w14:textId="77777777" w:rsidR="00D66810" w:rsidRPr="00C01F65" w:rsidRDefault="00D66810" w:rsidP="00B81D3F">
      <w:pPr>
        <w:pStyle w:val="ListBullet"/>
      </w:pPr>
      <w:r w:rsidRPr="00C01F65">
        <w:t>existing discharges to marine and freshwater water</w:t>
      </w:r>
    </w:p>
    <w:p w14:paraId="37143DD7" w14:textId="77777777" w:rsidR="00D66810" w:rsidRPr="00C01F65" w:rsidRDefault="00D66810" w:rsidP="00B81D3F">
      <w:pPr>
        <w:pStyle w:val="ListBullet"/>
      </w:pPr>
      <w:r w:rsidRPr="00C01F65">
        <w:t xml:space="preserve">flow conditions of </w:t>
      </w:r>
      <w:r>
        <w:t>surface waters</w:t>
      </w:r>
      <w:r w:rsidRPr="00C01F65">
        <w:t xml:space="preserve"> to estimate dilution factors at various times of the year.</w:t>
      </w:r>
    </w:p>
    <w:p w14:paraId="1E951FAC" w14:textId="67995D16" w:rsidR="00D66810" w:rsidRPr="00C01F65" w:rsidRDefault="00D66810" w:rsidP="00D66810">
      <w:pPr>
        <w:rPr>
          <w:rFonts w:eastAsia="Times New Roman" w:cs="Arial"/>
          <w:iCs/>
        </w:rPr>
      </w:pPr>
      <w:r w:rsidRPr="00C01F65">
        <w:rPr>
          <w:rFonts w:eastAsia="Times New Roman" w:cs="Arial"/>
          <w:iCs/>
        </w:rPr>
        <w:t xml:space="preserve">The application of a dilution factor, which may vary throughout the year according to rainfall, needs to </w:t>
      </w:r>
      <w:r w:rsidR="006F4040" w:rsidRPr="00C01F65">
        <w:rPr>
          <w:rFonts w:eastAsia="Times New Roman" w:cs="Arial"/>
          <w:iCs/>
        </w:rPr>
        <w:t>consider</w:t>
      </w:r>
      <w:r w:rsidRPr="00C01F65">
        <w:rPr>
          <w:rFonts w:eastAsia="Times New Roman" w:cs="Arial"/>
          <w:iCs/>
        </w:rPr>
        <w:t xml:space="preserve"> the dilution of the total pathogen loading into the receiving waters. Alternatively, a monitoring program of reference pathogens and indicators should be developed to determine the concentrations of pathogens present after dilution. Ideally, monitoring should occur at the point of discharge and at the end of the dilution zone (if applicable) during various flow conditions representative of the variations of flows </w:t>
      </w:r>
      <w:r w:rsidR="00743782">
        <w:rPr>
          <w:rFonts w:eastAsia="Times New Roman" w:cs="Arial"/>
          <w:iCs/>
        </w:rPr>
        <w:t>in</w:t>
      </w:r>
      <w:r w:rsidR="00743782" w:rsidRPr="00C01F65">
        <w:rPr>
          <w:rFonts w:eastAsia="Times New Roman" w:cs="Arial"/>
          <w:iCs/>
        </w:rPr>
        <w:t xml:space="preserve"> </w:t>
      </w:r>
      <w:r w:rsidRPr="00C01F65">
        <w:rPr>
          <w:rFonts w:eastAsia="Times New Roman" w:cs="Arial"/>
          <w:iCs/>
        </w:rPr>
        <w:t>the waterway impacted by the discharge. Impact on weather patterns due to climate change and stream flow predictions should also be taken into consideration when developing a monitoring program.</w:t>
      </w:r>
    </w:p>
    <w:p w14:paraId="6DF3EEAE" w14:textId="77777777" w:rsidR="00D66810" w:rsidRPr="00DA0FBA" w:rsidRDefault="00D66810" w:rsidP="00B81D3F">
      <w:pPr>
        <w:pStyle w:val="Heading4"/>
        <w:rPr>
          <w:rFonts w:eastAsia="Times New Roman" w:cs="Arial"/>
        </w:rPr>
      </w:pPr>
      <w:bookmarkStart w:id="314" w:name="_Toc49942297"/>
      <w:r w:rsidRPr="00DA0FBA">
        <w:t>Antimicrobial resistance: an emerging threat to public</w:t>
      </w:r>
      <w:r w:rsidRPr="00DA0FBA">
        <w:rPr>
          <w:rFonts w:eastAsia="Times New Roman" w:cs="Arial"/>
        </w:rPr>
        <w:t xml:space="preserve"> health</w:t>
      </w:r>
      <w:bookmarkEnd w:id="314"/>
    </w:p>
    <w:p w14:paraId="42186885" w14:textId="506B312C" w:rsidR="00D66810" w:rsidRPr="00C01F65" w:rsidRDefault="00D66810" w:rsidP="00D66810">
      <w:pPr>
        <w:rPr>
          <w:rFonts w:eastAsia="Times New Roman" w:cs="Arial"/>
          <w:iCs/>
        </w:rPr>
      </w:pPr>
      <w:r w:rsidRPr="00C01F65">
        <w:rPr>
          <w:rFonts w:eastAsia="Times New Roman" w:cs="Arial"/>
          <w:iCs/>
        </w:rPr>
        <w:t>Antimicrobial resistance (AMR), also known as antibiotic resistant bacteria and genes (ARB&amp;G) are recognised worldwide as environmental contaminants of emerging concern. Wastewater treatment plants are a reservoir of AMR due to the large numbers of bacteria and antibiotics present and the opportunity for antibiotic resistant genes (ARG) to be easily spread amongst bacteria. Current research shows that technologies that are most effective at reducing AMR in wastewater effluent are those that significantly reduce bacterial numbers prior to a disinfection step. However, treatment processes are not effective at removing antibiotics or ARG and if insufficient disinfection occurs</w:t>
      </w:r>
      <w:r w:rsidR="00743782">
        <w:rPr>
          <w:rFonts w:eastAsia="Times New Roman" w:cs="Arial"/>
          <w:iCs/>
        </w:rPr>
        <w:t>,</w:t>
      </w:r>
      <w:r w:rsidRPr="00C01F65">
        <w:rPr>
          <w:rFonts w:eastAsia="Times New Roman" w:cs="Arial"/>
          <w:iCs/>
        </w:rPr>
        <w:t xml:space="preserve"> antibiotic resistant bacteria</w:t>
      </w:r>
      <w:r w:rsidR="00CA33F5">
        <w:rPr>
          <w:rFonts w:eastAsia="Times New Roman" w:cs="Arial"/>
          <w:iCs/>
        </w:rPr>
        <w:t xml:space="preserve"> </w:t>
      </w:r>
      <w:r w:rsidRPr="00C01F65">
        <w:rPr>
          <w:rFonts w:eastAsia="Times New Roman" w:cs="Arial"/>
          <w:iCs/>
        </w:rPr>
        <w:t xml:space="preserve">may be selected throughout the treatment process. </w:t>
      </w:r>
    </w:p>
    <w:p w14:paraId="3D6E91F4" w14:textId="77777777" w:rsidR="00D66810" w:rsidRPr="00C01F65" w:rsidRDefault="00D66810" w:rsidP="00D66810">
      <w:r w:rsidRPr="00C01F65">
        <w:rPr>
          <w:rFonts w:eastAsia="Times New Roman" w:cs="Arial"/>
          <w:iCs/>
        </w:rPr>
        <w:lastRenderedPageBreak/>
        <w:t xml:space="preserve">The draft United Nations Resolution on Environment and Health (6 December 2017) recognised that </w:t>
      </w:r>
      <w:r>
        <w:rPr>
          <w:rFonts w:eastAsia="Times New Roman" w:cs="Arial"/>
          <w:iCs/>
        </w:rPr>
        <w:t>AMR</w:t>
      </w:r>
      <w:r w:rsidRPr="00C01F65">
        <w:rPr>
          <w:rFonts w:eastAsia="Times New Roman" w:cs="Arial"/>
          <w:iCs/>
        </w:rPr>
        <w:t xml:space="preserve"> is a current and increasing threat to global health, food security and sustainable development of all countries. The </w:t>
      </w:r>
      <w:r>
        <w:rPr>
          <w:rFonts w:eastAsia="Times New Roman" w:cs="Arial"/>
          <w:iCs/>
        </w:rPr>
        <w:t>r</w:t>
      </w:r>
      <w:r w:rsidRPr="00C01F65">
        <w:rPr>
          <w:rFonts w:eastAsia="Times New Roman" w:cs="Arial"/>
          <w:iCs/>
        </w:rPr>
        <w:t xml:space="preserve">esolution underlined the need to further understand the role of environmental pollution in the development of </w:t>
      </w:r>
      <w:r>
        <w:rPr>
          <w:rFonts w:eastAsia="Times New Roman" w:cs="Arial"/>
          <w:iCs/>
        </w:rPr>
        <w:t>AMR</w:t>
      </w:r>
      <w:r w:rsidRPr="00C01F65">
        <w:rPr>
          <w:rFonts w:eastAsia="Times New Roman" w:cs="Arial"/>
          <w:iCs/>
        </w:rPr>
        <w:t xml:space="preserve">. The </w:t>
      </w:r>
      <w:r>
        <w:rPr>
          <w:rFonts w:eastAsia="Times New Roman" w:cs="Arial"/>
          <w:iCs/>
        </w:rPr>
        <w:t>r</w:t>
      </w:r>
      <w:r w:rsidRPr="00C01F65">
        <w:rPr>
          <w:rFonts w:eastAsia="Times New Roman" w:cs="Arial"/>
          <w:iCs/>
        </w:rPr>
        <w:t xml:space="preserve">esolution also highlighted the limited availability of tools for environmental surveillance of anthropogenic sourced antimicrobials and the limited understanding of the long-term effects of antimicrobials in the environment on the health of humans, animals, plants and ecosystems. However, the inherent complexity of this issue, coupled with limited knowledge transfer to government authorities, has led to a situation where environmental regulators lack the information needed to assess and manage ARB&amp;G related risks. </w:t>
      </w:r>
    </w:p>
    <w:p w14:paraId="673E0096" w14:textId="77777777" w:rsidR="003B0CED" w:rsidRPr="00DA0FBA" w:rsidRDefault="003B0CED" w:rsidP="007D22E5">
      <w:pPr>
        <w:pStyle w:val="Heading4"/>
      </w:pPr>
      <w:r w:rsidRPr="00DA0FBA">
        <w:t>Fate of pathogens before discharge: performance of the plant in reducing hazards</w:t>
      </w:r>
    </w:p>
    <w:p w14:paraId="50A95AD9" w14:textId="77777777" w:rsidR="003B0CED" w:rsidRPr="00C01F65" w:rsidRDefault="003B0CED" w:rsidP="10077A7C">
      <w:pPr>
        <w:rPr>
          <w:rFonts w:eastAsia="Times New Roman" w:cs="Arial"/>
        </w:rPr>
      </w:pPr>
      <w:r w:rsidRPr="10077A7C">
        <w:rPr>
          <w:rFonts w:eastAsia="Times New Roman" w:cs="Arial"/>
        </w:rPr>
        <w:t xml:space="preserve">The characterisation of hazards in wastewater and their mitigation may be captured through the plant performance validation program, the continued monitoring program of the plant performance and the trade waste monitoring program. As bacterial indicators such as </w:t>
      </w:r>
      <w:r w:rsidRPr="10077A7C">
        <w:rPr>
          <w:rFonts w:eastAsia="Times New Roman" w:cs="Arial"/>
          <w:i/>
          <w:iCs/>
        </w:rPr>
        <w:t>E. coli</w:t>
      </w:r>
      <w:r w:rsidRPr="10077A7C">
        <w:rPr>
          <w:rFonts w:eastAsia="Times New Roman" w:cs="Arial"/>
        </w:rPr>
        <w:t xml:space="preserve"> alone do not provide information regarding the nature of faecal contaminant, it is important that the inventory of potential pathogen inputs be </w:t>
      </w:r>
      <w:bookmarkStart w:id="315" w:name="_Int_aOHi6FKN"/>
      <w:r w:rsidRPr="10077A7C">
        <w:rPr>
          <w:rFonts w:eastAsia="Times New Roman" w:cs="Arial"/>
        </w:rPr>
        <w:t>established</w:t>
      </w:r>
      <w:bookmarkEnd w:id="315"/>
      <w:r w:rsidRPr="10077A7C">
        <w:rPr>
          <w:rFonts w:eastAsia="Times New Roman" w:cs="Arial"/>
        </w:rPr>
        <w:t xml:space="preserve"> and critical control points derived using the Hazard Analysis Critical Control Points (HACCP) approach implemented along the wastewater treatment process. </w:t>
      </w:r>
    </w:p>
    <w:p w14:paraId="0C0F274E" w14:textId="77777777" w:rsidR="003B0CED" w:rsidRPr="00C01F65" w:rsidRDefault="003B0CED" w:rsidP="003B0CED">
      <w:pPr>
        <w:rPr>
          <w:rFonts w:eastAsia="Times New Roman" w:cs="Arial"/>
          <w:iCs/>
        </w:rPr>
      </w:pPr>
      <w:r w:rsidRPr="00C01F65">
        <w:rPr>
          <w:rFonts w:eastAsia="Times New Roman" w:cs="Arial"/>
          <w:iCs/>
        </w:rPr>
        <w:t>Treatment performance should be ascertained, validated and monitored using a performance monitoring program. The program should be based on a well-designed site-specific HACCP system to:</w:t>
      </w:r>
    </w:p>
    <w:p w14:paraId="3C63811A" w14:textId="41DFB51A" w:rsidR="003B0CED" w:rsidRPr="00C01F65" w:rsidRDefault="003B0CED" w:rsidP="00B81D3F">
      <w:pPr>
        <w:pStyle w:val="ListBullet"/>
      </w:pPr>
      <w:r w:rsidRPr="00C01F65">
        <w:t>ensure specified LRVs are achieved during routine operations</w:t>
      </w:r>
    </w:p>
    <w:p w14:paraId="505C8AE6" w14:textId="77777777" w:rsidR="003B0CED" w:rsidRPr="00C01F65" w:rsidRDefault="003B0CED" w:rsidP="00B81D3F">
      <w:pPr>
        <w:pStyle w:val="ListBullet"/>
      </w:pPr>
      <w:r w:rsidRPr="00C01F65">
        <w:t xml:space="preserve">identify when and how a wastewater treatment process might fail so that risk mitigation measures can be implemented (DHHS, 2013). </w:t>
      </w:r>
    </w:p>
    <w:p w14:paraId="09498C33" w14:textId="073F98AC" w:rsidR="003B0CED" w:rsidRPr="00C01F65" w:rsidRDefault="002B12A4" w:rsidP="003B0CED">
      <w:pPr>
        <w:rPr>
          <w:rFonts w:eastAsia="Times New Roman" w:cs="Arial"/>
          <w:iCs/>
        </w:rPr>
      </w:pPr>
      <w:r>
        <w:rPr>
          <w:rFonts w:eastAsia="Times New Roman" w:cs="Arial"/>
          <w:iCs/>
        </w:rPr>
        <w:t xml:space="preserve">Table 5C </w:t>
      </w:r>
      <w:r w:rsidR="003B0CED" w:rsidRPr="00C01F65">
        <w:rPr>
          <w:rFonts w:eastAsia="Times New Roman" w:cs="Arial"/>
          <w:iCs/>
        </w:rPr>
        <w:t>provides indicative LRVs of various enteric pathogens and indicator organisms for different treatments.</w:t>
      </w:r>
      <w:r w:rsidR="002E18DA">
        <w:rPr>
          <w:rFonts w:eastAsia="Times New Roman" w:cs="Arial"/>
          <w:iCs/>
        </w:rPr>
        <w:t xml:space="preserve"> </w:t>
      </w:r>
      <w:r w:rsidR="00F83A3D">
        <w:rPr>
          <w:rFonts w:eastAsia="Times New Roman" w:cs="Arial"/>
          <w:iCs/>
        </w:rPr>
        <w:t>Higher LRVs are achievable</w:t>
      </w:r>
      <w:r w:rsidR="00A213B0">
        <w:rPr>
          <w:rFonts w:eastAsia="Times New Roman" w:cs="Arial"/>
          <w:iCs/>
        </w:rPr>
        <w:t xml:space="preserve"> but should only be claimed if they can be validated.</w:t>
      </w:r>
    </w:p>
    <w:p w14:paraId="6594308E" w14:textId="77777777" w:rsidR="003B0CED" w:rsidRPr="00C01F65" w:rsidRDefault="003B0CED" w:rsidP="003B0CED">
      <w:pPr>
        <w:spacing w:after="240"/>
        <w:rPr>
          <w:rFonts w:eastAsia="Times New Roman" w:cs="Arial"/>
          <w:iCs/>
        </w:rPr>
      </w:pPr>
      <w:r w:rsidRPr="00C01F65">
        <w:rPr>
          <w:rFonts w:eastAsia="Times New Roman" w:cs="Arial"/>
          <w:iCs/>
        </w:rPr>
        <w:t>Monitoring programs will need to consider a range of seasonal variations and impacts of specific events, as wastewater treatment processes generally function best under steady-state conditions and performance can seriously deteriorate when there are major fluctuations in quality and flow. Events to consider</w:t>
      </w:r>
      <w:r>
        <w:rPr>
          <w:rFonts w:eastAsia="Times New Roman" w:cs="Arial"/>
          <w:iCs/>
        </w:rPr>
        <w:t xml:space="preserve"> include</w:t>
      </w:r>
      <w:r w:rsidRPr="00C01F65">
        <w:rPr>
          <w:rFonts w:eastAsia="Times New Roman" w:cs="Arial"/>
          <w:iCs/>
        </w:rPr>
        <w:t>:</w:t>
      </w:r>
    </w:p>
    <w:p w14:paraId="0117A1FD" w14:textId="77777777" w:rsidR="003B0CED" w:rsidRPr="00B81D3F" w:rsidRDefault="003B0CED" w:rsidP="00B81D3F">
      <w:pPr>
        <w:pStyle w:val="ListBullet"/>
      </w:pPr>
      <w:r w:rsidRPr="00B81D3F">
        <w:t>influx of stormwater into sewerage systems following heavy rain or floods resulting in elevated turbidity</w:t>
      </w:r>
    </w:p>
    <w:p w14:paraId="02AE17B1" w14:textId="77777777" w:rsidR="003B0CED" w:rsidRPr="00B81D3F" w:rsidRDefault="003B0CED" w:rsidP="00B81D3F">
      <w:pPr>
        <w:pStyle w:val="ListBullet"/>
      </w:pPr>
      <w:r w:rsidRPr="00B81D3F">
        <w:t>influx of sewage into stormwater systems</w:t>
      </w:r>
    </w:p>
    <w:p w14:paraId="6BCF9E4B" w14:textId="77777777" w:rsidR="003B0CED" w:rsidRPr="00B81D3F" w:rsidRDefault="003B0CED" w:rsidP="00B81D3F">
      <w:pPr>
        <w:pStyle w:val="ListBullet"/>
      </w:pPr>
      <w:r w:rsidRPr="00B81D3F">
        <w:t>influx of trade waste into sewerage systems or stormwater catchments</w:t>
      </w:r>
    </w:p>
    <w:p w14:paraId="16F8830B" w14:textId="77777777" w:rsidR="003B0CED" w:rsidRPr="00B81D3F" w:rsidRDefault="003B0CED" w:rsidP="00B81D3F">
      <w:pPr>
        <w:pStyle w:val="ListBullet"/>
      </w:pPr>
      <w:r w:rsidRPr="00B81D3F">
        <w:t>influence of heavy rain, flooding or external contamination on receiving waters</w:t>
      </w:r>
    </w:p>
    <w:p w14:paraId="56C7F56B" w14:textId="71C3E99E" w:rsidR="004E77B8" w:rsidRDefault="003B0CED" w:rsidP="00B81D3F">
      <w:pPr>
        <w:pStyle w:val="ListBullet"/>
      </w:pPr>
      <w:r w:rsidRPr="00B81D3F">
        <w:t>large variations in population densities in holiday destinations.</w:t>
      </w:r>
    </w:p>
    <w:p w14:paraId="03E658E6" w14:textId="3AECAFA0" w:rsidR="00646ED6" w:rsidRDefault="00646ED6">
      <w:pPr>
        <w:spacing w:before="0" w:after="0"/>
        <w:rPr>
          <w:rFonts w:eastAsiaTheme="minorHAnsi" w:cs="Arial"/>
          <w:lang w:val="en-US"/>
        </w:rPr>
      </w:pPr>
      <w:r>
        <w:br w:type="page"/>
      </w:r>
    </w:p>
    <w:p w14:paraId="5EABBB4A" w14:textId="5FAED385" w:rsidR="00646ED6" w:rsidRPr="004B788D" w:rsidRDefault="00646ED6" w:rsidP="00646ED6">
      <w:pPr>
        <w:pStyle w:val="Caption"/>
        <w:rPr>
          <w:lang w:val="en-US"/>
        </w:rPr>
      </w:pPr>
      <w:r w:rsidRPr="004B788D">
        <w:lastRenderedPageBreak/>
        <w:t>Table C</w:t>
      </w:r>
      <w:fldSimple w:instr=" SEQ Table_C \* ARABIC ">
        <w:r w:rsidR="00FD64B0">
          <w:rPr>
            <w:noProof/>
          </w:rPr>
          <w:t>5</w:t>
        </w:r>
      </w:fldSimple>
      <w:r w:rsidRPr="004B788D">
        <w:t xml:space="preserve"> – </w:t>
      </w:r>
      <w:r w:rsidRPr="004B788D">
        <w:rPr>
          <w:lang w:val="en-US"/>
        </w:rPr>
        <w:t xml:space="preserve">Indicative log reductions values (LRV) of enteric pathogens </w:t>
      </w:r>
    </w:p>
    <w:tbl>
      <w:tblPr>
        <w:tblStyle w:val="ListTable3-Accent1"/>
        <w:tblW w:w="5000" w:type="pct"/>
        <w:tblLook w:val="04A0" w:firstRow="1" w:lastRow="0" w:firstColumn="1" w:lastColumn="0" w:noHBand="0" w:noVBand="1"/>
      </w:tblPr>
      <w:tblGrid>
        <w:gridCol w:w="5093"/>
        <w:gridCol w:w="1284"/>
        <w:gridCol w:w="1249"/>
        <w:gridCol w:w="1186"/>
        <w:gridCol w:w="1359"/>
      </w:tblGrid>
      <w:tr w:rsidR="00646ED6" w:rsidRPr="002070A6" w14:paraId="72FDD983" w14:textId="77777777" w:rsidTr="003D5698">
        <w:trPr>
          <w:cnfStyle w:val="100000000000" w:firstRow="1" w:lastRow="0" w:firstColumn="0" w:lastColumn="0" w:oddVBand="0" w:evenVBand="0" w:oddHBand="0" w:evenHBand="0" w:firstRowFirstColumn="0" w:firstRowLastColumn="0" w:lastRowFirstColumn="0" w:lastRowLastColumn="0"/>
          <w:trHeight w:val="1762"/>
        </w:trPr>
        <w:tc>
          <w:tcPr>
            <w:cnfStyle w:val="001000000100" w:firstRow="0" w:lastRow="0" w:firstColumn="1" w:lastColumn="0" w:oddVBand="0" w:evenVBand="0" w:oddHBand="0" w:evenHBand="0" w:firstRowFirstColumn="1" w:firstRowLastColumn="0" w:lastRowFirstColumn="0" w:lastRowLastColumn="0"/>
            <w:tcW w:w="2504" w:type="pct"/>
            <w:tcBorders>
              <w:top w:val="nil"/>
              <w:left w:val="nil"/>
              <w:bottom w:val="single" w:sz="4" w:space="0" w:color="auto"/>
              <w:right w:val="single" w:sz="4" w:space="0" w:color="auto"/>
            </w:tcBorders>
            <w:shd w:val="clear" w:color="auto" w:fill="auto"/>
            <w:hideMark/>
          </w:tcPr>
          <w:p w14:paraId="7D3CF778" w14:textId="77777777" w:rsidR="00646ED6" w:rsidRPr="002070A6" w:rsidRDefault="00646ED6" w:rsidP="00222236">
            <w:pPr>
              <w:pStyle w:val="Tabletext0"/>
              <w:rPr>
                <w:highlight w:val="yellow"/>
              </w:rPr>
            </w:pPr>
          </w:p>
        </w:tc>
        <w:tc>
          <w:tcPr>
            <w:tcW w:w="631"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26EEC4E2"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Bacteria</w:t>
            </w:r>
          </w:p>
        </w:tc>
        <w:tc>
          <w:tcPr>
            <w:tcW w:w="614"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3103E98B"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Viruses</w:t>
            </w:r>
          </w:p>
          <w:p w14:paraId="7E23525C"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p>
        </w:tc>
        <w:tc>
          <w:tcPr>
            <w:tcW w:w="583"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2C1B7D99"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Protozoa</w:t>
            </w:r>
          </w:p>
        </w:tc>
        <w:tc>
          <w:tcPr>
            <w:tcW w:w="668"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35AE18E5"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Helminths</w:t>
            </w:r>
          </w:p>
        </w:tc>
      </w:tr>
      <w:tr w:rsidR="00646ED6" w:rsidRPr="002070A6" w14:paraId="799237C7" w14:textId="77777777" w:rsidTr="003D569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F8E6C01" w14:textId="77777777" w:rsidR="00646ED6" w:rsidRPr="00315A07" w:rsidRDefault="00646ED6" w:rsidP="00222236">
            <w:pPr>
              <w:pStyle w:val="Tabletext0"/>
            </w:pPr>
            <w:r w:rsidRPr="00315A07">
              <w:rPr>
                <w:b w:val="0"/>
                <w:bCs w:val="0"/>
              </w:rPr>
              <w:t>Primary treatment</w:t>
            </w:r>
          </w:p>
        </w:tc>
        <w:tc>
          <w:tcPr>
            <w:tcW w:w="631" w:type="pct"/>
            <w:tcBorders>
              <w:top w:val="single" w:sz="4" w:space="0" w:color="auto"/>
              <w:left w:val="single" w:sz="4" w:space="0" w:color="auto"/>
              <w:bottom w:val="single" w:sz="4" w:space="0" w:color="auto"/>
              <w:right w:val="single" w:sz="4" w:space="0" w:color="auto"/>
            </w:tcBorders>
            <w:vAlign w:val="center"/>
          </w:tcPr>
          <w:p w14:paraId="65D22E1D"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14" w:type="pct"/>
            <w:tcBorders>
              <w:top w:val="single" w:sz="4" w:space="0" w:color="auto"/>
              <w:left w:val="single" w:sz="4" w:space="0" w:color="auto"/>
              <w:bottom w:val="single" w:sz="4" w:space="0" w:color="auto"/>
              <w:right w:val="single" w:sz="4" w:space="0" w:color="auto"/>
            </w:tcBorders>
            <w:vAlign w:val="center"/>
          </w:tcPr>
          <w:p w14:paraId="4B4000E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583" w:type="pct"/>
            <w:tcBorders>
              <w:top w:val="single" w:sz="4" w:space="0" w:color="auto"/>
              <w:left w:val="single" w:sz="4" w:space="0" w:color="auto"/>
              <w:bottom w:val="single" w:sz="4" w:space="0" w:color="auto"/>
              <w:right w:val="single" w:sz="4" w:space="0" w:color="auto"/>
            </w:tcBorders>
            <w:vAlign w:val="center"/>
          </w:tcPr>
          <w:p w14:paraId="716E7241"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3522227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r>
      <w:tr w:rsidR="00646ED6" w:rsidRPr="002070A6" w14:paraId="60BBF9F3" w14:textId="77777777" w:rsidTr="003D5698">
        <w:trPr>
          <w:trHeight w:val="277"/>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972BEBB" w14:textId="77777777" w:rsidR="00646ED6" w:rsidRPr="00315A07" w:rsidRDefault="00646ED6" w:rsidP="00222236">
            <w:pPr>
              <w:pStyle w:val="Tabletext0"/>
            </w:pPr>
            <w:r w:rsidRPr="00315A07">
              <w:rPr>
                <w:b w:val="0"/>
                <w:bCs w:val="0"/>
              </w:rPr>
              <w:t>Secondary treatment</w:t>
            </w:r>
          </w:p>
        </w:tc>
        <w:tc>
          <w:tcPr>
            <w:tcW w:w="631" w:type="pct"/>
            <w:tcBorders>
              <w:top w:val="single" w:sz="4" w:space="0" w:color="auto"/>
              <w:left w:val="single" w:sz="4" w:space="0" w:color="auto"/>
              <w:bottom w:val="single" w:sz="4" w:space="0" w:color="auto"/>
              <w:right w:val="single" w:sz="4" w:space="0" w:color="auto"/>
            </w:tcBorders>
            <w:vAlign w:val="center"/>
          </w:tcPr>
          <w:p w14:paraId="420C0C70"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1-2</w:t>
            </w:r>
          </w:p>
        </w:tc>
        <w:tc>
          <w:tcPr>
            <w:tcW w:w="614" w:type="pct"/>
            <w:tcBorders>
              <w:top w:val="single" w:sz="4" w:space="0" w:color="auto"/>
              <w:left w:val="single" w:sz="4" w:space="0" w:color="auto"/>
              <w:bottom w:val="single" w:sz="4" w:space="0" w:color="auto"/>
              <w:right w:val="single" w:sz="4" w:space="0" w:color="auto"/>
            </w:tcBorders>
            <w:vAlign w:val="center"/>
          </w:tcPr>
          <w:p w14:paraId="6345EBF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0.5-1</w:t>
            </w:r>
          </w:p>
        </w:tc>
        <w:tc>
          <w:tcPr>
            <w:tcW w:w="583" w:type="pct"/>
            <w:tcBorders>
              <w:top w:val="single" w:sz="4" w:space="0" w:color="auto"/>
              <w:left w:val="single" w:sz="4" w:space="0" w:color="auto"/>
              <w:bottom w:val="single" w:sz="4" w:space="0" w:color="auto"/>
              <w:right w:val="single" w:sz="4" w:space="0" w:color="auto"/>
            </w:tcBorders>
            <w:vAlign w:val="center"/>
          </w:tcPr>
          <w:p w14:paraId="0C7972CB"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0.5-1</w:t>
            </w:r>
          </w:p>
        </w:tc>
        <w:tc>
          <w:tcPr>
            <w:tcW w:w="668" w:type="pct"/>
            <w:tcBorders>
              <w:top w:val="single" w:sz="4" w:space="0" w:color="auto"/>
              <w:left w:val="single" w:sz="4" w:space="0" w:color="auto"/>
              <w:bottom w:val="single" w:sz="4" w:space="0" w:color="auto"/>
              <w:right w:val="single" w:sz="4" w:space="0" w:color="auto"/>
            </w:tcBorders>
            <w:vAlign w:val="center"/>
          </w:tcPr>
          <w:p w14:paraId="2A357AF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5D8AAEB1" w14:textId="77777777" w:rsidTr="003D569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2670C867" w14:textId="77777777" w:rsidR="00646ED6" w:rsidRPr="00315A07" w:rsidRDefault="00646ED6" w:rsidP="00222236">
            <w:pPr>
              <w:pStyle w:val="Tabletext0"/>
            </w:pPr>
            <w:r w:rsidRPr="00315A07">
              <w:rPr>
                <w:b w:val="0"/>
                <w:bCs w:val="0"/>
              </w:rPr>
              <w:t>Dual media filtration with coagulation and flocculation</w:t>
            </w:r>
          </w:p>
        </w:tc>
        <w:tc>
          <w:tcPr>
            <w:tcW w:w="631" w:type="pct"/>
            <w:tcBorders>
              <w:top w:val="single" w:sz="4" w:space="0" w:color="auto"/>
              <w:left w:val="single" w:sz="4" w:space="0" w:color="auto"/>
              <w:bottom w:val="single" w:sz="4" w:space="0" w:color="auto"/>
              <w:right w:val="single" w:sz="4" w:space="0" w:color="auto"/>
            </w:tcBorders>
            <w:vAlign w:val="center"/>
          </w:tcPr>
          <w:p w14:paraId="4FC4EB3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2.5-4</w:t>
            </w:r>
          </w:p>
        </w:tc>
        <w:tc>
          <w:tcPr>
            <w:tcW w:w="614" w:type="pct"/>
            <w:tcBorders>
              <w:top w:val="single" w:sz="4" w:space="0" w:color="auto"/>
              <w:left w:val="single" w:sz="4" w:space="0" w:color="auto"/>
              <w:bottom w:val="single" w:sz="4" w:space="0" w:color="auto"/>
              <w:right w:val="single" w:sz="4" w:space="0" w:color="auto"/>
            </w:tcBorders>
            <w:vAlign w:val="center"/>
          </w:tcPr>
          <w:p w14:paraId="507F6D2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1-2</w:t>
            </w:r>
          </w:p>
        </w:tc>
        <w:tc>
          <w:tcPr>
            <w:tcW w:w="583" w:type="pct"/>
            <w:tcBorders>
              <w:top w:val="single" w:sz="4" w:space="0" w:color="auto"/>
              <w:left w:val="single" w:sz="4" w:space="0" w:color="auto"/>
              <w:bottom w:val="single" w:sz="4" w:space="0" w:color="auto"/>
              <w:right w:val="single" w:sz="4" w:space="0" w:color="auto"/>
            </w:tcBorders>
            <w:vAlign w:val="center"/>
          </w:tcPr>
          <w:p w14:paraId="438A328D"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2.5-4</w:t>
            </w:r>
          </w:p>
        </w:tc>
        <w:tc>
          <w:tcPr>
            <w:tcW w:w="668" w:type="pct"/>
            <w:tcBorders>
              <w:top w:val="single" w:sz="4" w:space="0" w:color="auto"/>
              <w:left w:val="single" w:sz="4" w:space="0" w:color="auto"/>
              <w:bottom w:val="single" w:sz="4" w:space="0" w:color="auto"/>
              <w:right w:val="single" w:sz="4" w:space="0" w:color="auto"/>
            </w:tcBorders>
            <w:vAlign w:val="center"/>
          </w:tcPr>
          <w:p w14:paraId="27C22178"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w:t>
            </w:r>
          </w:p>
        </w:tc>
      </w:tr>
      <w:tr w:rsidR="00646ED6" w:rsidRPr="002070A6" w14:paraId="79A32572" w14:textId="77777777" w:rsidTr="003D5698">
        <w:trPr>
          <w:trHeight w:val="290"/>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2C5C9BB0" w14:textId="77777777" w:rsidR="00646ED6" w:rsidRPr="00315A07" w:rsidRDefault="00646ED6" w:rsidP="00222236">
            <w:pPr>
              <w:pStyle w:val="Tabletext0"/>
              <w:rPr>
                <w:b w:val="0"/>
                <w:bCs w:val="0"/>
              </w:rPr>
            </w:pPr>
            <w:r w:rsidRPr="00315A07">
              <w:rPr>
                <w:b w:val="0"/>
                <w:bCs w:val="0"/>
              </w:rPr>
              <w:t>Membrane bioreactor (MBR)</w:t>
            </w:r>
          </w:p>
        </w:tc>
        <w:tc>
          <w:tcPr>
            <w:tcW w:w="631" w:type="pct"/>
            <w:tcBorders>
              <w:top w:val="single" w:sz="4" w:space="0" w:color="auto"/>
              <w:left w:val="single" w:sz="4" w:space="0" w:color="auto"/>
              <w:bottom w:val="single" w:sz="4" w:space="0" w:color="auto"/>
              <w:right w:val="single" w:sz="4" w:space="0" w:color="auto"/>
            </w:tcBorders>
            <w:vAlign w:val="center"/>
          </w:tcPr>
          <w:p w14:paraId="77CD6B2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2-4</w:t>
            </w:r>
          </w:p>
        </w:tc>
        <w:tc>
          <w:tcPr>
            <w:tcW w:w="614" w:type="pct"/>
            <w:tcBorders>
              <w:top w:val="single" w:sz="4" w:space="0" w:color="auto"/>
              <w:left w:val="single" w:sz="4" w:space="0" w:color="auto"/>
              <w:bottom w:val="single" w:sz="4" w:space="0" w:color="auto"/>
              <w:right w:val="single" w:sz="4" w:space="0" w:color="auto"/>
            </w:tcBorders>
            <w:vAlign w:val="center"/>
          </w:tcPr>
          <w:p w14:paraId="1E959F0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583" w:type="pct"/>
            <w:tcBorders>
              <w:top w:val="single" w:sz="4" w:space="0" w:color="auto"/>
              <w:left w:val="single" w:sz="4" w:space="0" w:color="auto"/>
              <w:bottom w:val="single" w:sz="4" w:space="0" w:color="auto"/>
              <w:right w:val="single" w:sz="4" w:space="0" w:color="auto"/>
            </w:tcBorders>
            <w:vAlign w:val="center"/>
          </w:tcPr>
          <w:p w14:paraId="6D03796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2-4</w:t>
            </w:r>
          </w:p>
        </w:tc>
        <w:tc>
          <w:tcPr>
            <w:tcW w:w="668" w:type="pct"/>
            <w:tcBorders>
              <w:top w:val="single" w:sz="4" w:space="0" w:color="auto"/>
              <w:left w:val="single" w:sz="4" w:space="0" w:color="auto"/>
              <w:bottom w:val="single" w:sz="4" w:space="0" w:color="auto"/>
              <w:right w:val="single" w:sz="4" w:space="0" w:color="auto"/>
            </w:tcBorders>
            <w:vAlign w:val="center"/>
          </w:tcPr>
          <w:p w14:paraId="39547F44"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5C326F33" w14:textId="77777777" w:rsidTr="003D56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2E08D24" w14:textId="77777777" w:rsidR="00646ED6" w:rsidRPr="00315A07" w:rsidRDefault="00646ED6" w:rsidP="00222236">
            <w:pPr>
              <w:pStyle w:val="Tabletext0"/>
            </w:pPr>
            <w:r w:rsidRPr="00315A07">
              <w:rPr>
                <w:b w:val="0"/>
                <w:bCs w:val="0"/>
              </w:rPr>
              <w:t>Membrane filtration</w:t>
            </w:r>
          </w:p>
        </w:tc>
        <w:tc>
          <w:tcPr>
            <w:tcW w:w="631" w:type="pct"/>
            <w:tcBorders>
              <w:top w:val="single" w:sz="4" w:space="0" w:color="auto"/>
              <w:left w:val="single" w:sz="4" w:space="0" w:color="auto"/>
              <w:bottom w:val="single" w:sz="4" w:space="0" w:color="auto"/>
              <w:right w:val="single" w:sz="4" w:space="0" w:color="auto"/>
            </w:tcBorders>
            <w:vAlign w:val="center"/>
          </w:tcPr>
          <w:p w14:paraId="7B9341F7"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5B56A129"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583" w:type="pct"/>
            <w:tcBorders>
              <w:top w:val="single" w:sz="4" w:space="0" w:color="auto"/>
              <w:left w:val="single" w:sz="4" w:space="0" w:color="auto"/>
              <w:bottom w:val="single" w:sz="4" w:space="0" w:color="auto"/>
              <w:right w:val="single" w:sz="4" w:space="0" w:color="auto"/>
            </w:tcBorders>
            <w:vAlign w:val="center"/>
          </w:tcPr>
          <w:p w14:paraId="2571793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68" w:type="pct"/>
            <w:tcBorders>
              <w:top w:val="single" w:sz="4" w:space="0" w:color="auto"/>
              <w:left w:val="single" w:sz="4" w:space="0" w:color="auto"/>
              <w:bottom w:val="single" w:sz="4" w:space="0" w:color="auto"/>
              <w:right w:val="single" w:sz="4" w:space="0" w:color="auto"/>
            </w:tcBorders>
            <w:vAlign w:val="center"/>
          </w:tcPr>
          <w:p w14:paraId="0D42F15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r>
      <w:tr w:rsidR="00646ED6" w:rsidRPr="002070A6" w14:paraId="46D5B088" w14:textId="77777777" w:rsidTr="003D5698">
        <w:trPr>
          <w:trHeight w:val="212"/>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15E0DF61" w14:textId="77777777" w:rsidR="00646ED6" w:rsidRPr="00315A07" w:rsidRDefault="00646ED6" w:rsidP="00222236">
            <w:pPr>
              <w:pStyle w:val="Tabletext0"/>
            </w:pPr>
            <w:r w:rsidRPr="00315A07">
              <w:rPr>
                <w:b w:val="0"/>
                <w:bCs w:val="0"/>
              </w:rPr>
              <w:t>Reverse osmosis</w:t>
            </w:r>
          </w:p>
        </w:tc>
        <w:tc>
          <w:tcPr>
            <w:tcW w:w="631" w:type="pct"/>
            <w:tcBorders>
              <w:top w:val="single" w:sz="4" w:space="0" w:color="auto"/>
              <w:left w:val="single" w:sz="4" w:space="0" w:color="auto"/>
              <w:bottom w:val="single" w:sz="4" w:space="0" w:color="auto"/>
              <w:right w:val="single" w:sz="4" w:space="0" w:color="auto"/>
            </w:tcBorders>
            <w:vAlign w:val="center"/>
          </w:tcPr>
          <w:p w14:paraId="6EE65CA2"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614" w:type="pct"/>
            <w:tcBorders>
              <w:top w:val="single" w:sz="4" w:space="0" w:color="auto"/>
              <w:left w:val="single" w:sz="4" w:space="0" w:color="auto"/>
              <w:bottom w:val="single" w:sz="4" w:space="0" w:color="auto"/>
              <w:right w:val="single" w:sz="4" w:space="0" w:color="auto"/>
            </w:tcBorders>
            <w:vAlign w:val="center"/>
          </w:tcPr>
          <w:p w14:paraId="167CAF3C"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583" w:type="pct"/>
            <w:tcBorders>
              <w:top w:val="single" w:sz="4" w:space="0" w:color="auto"/>
              <w:left w:val="single" w:sz="4" w:space="0" w:color="auto"/>
              <w:bottom w:val="single" w:sz="4" w:space="0" w:color="auto"/>
              <w:right w:val="single" w:sz="4" w:space="0" w:color="auto"/>
            </w:tcBorders>
            <w:vAlign w:val="center"/>
          </w:tcPr>
          <w:p w14:paraId="485B585A"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668" w:type="pct"/>
            <w:tcBorders>
              <w:top w:val="single" w:sz="4" w:space="0" w:color="auto"/>
              <w:left w:val="single" w:sz="4" w:space="0" w:color="auto"/>
              <w:bottom w:val="single" w:sz="4" w:space="0" w:color="auto"/>
              <w:right w:val="single" w:sz="4" w:space="0" w:color="auto"/>
            </w:tcBorders>
            <w:vAlign w:val="center"/>
          </w:tcPr>
          <w:p w14:paraId="73596070"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r>
      <w:tr w:rsidR="00646ED6" w:rsidRPr="002070A6" w14:paraId="7108992C" w14:textId="77777777" w:rsidTr="003D569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EE23763" w14:textId="77777777" w:rsidR="00646ED6" w:rsidRPr="00315A07" w:rsidRDefault="00646ED6" w:rsidP="00222236">
            <w:pPr>
              <w:pStyle w:val="Tabletext0"/>
            </w:pPr>
            <w:r w:rsidRPr="00315A07">
              <w:rPr>
                <w:b w:val="0"/>
                <w:bCs w:val="0"/>
              </w:rPr>
              <w:t>Lagoon storage*</w:t>
            </w:r>
          </w:p>
        </w:tc>
        <w:tc>
          <w:tcPr>
            <w:tcW w:w="631" w:type="pct"/>
            <w:tcBorders>
              <w:top w:val="single" w:sz="4" w:space="0" w:color="auto"/>
              <w:left w:val="single" w:sz="4" w:space="0" w:color="auto"/>
              <w:bottom w:val="single" w:sz="4" w:space="0" w:color="auto"/>
              <w:right w:val="single" w:sz="4" w:space="0" w:color="auto"/>
            </w:tcBorders>
            <w:vAlign w:val="center"/>
          </w:tcPr>
          <w:p w14:paraId="17738C9C"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1.0-5.0</w:t>
            </w:r>
          </w:p>
        </w:tc>
        <w:tc>
          <w:tcPr>
            <w:tcW w:w="614" w:type="pct"/>
            <w:tcBorders>
              <w:top w:val="single" w:sz="4" w:space="0" w:color="auto"/>
              <w:left w:val="single" w:sz="4" w:space="0" w:color="auto"/>
              <w:bottom w:val="single" w:sz="4" w:space="0" w:color="auto"/>
              <w:right w:val="single" w:sz="4" w:space="0" w:color="auto"/>
            </w:tcBorders>
            <w:vAlign w:val="center"/>
          </w:tcPr>
          <w:p w14:paraId="46E606A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1.0-4.0</w:t>
            </w:r>
          </w:p>
        </w:tc>
        <w:tc>
          <w:tcPr>
            <w:tcW w:w="583" w:type="pct"/>
            <w:tcBorders>
              <w:top w:val="single" w:sz="4" w:space="0" w:color="auto"/>
              <w:left w:val="single" w:sz="4" w:space="0" w:color="auto"/>
              <w:bottom w:val="single" w:sz="4" w:space="0" w:color="auto"/>
              <w:right w:val="single" w:sz="4" w:space="0" w:color="auto"/>
            </w:tcBorders>
            <w:vAlign w:val="center"/>
          </w:tcPr>
          <w:p w14:paraId="01990CA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3.0-4.0</w:t>
            </w:r>
          </w:p>
        </w:tc>
        <w:tc>
          <w:tcPr>
            <w:tcW w:w="668" w:type="pct"/>
            <w:tcBorders>
              <w:top w:val="single" w:sz="4" w:space="0" w:color="auto"/>
              <w:left w:val="single" w:sz="4" w:space="0" w:color="auto"/>
              <w:bottom w:val="single" w:sz="4" w:space="0" w:color="auto"/>
              <w:right w:val="single" w:sz="4" w:space="0" w:color="auto"/>
            </w:tcBorders>
            <w:vAlign w:val="center"/>
          </w:tcPr>
          <w:p w14:paraId="67883FE8"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1.5-3.0</w:t>
            </w:r>
          </w:p>
        </w:tc>
      </w:tr>
      <w:tr w:rsidR="00646ED6" w:rsidRPr="002070A6" w14:paraId="051B12BF" w14:textId="77777777" w:rsidTr="003D5698">
        <w:trPr>
          <w:trHeight w:val="326"/>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1E915E2" w14:textId="77777777" w:rsidR="00646ED6" w:rsidRPr="00315A07" w:rsidRDefault="00646ED6" w:rsidP="00222236">
            <w:pPr>
              <w:pStyle w:val="Tabletext0"/>
            </w:pPr>
            <w:r w:rsidRPr="00315A07">
              <w:rPr>
                <w:b w:val="0"/>
                <w:bCs w:val="0"/>
              </w:rPr>
              <w:t>Chlorination</w:t>
            </w:r>
          </w:p>
        </w:tc>
        <w:tc>
          <w:tcPr>
            <w:tcW w:w="631" w:type="pct"/>
            <w:tcBorders>
              <w:top w:val="single" w:sz="4" w:space="0" w:color="auto"/>
              <w:left w:val="single" w:sz="4" w:space="0" w:color="auto"/>
              <w:bottom w:val="single" w:sz="4" w:space="0" w:color="auto"/>
              <w:right w:val="single" w:sz="4" w:space="0" w:color="auto"/>
            </w:tcBorders>
            <w:vAlign w:val="center"/>
          </w:tcPr>
          <w:p w14:paraId="15F96455"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1B8AD3A4"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37E60E59"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0FC14906"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165ECE94" w14:textId="77777777" w:rsidTr="003D569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AAAD943" w14:textId="77777777" w:rsidR="00646ED6" w:rsidRPr="00315A07" w:rsidRDefault="00646ED6" w:rsidP="00222236">
            <w:pPr>
              <w:pStyle w:val="Tabletext0"/>
            </w:pPr>
            <w:r w:rsidRPr="00315A07">
              <w:rPr>
                <w:b w:val="0"/>
                <w:bCs w:val="0"/>
              </w:rPr>
              <w:t>Ozonation</w:t>
            </w:r>
          </w:p>
        </w:tc>
        <w:tc>
          <w:tcPr>
            <w:tcW w:w="631" w:type="pct"/>
            <w:tcBorders>
              <w:top w:val="single" w:sz="4" w:space="0" w:color="auto"/>
              <w:left w:val="single" w:sz="4" w:space="0" w:color="auto"/>
              <w:bottom w:val="single" w:sz="4" w:space="0" w:color="auto"/>
              <w:right w:val="single" w:sz="4" w:space="0" w:color="auto"/>
            </w:tcBorders>
            <w:vAlign w:val="center"/>
          </w:tcPr>
          <w:p w14:paraId="075DE22B"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37BA44CB"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7FEDE9EC"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6533FC31"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r>
      <w:tr w:rsidR="00646ED6" w:rsidRPr="002070A6" w14:paraId="33AE702B" w14:textId="77777777" w:rsidTr="003D5698">
        <w:trPr>
          <w:trHeight w:val="471"/>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4E27B106" w14:textId="77777777" w:rsidR="00646ED6" w:rsidRPr="00315A07" w:rsidRDefault="00646ED6" w:rsidP="00222236">
            <w:pPr>
              <w:pStyle w:val="Tabletext0"/>
            </w:pPr>
            <w:r w:rsidRPr="00315A07">
              <w:rPr>
                <w:b w:val="0"/>
                <w:bCs w:val="0"/>
              </w:rPr>
              <w:t>UV light</w:t>
            </w:r>
            <w:r w:rsidRPr="00315A07">
              <w:rPr>
                <w:b w:val="0"/>
                <w:bCs w:val="0"/>
                <w:vertAlign w:val="superscript"/>
              </w:rPr>
              <w:t>#</w:t>
            </w:r>
          </w:p>
        </w:tc>
        <w:tc>
          <w:tcPr>
            <w:tcW w:w="631" w:type="pct"/>
            <w:tcBorders>
              <w:top w:val="single" w:sz="4" w:space="0" w:color="auto"/>
              <w:left w:val="single" w:sz="4" w:space="0" w:color="auto"/>
              <w:bottom w:val="single" w:sz="4" w:space="0" w:color="auto"/>
              <w:right w:val="single" w:sz="4" w:space="0" w:color="auto"/>
            </w:tcBorders>
            <w:vAlign w:val="center"/>
          </w:tcPr>
          <w:p w14:paraId="63BF01E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31B9DDA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42783EFB"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68" w:type="pct"/>
            <w:tcBorders>
              <w:top w:val="single" w:sz="4" w:space="0" w:color="auto"/>
              <w:left w:val="single" w:sz="4" w:space="0" w:color="auto"/>
              <w:bottom w:val="single" w:sz="4" w:space="0" w:color="auto"/>
              <w:right w:val="single" w:sz="4" w:space="0" w:color="auto"/>
            </w:tcBorders>
            <w:vAlign w:val="center"/>
          </w:tcPr>
          <w:p w14:paraId="1A1506B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bl>
    <w:p w14:paraId="4612007B" w14:textId="77777777" w:rsidR="00646ED6" w:rsidRPr="000A4451" w:rsidRDefault="00646ED6" w:rsidP="00646ED6">
      <w:pPr>
        <w:pStyle w:val="Tablenotes"/>
      </w:pPr>
      <w:r w:rsidRPr="000A4451">
        <w:t>*System specific as log reductions are largely dependant on lagoon design and retention times.</w:t>
      </w:r>
    </w:p>
    <w:p w14:paraId="3BA946E0" w14:textId="77777777" w:rsidR="00646ED6" w:rsidRPr="000A4451" w:rsidRDefault="00646ED6" w:rsidP="00646ED6">
      <w:pPr>
        <w:pStyle w:val="Tablenotes"/>
      </w:pPr>
      <w:r w:rsidRPr="000A4451">
        <w:rPr>
          <w:vertAlign w:val="superscript"/>
        </w:rPr>
        <w:t>#</w:t>
      </w:r>
      <w:r w:rsidRPr="000A4451">
        <w:t>Log reductions are largely dependant on the UV dose achieved, with viruses required much higher</w:t>
      </w:r>
      <w:r>
        <w:t xml:space="preserve"> </w:t>
      </w:r>
      <w:r w:rsidRPr="000A4451">
        <w:t>doses than protozoa and bacteria.</w:t>
      </w:r>
    </w:p>
    <w:p w14:paraId="6810D132" w14:textId="3708F3AC" w:rsidR="00646ED6" w:rsidRDefault="00646ED6" w:rsidP="00646ED6">
      <w:pPr>
        <w:pStyle w:val="Tablenotes"/>
        <w:rPr>
          <w:rFonts w:eastAsia="Calibri"/>
          <w:sz w:val="18"/>
          <w:szCs w:val="18"/>
        </w:rPr>
      </w:pPr>
      <w:r w:rsidRPr="000A4451">
        <w:rPr>
          <w:rFonts w:eastAsia="Garamond-Light" w:cs="Garamond-Light"/>
        </w:rPr>
        <w:t>Sources: Hijnen et al</w:t>
      </w:r>
      <w:r>
        <w:rPr>
          <w:rFonts w:eastAsia="Garamond-Light" w:cs="Garamond-Light"/>
        </w:rPr>
        <w:t>.</w:t>
      </w:r>
      <w:r w:rsidRPr="000A4451">
        <w:rPr>
          <w:rFonts w:eastAsia="Garamond-Light" w:cs="Garamond-Light"/>
        </w:rPr>
        <w:t xml:space="preserve"> (2005); </w:t>
      </w:r>
      <w:r w:rsidRPr="000A4451">
        <w:t>US</w:t>
      </w:r>
      <w:r>
        <w:t xml:space="preserve"> </w:t>
      </w:r>
      <w:r w:rsidRPr="000A4451">
        <w:t xml:space="preserve">EPA (2005); </w:t>
      </w:r>
      <w:r w:rsidRPr="000A4451">
        <w:rPr>
          <w:rFonts w:eastAsia="Garamond-Light" w:cs="Garamond-Light"/>
        </w:rPr>
        <w:t>WHO (2011); DHHS (2013); Pype et al</w:t>
      </w:r>
      <w:r>
        <w:rPr>
          <w:rFonts w:eastAsia="Garamond-Light" w:cs="Garamond-Light"/>
        </w:rPr>
        <w:t>.</w:t>
      </w:r>
      <w:r w:rsidRPr="000A4451">
        <w:rPr>
          <w:rFonts w:eastAsia="Garamond-Light" w:cs="Garamond-Light"/>
        </w:rPr>
        <w:t xml:space="preserve"> (2015); WaterSecure (2017a,b,c,d)</w:t>
      </w:r>
      <w:r w:rsidRPr="00315A07">
        <w:rPr>
          <w:rFonts w:eastAsia="Calibri"/>
          <w:sz w:val="18"/>
          <w:szCs w:val="18"/>
        </w:rPr>
        <w:t>.</w:t>
      </w:r>
    </w:p>
    <w:p w14:paraId="6D78E380" w14:textId="77777777" w:rsidR="00B12546" w:rsidRPr="00B12546" w:rsidRDefault="00B12546" w:rsidP="00B12546">
      <w:pPr>
        <w:pStyle w:val="NoSpacing"/>
      </w:pPr>
    </w:p>
    <w:p w14:paraId="08A7D9EC" w14:textId="77777777" w:rsidR="00382C30" w:rsidRPr="007D22E5" w:rsidRDefault="00382C30" w:rsidP="00382C30">
      <w:pPr>
        <w:pStyle w:val="Heading4"/>
      </w:pPr>
      <w:bookmarkStart w:id="316" w:name="_Ref116390137"/>
      <w:r w:rsidRPr="007D22E5">
        <w:t>Fate of pathogens after discharge</w:t>
      </w:r>
    </w:p>
    <w:p w14:paraId="2A5FD547" w14:textId="77777777" w:rsidR="00382C30" w:rsidRPr="00C01F65" w:rsidRDefault="00382C30" w:rsidP="00382C30">
      <w:r w:rsidRPr="00C01F65">
        <w:t>The likelihood of wastewater assets impacting recreational waters and other environmental values is primarily determined by whether a direct discharge is possible. The likelihood of impacts also depends on whether other means of mitigating the impacts are possible. Mitigation could also be due to environmental factors, such as predation, competition and die-off; the removal of pathogens during the transport of discharges from source to the receiving waters; or dilution of chemicals in the receiving waters (Baker et al.</w:t>
      </w:r>
      <w:r>
        <w:t>,</w:t>
      </w:r>
      <w:r w:rsidRPr="00C01F65">
        <w:t xml:space="preserve"> 2016). However, for the purpose of assessing human health risks, pathogens from a wastewater treatment plant effluent are often assumed to occur in the receiving waters in the same proportion as they occur in disinfected secondary effluent (Fong et al.</w:t>
      </w:r>
      <w:r>
        <w:t>,</w:t>
      </w:r>
      <w:r w:rsidRPr="00C01F65">
        <w:t xml:space="preserve"> 2010; Katayama et al.</w:t>
      </w:r>
      <w:r>
        <w:t>,</w:t>
      </w:r>
      <w:r w:rsidRPr="00C01F65">
        <w:t xml:space="preserve"> 2008; Soller et al.</w:t>
      </w:r>
      <w:r>
        <w:t>,</w:t>
      </w:r>
      <w:r w:rsidRPr="00C01F65">
        <w:t xml:space="preserve"> 2010). This assumption is reasonable if the travel time from the effluent discharge(s) to the receiving waterbodies is relatively short compared to the time required for a substantial inactivation of the reference pathogens (Soller et al.</w:t>
      </w:r>
      <w:r>
        <w:t>,</w:t>
      </w:r>
      <w:r w:rsidRPr="00C01F65">
        <w:t xml:space="preserve"> 2010). Another reason for this approach is that </w:t>
      </w:r>
      <w:r>
        <w:t>waste</w:t>
      </w:r>
      <w:r w:rsidRPr="00C01F65">
        <w:t xml:space="preserve">water </w:t>
      </w:r>
      <w:r>
        <w:t xml:space="preserve">treatment plant operators </w:t>
      </w:r>
      <w:r w:rsidRPr="00C01F65">
        <w:t>often do not have control over the water quality once discharged.</w:t>
      </w:r>
    </w:p>
    <w:p w14:paraId="3985D484" w14:textId="77777777" w:rsidR="00382C30" w:rsidRDefault="00382C30" w:rsidP="00382C30">
      <w:pPr>
        <w:spacing w:after="0"/>
        <w:rPr>
          <w:rFonts w:eastAsia="Times New Roman" w:cs="Arial"/>
          <w:iCs/>
        </w:rPr>
      </w:pPr>
      <w:r w:rsidRPr="00983808">
        <w:rPr>
          <w:rFonts w:eastAsia="Times New Roman" w:cs="Arial"/>
          <w:iCs/>
        </w:rPr>
        <w:lastRenderedPageBreak/>
        <w:t>Discharges of wastewater may cause pathogens to re-suspend in the sediments of watercourses. For that reason, monitoring must also include water sampling in the receiving waters, downstream of the wastewater discharge outlet.</w:t>
      </w:r>
    </w:p>
    <w:p w14:paraId="06FA22A4" w14:textId="755CA49D" w:rsidR="00B073D2" w:rsidRPr="001A0FFD" w:rsidRDefault="003510F4" w:rsidP="00F46C15">
      <w:pPr>
        <w:pStyle w:val="AppendixA11"/>
      </w:pPr>
      <w:bookmarkStart w:id="317" w:name="_Toc133938173"/>
      <w:bookmarkEnd w:id="316"/>
      <w:r>
        <w:t>Exposure assessment</w:t>
      </w:r>
      <w:bookmarkStart w:id="318" w:name="_Toc128137167"/>
      <w:bookmarkStart w:id="319" w:name="_Toc128137448"/>
      <w:bookmarkStart w:id="320" w:name="_Toc128137751"/>
      <w:bookmarkStart w:id="321" w:name="_Toc128138172"/>
      <w:bookmarkStart w:id="322" w:name="_Toc128138596"/>
      <w:bookmarkStart w:id="323" w:name="_Toc128138657"/>
      <w:bookmarkEnd w:id="317"/>
      <w:bookmarkEnd w:id="318"/>
      <w:bookmarkEnd w:id="319"/>
      <w:bookmarkEnd w:id="320"/>
      <w:bookmarkEnd w:id="321"/>
      <w:bookmarkEnd w:id="322"/>
      <w:bookmarkEnd w:id="323"/>
    </w:p>
    <w:p w14:paraId="75E64984" w14:textId="77777777" w:rsidR="00973281" w:rsidRPr="00C01F65" w:rsidRDefault="00973281" w:rsidP="00973281">
      <w:pPr>
        <w:rPr>
          <w:rFonts w:eastAsia="Times New Roman" w:cs="Arial"/>
          <w:iCs/>
        </w:rPr>
      </w:pPr>
      <w:r w:rsidRPr="00C01F65">
        <w:rPr>
          <w:rFonts w:eastAsia="Times New Roman" w:cs="Arial"/>
          <w:iCs/>
        </w:rPr>
        <w:t>Any exposure assessment must consider the exposure pathway, which relates to five elements:</w:t>
      </w:r>
    </w:p>
    <w:p w14:paraId="1E9F3EFF" w14:textId="77777777" w:rsidR="00973281" w:rsidRPr="00C01F65" w:rsidRDefault="00973281" w:rsidP="00525686">
      <w:pPr>
        <w:pStyle w:val="ListParagraph"/>
        <w:numPr>
          <w:ilvl w:val="0"/>
          <w:numId w:val="18"/>
        </w:numPr>
        <w:rPr>
          <w:rFonts w:cs="Arial"/>
          <w:iCs/>
        </w:rPr>
      </w:pPr>
      <w:r w:rsidRPr="00C01F65">
        <w:rPr>
          <w:rFonts w:cs="Arial"/>
          <w:iCs/>
        </w:rPr>
        <w:t xml:space="preserve">the contaminant source or release </w:t>
      </w:r>
    </w:p>
    <w:p w14:paraId="5E4081CB" w14:textId="77777777" w:rsidR="00973281" w:rsidRPr="00C01F65" w:rsidRDefault="00973281" w:rsidP="00525686">
      <w:pPr>
        <w:pStyle w:val="ListParagraph"/>
        <w:numPr>
          <w:ilvl w:val="0"/>
          <w:numId w:val="18"/>
        </w:numPr>
        <w:rPr>
          <w:rFonts w:cs="Arial"/>
        </w:rPr>
      </w:pPr>
      <w:bookmarkStart w:id="324" w:name="_Int_8gP+LSSt"/>
      <w:r w:rsidRPr="10077A7C">
        <w:rPr>
          <w:rFonts w:cs="Arial"/>
        </w:rPr>
        <w:t>the environmental</w:t>
      </w:r>
      <w:bookmarkEnd w:id="324"/>
      <w:r w:rsidRPr="10077A7C">
        <w:rPr>
          <w:rFonts w:cs="Arial"/>
        </w:rPr>
        <w:t xml:space="preserve"> fate and transport </w:t>
      </w:r>
    </w:p>
    <w:p w14:paraId="6BC03BAF" w14:textId="77777777" w:rsidR="00973281" w:rsidRPr="00C01F65" w:rsidRDefault="00973281" w:rsidP="00525686">
      <w:pPr>
        <w:pStyle w:val="ListParagraph"/>
        <w:numPr>
          <w:ilvl w:val="0"/>
          <w:numId w:val="18"/>
        </w:numPr>
        <w:rPr>
          <w:rFonts w:cs="Arial"/>
          <w:iCs/>
        </w:rPr>
      </w:pPr>
      <w:r w:rsidRPr="00C01F65">
        <w:rPr>
          <w:rFonts w:cs="Arial"/>
          <w:iCs/>
        </w:rPr>
        <w:t xml:space="preserve">the exposure point or area, </w:t>
      </w:r>
      <w:r>
        <w:rPr>
          <w:rFonts w:cs="Arial"/>
          <w:iCs/>
        </w:rPr>
        <w:t xml:space="preserve">this is, </w:t>
      </w:r>
      <w:r w:rsidRPr="00C01F65">
        <w:rPr>
          <w:rFonts w:cs="Arial"/>
          <w:iCs/>
        </w:rPr>
        <w:t>the location(s) where people might come into contact with a contaminant</w:t>
      </w:r>
    </w:p>
    <w:p w14:paraId="48BE9AD7" w14:textId="77777777" w:rsidR="00973281" w:rsidRPr="00C01F65" w:rsidRDefault="00973281" w:rsidP="00525686">
      <w:pPr>
        <w:pStyle w:val="ListParagraph"/>
        <w:numPr>
          <w:ilvl w:val="0"/>
          <w:numId w:val="18"/>
        </w:numPr>
        <w:rPr>
          <w:rFonts w:cs="Arial"/>
          <w:iCs/>
        </w:rPr>
      </w:pPr>
      <w:r w:rsidRPr="00C01F65">
        <w:rPr>
          <w:rFonts w:cs="Arial"/>
          <w:iCs/>
        </w:rPr>
        <w:t>the exposure route (inhalation, ingestion or dermal contact)</w:t>
      </w:r>
    </w:p>
    <w:p w14:paraId="53470418" w14:textId="77777777" w:rsidR="00973281" w:rsidRPr="00C01F65" w:rsidRDefault="00973281" w:rsidP="00525686">
      <w:pPr>
        <w:pStyle w:val="ListParagraph"/>
        <w:numPr>
          <w:ilvl w:val="0"/>
          <w:numId w:val="18"/>
        </w:numPr>
        <w:rPr>
          <w:rFonts w:cs="Arial"/>
          <w:iCs/>
        </w:rPr>
      </w:pPr>
      <w:r w:rsidRPr="00C01F65">
        <w:rPr>
          <w:rFonts w:cs="Arial"/>
          <w:iCs/>
        </w:rPr>
        <w:t xml:space="preserve">the potentially exposed population. </w:t>
      </w:r>
    </w:p>
    <w:p w14:paraId="6674EC53" w14:textId="1D1DEADC" w:rsidR="00973281" w:rsidRPr="00C01F65" w:rsidRDefault="00973281" w:rsidP="10077A7C">
      <w:pPr>
        <w:rPr>
          <w:rFonts w:eastAsia="Times New Roman" w:cs="Arial"/>
        </w:rPr>
      </w:pPr>
      <w:r w:rsidRPr="10077A7C">
        <w:rPr>
          <w:rFonts w:eastAsia="Times New Roman" w:cs="Arial"/>
        </w:rPr>
        <w:t>The schematic diagram (</w:t>
      </w:r>
      <w:r w:rsidR="00025B9F">
        <w:rPr>
          <w:rFonts w:eastAsia="Times New Roman" w:cs="Arial"/>
        </w:rPr>
        <w:fldChar w:fldCharType="begin"/>
      </w:r>
      <w:r w:rsidR="00025B9F">
        <w:rPr>
          <w:rFonts w:eastAsia="Times New Roman" w:cs="Arial"/>
        </w:rPr>
        <w:instrText xml:space="preserve"> REF _Ref132746801 \h </w:instrText>
      </w:r>
      <w:r w:rsidR="00025B9F">
        <w:rPr>
          <w:rFonts w:eastAsia="Times New Roman" w:cs="Arial"/>
        </w:rPr>
      </w:r>
      <w:r w:rsidR="00025B9F">
        <w:rPr>
          <w:rFonts w:eastAsia="Times New Roman" w:cs="Arial"/>
        </w:rPr>
        <w:fldChar w:fldCharType="separate"/>
      </w:r>
      <w:r w:rsidR="00FD64B0">
        <w:t>Figure C</w:t>
      </w:r>
      <w:r w:rsidR="00FD64B0">
        <w:rPr>
          <w:noProof/>
        </w:rPr>
        <w:t>3</w:t>
      </w:r>
      <w:r w:rsidR="00025B9F">
        <w:rPr>
          <w:rFonts w:eastAsia="Times New Roman" w:cs="Arial"/>
        </w:rPr>
        <w:fldChar w:fldCharType="end"/>
      </w:r>
      <w:r w:rsidRPr="10077A7C">
        <w:rPr>
          <w:rFonts w:eastAsia="Times New Roman" w:cs="Arial"/>
        </w:rPr>
        <w:t xml:space="preserve">) </w:t>
      </w:r>
      <w:bookmarkStart w:id="325" w:name="_Int_d/+9KtDo"/>
      <w:r w:rsidRPr="10077A7C">
        <w:rPr>
          <w:rFonts w:eastAsia="Times New Roman" w:cs="Arial"/>
        </w:rPr>
        <w:t>prepared</w:t>
      </w:r>
      <w:bookmarkEnd w:id="325"/>
      <w:r w:rsidRPr="10077A7C">
        <w:rPr>
          <w:rFonts w:eastAsia="Times New Roman" w:cs="Arial"/>
        </w:rPr>
        <w:t xml:space="preserve"> during the problem formulation phase must be used to determine what exposure pathways are likely.</w:t>
      </w:r>
    </w:p>
    <w:p w14:paraId="2E9B23AA" w14:textId="77777777" w:rsidR="00973281" w:rsidRPr="00C01F65" w:rsidRDefault="00973281" w:rsidP="00973281">
      <w:pPr>
        <w:rPr>
          <w:rFonts w:eastAsia="Times New Roman" w:cs="Arial"/>
          <w:iCs/>
        </w:rPr>
      </w:pPr>
      <w:r w:rsidRPr="00C01F65">
        <w:rPr>
          <w:rFonts w:eastAsia="Times New Roman" w:cs="Arial"/>
          <w:iCs/>
        </w:rPr>
        <w:t>These five elements will determine to what extent exposure is occurring. All five elements must be present for the exposure pathway to be complete (</w:t>
      </w:r>
      <w:r>
        <w:rPr>
          <w:rFonts w:eastAsia="Times New Roman" w:cs="Arial"/>
          <w:iCs/>
        </w:rPr>
        <w:t>e</w:t>
      </w:r>
      <w:r w:rsidRPr="00C01F65">
        <w:rPr>
          <w:rFonts w:eastAsia="Times New Roman" w:cs="Arial"/>
          <w:iCs/>
        </w:rPr>
        <w:t>n</w:t>
      </w:r>
      <w:r>
        <w:rPr>
          <w:rFonts w:eastAsia="Times New Roman" w:cs="Arial"/>
          <w:iCs/>
        </w:rPr>
        <w:t>H</w:t>
      </w:r>
      <w:r w:rsidRPr="00C01F65">
        <w:rPr>
          <w:rFonts w:eastAsia="Times New Roman" w:cs="Arial"/>
          <w:iCs/>
        </w:rPr>
        <w:t>ealth</w:t>
      </w:r>
      <w:r>
        <w:rPr>
          <w:rFonts w:eastAsia="Times New Roman" w:cs="Arial"/>
          <w:iCs/>
        </w:rPr>
        <w:t>,</w:t>
      </w:r>
      <w:r w:rsidRPr="00C01F65">
        <w:rPr>
          <w:rFonts w:eastAsia="Times New Roman" w:cs="Arial"/>
          <w:iCs/>
        </w:rPr>
        <w:t xml:space="preserve"> 2012).</w:t>
      </w:r>
    </w:p>
    <w:p w14:paraId="10B3FFBC" w14:textId="322F0C06" w:rsidR="00973281" w:rsidRPr="00025B9F" w:rsidRDefault="00973281" w:rsidP="00973281">
      <w:pPr>
        <w:rPr>
          <w:rFonts w:eastAsia="Times New Roman" w:cs="Arial"/>
          <w:iCs/>
        </w:rPr>
      </w:pPr>
      <w:r w:rsidRPr="00C01F65">
        <w:rPr>
          <w:rFonts w:eastAsia="Times New Roman" w:cs="Arial"/>
          <w:iCs/>
        </w:rPr>
        <w:t>Examples of intake volumes for a range of possible uses</w:t>
      </w:r>
      <w:r w:rsidRPr="00025B9F">
        <w:rPr>
          <w:rFonts w:eastAsia="Times New Roman" w:cs="Arial"/>
          <w:iCs/>
        </w:rPr>
        <w:t>, based on a combination of scientific data and order of magnitude reference values, are provided in</w:t>
      </w:r>
      <w:r w:rsidR="003E24E4" w:rsidRPr="00025B9F">
        <w:rPr>
          <w:rFonts w:eastAsia="Times New Roman" w:cs="Arial"/>
          <w:iCs/>
        </w:rPr>
        <w:t xml:space="preserve"> </w:t>
      </w:r>
      <w:r w:rsidR="009423B7" w:rsidRPr="00025B9F">
        <w:rPr>
          <w:rFonts w:eastAsia="Times New Roman" w:cs="Arial"/>
          <w:iCs/>
        </w:rPr>
        <w:fldChar w:fldCharType="begin"/>
      </w:r>
      <w:r w:rsidR="009423B7" w:rsidRPr="00025B9F">
        <w:rPr>
          <w:rFonts w:eastAsia="Times New Roman" w:cs="Arial"/>
          <w:iCs/>
        </w:rPr>
        <w:instrText xml:space="preserve"> REF _Ref88372136 \h  \* MERGEFORMAT </w:instrText>
      </w:r>
      <w:r w:rsidR="009423B7" w:rsidRPr="00025B9F">
        <w:rPr>
          <w:rFonts w:eastAsia="Times New Roman" w:cs="Arial"/>
          <w:iCs/>
        </w:rPr>
      </w:r>
      <w:r w:rsidR="009423B7" w:rsidRPr="00025B9F">
        <w:rPr>
          <w:rFonts w:eastAsia="Times New Roman" w:cs="Arial"/>
          <w:iCs/>
        </w:rPr>
        <w:fldChar w:fldCharType="separate"/>
      </w:r>
      <w:r w:rsidR="00FD64B0" w:rsidRPr="00FD64B0">
        <w:rPr>
          <w:rFonts w:eastAsia="Times New Roman" w:cs="Arial"/>
          <w:iCs/>
          <w:lang w:val="en-GB"/>
        </w:rPr>
        <w:t>Table C6</w:t>
      </w:r>
      <w:r w:rsidR="009423B7" w:rsidRPr="00025B9F">
        <w:rPr>
          <w:rFonts w:eastAsia="Times New Roman" w:cs="Arial"/>
          <w:iCs/>
        </w:rPr>
        <w:fldChar w:fldCharType="end"/>
      </w:r>
      <w:r w:rsidRPr="00025B9F">
        <w:rPr>
          <w:rFonts w:eastAsia="Times New Roman" w:cs="Arial"/>
          <w:iCs/>
        </w:rPr>
        <w:t>. These values are recommended as the conservative default values when specific or local information is not available.</w:t>
      </w:r>
    </w:p>
    <w:p w14:paraId="6014EBBF" w14:textId="04F7C3B0" w:rsidR="00FA14EF" w:rsidRDefault="00EC2060" w:rsidP="00EC2060">
      <w:pPr>
        <w:rPr>
          <w:rFonts w:eastAsia="Times New Roman" w:cs="Arial"/>
          <w:iCs/>
        </w:rPr>
      </w:pPr>
      <w:r w:rsidRPr="00025B9F">
        <w:rPr>
          <w:rFonts w:eastAsia="Times New Roman" w:cs="Arial"/>
          <w:iCs/>
        </w:rPr>
        <w:t>For exposure not listed in</w:t>
      </w:r>
      <w:r w:rsidR="00146AE0" w:rsidRPr="00025B9F">
        <w:rPr>
          <w:rFonts w:eastAsia="Times New Roman" w:cs="Arial"/>
          <w:iCs/>
        </w:rPr>
        <w:t xml:space="preserve"> </w:t>
      </w:r>
      <w:r w:rsidR="00146AE0" w:rsidRPr="00025B9F">
        <w:rPr>
          <w:rFonts w:eastAsia="Times New Roman" w:cs="Arial"/>
          <w:iCs/>
        </w:rPr>
        <w:fldChar w:fldCharType="begin"/>
      </w:r>
      <w:r w:rsidR="00146AE0" w:rsidRPr="00025B9F">
        <w:rPr>
          <w:rFonts w:eastAsia="Times New Roman" w:cs="Arial"/>
          <w:iCs/>
        </w:rPr>
        <w:instrText xml:space="preserve"> REF _Ref88372136 \h  \* MERGEFORMAT </w:instrText>
      </w:r>
      <w:r w:rsidR="00146AE0" w:rsidRPr="00025B9F">
        <w:rPr>
          <w:rFonts w:eastAsia="Times New Roman" w:cs="Arial"/>
          <w:iCs/>
        </w:rPr>
      </w:r>
      <w:r w:rsidR="00146AE0" w:rsidRPr="00025B9F">
        <w:rPr>
          <w:rFonts w:eastAsia="Times New Roman" w:cs="Arial"/>
          <w:iCs/>
        </w:rPr>
        <w:fldChar w:fldCharType="separate"/>
      </w:r>
      <w:r w:rsidR="00FD64B0" w:rsidRPr="00FD64B0">
        <w:rPr>
          <w:rFonts w:eastAsia="Times New Roman" w:cs="Arial"/>
          <w:iCs/>
          <w:lang w:val="en-GB"/>
        </w:rPr>
        <w:t>Table C6</w:t>
      </w:r>
      <w:r w:rsidR="00146AE0" w:rsidRPr="00025B9F">
        <w:rPr>
          <w:rFonts w:eastAsia="Times New Roman" w:cs="Arial"/>
          <w:iCs/>
        </w:rPr>
        <w:fldChar w:fldCharType="end"/>
      </w:r>
      <w:r w:rsidRPr="00025B9F">
        <w:rPr>
          <w:rFonts w:eastAsia="Times New Roman" w:cs="Arial"/>
          <w:iCs/>
        </w:rPr>
        <w:t xml:space="preserve">, risks assessors </w:t>
      </w:r>
      <w:r w:rsidRPr="00C01F65">
        <w:rPr>
          <w:rFonts w:eastAsia="Times New Roman" w:cs="Arial"/>
          <w:iCs/>
        </w:rPr>
        <w:t xml:space="preserve">should refer to </w:t>
      </w:r>
      <w:r>
        <w:rPr>
          <w:rFonts w:eastAsia="Times New Roman" w:cs="Arial"/>
          <w:iCs/>
        </w:rPr>
        <w:t>e</w:t>
      </w:r>
      <w:r w:rsidRPr="00C01F65">
        <w:rPr>
          <w:rFonts w:eastAsia="Times New Roman" w:cs="Arial"/>
          <w:iCs/>
        </w:rPr>
        <w:t>n</w:t>
      </w:r>
      <w:r>
        <w:rPr>
          <w:rFonts w:eastAsia="Times New Roman" w:cs="Arial"/>
          <w:iCs/>
        </w:rPr>
        <w:t>H</w:t>
      </w:r>
      <w:r w:rsidRPr="00C01F65">
        <w:rPr>
          <w:rFonts w:eastAsia="Times New Roman" w:cs="Arial"/>
          <w:iCs/>
        </w:rPr>
        <w:t xml:space="preserve">ealth </w:t>
      </w:r>
      <w:r>
        <w:rPr>
          <w:rFonts w:eastAsia="Times New Roman" w:cs="Arial"/>
          <w:iCs/>
        </w:rPr>
        <w:t>(</w:t>
      </w:r>
      <w:r w:rsidRPr="00C01F65">
        <w:rPr>
          <w:rFonts w:eastAsia="Times New Roman" w:cs="Arial"/>
          <w:iCs/>
        </w:rPr>
        <w:t>2012</w:t>
      </w:r>
      <w:r>
        <w:rPr>
          <w:rFonts w:eastAsia="Times New Roman" w:cs="Arial"/>
          <w:iCs/>
        </w:rPr>
        <w:t>)</w:t>
      </w:r>
      <w:r w:rsidRPr="00C01F65">
        <w:rPr>
          <w:rFonts w:eastAsia="Times New Roman" w:cs="Arial"/>
          <w:iCs/>
        </w:rPr>
        <w:t xml:space="preserve"> or data reported in the scientific literature.</w:t>
      </w:r>
    </w:p>
    <w:p w14:paraId="5DC917E1" w14:textId="19574196" w:rsidR="001A0FFD" w:rsidRDefault="001A0FFD" w:rsidP="00EC2060">
      <w:pPr>
        <w:rPr>
          <w:rFonts w:eastAsia="Times New Roman" w:cs="Arial"/>
          <w:iCs/>
        </w:rPr>
        <w:sectPr w:rsidR="001A0FFD" w:rsidSect="007923A2">
          <w:pgSz w:w="11906" w:h="16838" w:code="9"/>
          <w:pgMar w:top="1038" w:right="743" w:bottom="1321" w:left="987" w:header="284" w:footer="550" w:gutter="0"/>
          <w:cols w:space="720"/>
          <w:titlePg/>
          <w:docGrid w:linePitch="299"/>
        </w:sectPr>
      </w:pPr>
    </w:p>
    <w:p w14:paraId="06CC8680" w14:textId="5F5830B6" w:rsidR="004974A7" w:rsidRDefault="004974A7" w:rsidP="004974A7">
      <w:pPr>
        <w:pStyle w:val="Caption"/>
      </w:pPr>
      <w:bookmarkStart w:id="326" w:name="_Ref88372136"/>
      <w:bookmarkStart w:id="327" w:name="_Ref57144277"/>
      <w:r w:rsidRPr="004B788D">
        <w:lastRenderedPageBreak/>
        <w:t>Table C</w:t>
      </w:r>
      <w:fldSimple w:instr=" SEQ Table_C \* ARABIC ">
        <w:r w:rsidR="00FD64B0">
          <w:rPr>
            <w:noProof/>
          </w:rPr>
          <w:t>6</w:t>
        </w:r>
      </w:fldSimple>
      <w:bookmarkEnd w:id="326"/>
      <w:r w:rsidRPr="004B788D">
        <w:t xml:space="preserve"> – Examples of exposures for various activities</w:t>
      </w:r>
      <w:bookmarkEnd w:id="327"/>
    </w:p>
    <w:tbl>
      <w:tblPr>
        <w:tblStyle w:val="ListTable3-Accent1"/>
        <w:tblpPr w:leftFromText="180" w:rightFromText="180" w:horzAnchor="margin" w:tblpY="459"/>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557"/>
        <w:gridCol w:w="1480"/>
        <w:gridCol w:w="1560"/>
        <w:gridCol w:w="6803"/>
      </w:tblGrid>
      <w:tr w:rsidR="00C95F96" w:rsidRPr="00731118" w14:paraId="40509CD9" w14:textId="77777777" w:rsidTr="006A5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5" w:type="pct"/>
            <w:tcBorders>
              <w:bottom w:val="single" w:sz="4" w:space="0" w:color="auto"/>
            </w:tcBorders>
            <w:shd w:val="clear" w:color="auto" w:fill="003F72"/>
          </w:tcPr>
          <w:p w14:paraId="2C31BA7A" w14:textId="77777777" w:rsidR="002635D2" w:rsidRPr="00D3103C" w:rsidRDefault="002635D2" w:rsidP="00C551F8">
            <w:pPr>
              <w:pStyle w:val="NoSpacing"/>
              <w:rPr>
                <w:rFonts w:asciiTheme="majorHAnsi" w:hAnsiTheme="majorHAnsi"/>
                <w:sz w:val="20"/>
                <w:lang w:eastAsia="en-AU"/>
              </w:rPr>
            </w:pPr>
            <w:r w:rsidRPr="00D3103C">
              <w:rPr>
                <w:rFonts w:asciiTheme="majorHAnsi" w:hAnsiTheme="majorHAnsi"/>
                <w:sz w:val="20"/>
                <w:lang w:eastAsia="en-AU"/>
              </w:rPr>
              <w:t>Activity</w:t>
            </w:r>
          </w:p>
        </w:tc>
        <w:tc>
          <w:tcPr>
            <w:tcW w:w="867" w:type="pct"/>
            <w:shd w:val="clear" w:color="auto" w:fill="003F72"/>
          </w:tcPr>
          <w:p w14:paraId="0ACB95E5"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Route of exposure</w:t>
            </w:r>
          </w:p>
        </w:tc>
        <w:tc>
          <w:tcPr>
            <w:tcW w:w="502" w:type="pct"/>
            <w:shd w:val="clear" w:color="auto" w:fill="003F72"/>
          </w:tcPr>
          <w:p w14:paraId="3F421A51"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Volume (ml)</w:t>
            </w:r>
          </w:p>
        </w:tc>
        <w:tc>
          <w:tcPr>
            <w:tcW w:w="529" w:type="pct"/>
            <w:shd w:val="clear" w:color="auto" w:fill="003F72"/>
          </w:tcPr>
          <w:p w14:paraId="65F86662"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Frequency/</w:t>
            </w:r>
          </w:p>
          <w:p w14:paraId="057CB4BE"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person/year</w:t>
            </w:r>
          </w:p>
        </w:tc>
        <w:tc>
          <w:tcPr>
            <w:tcW w:w="2307" w:type="pct"/>
            <w:shd w:val="clear" w:color="auto" w:fill="003F72"/>
          </w:tcPr>
          <w:p w14:paraId="1C2E8929"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Comments</w:t>
            </w:r>
          </w:p>
        </w:tc>
      </w:tr>
      <w:tr w:rsidR="00A97065" w:rsidRPr="008951A8" w14:paraId="12F1F5DA" w14:textId="77777777" w:rsidTr="006A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Borders>
              <w:top w:val="single" w:sz="4" w:space="0" w:color="auto"/>
            </w:tcBorders>
          </w:tcPr>
          <w:p w14:paraId="6F9DF816"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Garden irrigation</w:t>
            </w:r>
          </w:p>
        </w:tc>
        <w:tc>
          <w:tcPr>
            <w:tcW w:w="867" w:type="pct"/>
          </w:tcPr>
          <w:p w14:paraId="1A435A3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sprays</w:t>
            </w:r>
          </w:p>
        </w:tc>
        <w:tc>
          <w:tcPr>
            <w:tcW w:w="502" w:type="pct"/>
          </w:tcPr>
          <w:p w14:paraId="24E9553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0.1</w:t>
            </w:r>
          </w:p>
        </w:tc>
        <w:tc>
          <w:tcPr>
            <w:tcW w:w="529" w:type="pct"/>
          </w:tcPr>
          <w:p w14:paraId="2675DE6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90</w:t>
            </w:r>
          </w:p>
        </w:tc>
        <w:tc>
          <w:tcPr>
            <w:tcW w:w="2307" w:type="pct"/>
          </w:tcPr>
          <w:p w14:paraId="12E26965"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Garden watering estimated to typically occur every second day during dry months. Exposure to aerosols occurs during watering.</w:t>
            </w:r>
          </w:p>
        </w:tc>
      </w:tr>
      <w:tr w:rsidR="00A97065" w:rsidRPr="008951A8" w14:paraId="253C8D30" w14:textId="77777777" w:rsidTr="00C551F8">
        <w:tc>
          <w:tcPr>
            <w:cnfStyle w:val="001000000000" w:firstRow="0" w:lastRow="0" w:firstColumn="1" w:lastColumn="0" w:oddVBand="0" w:evenVBand="0" w:oddHBand="0" w:evenHBand="0" w:firstRowFirstColumn="0" w:firstRowLastColumn="0" w:lastRowFirstColumn="0" w:lastRowLastColumn="0"/>
            <w:tcW w:w="795" w:type="pct"/>
          </w:tcPr>
          <w:p w14:paraId="67715B79"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Garden irrigation</w:t>
            </w:r>
          </w:p>
        </w:tc>
        <w:tc>
          <w:tcPr>
            <w:tcW w:w="867" w:type="pct"/>
          </w:tcPr>
          <w:p w14:paraId="02CF226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Routine ingestion</w:t>
            </w:r>
          </w:p>
          <w:p w14:paraId="69C3B70B" w14:textId="77777777" w:rsidR="00387368" w:rsidRDefault="00387368"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5F677D0B" w14:textId="636D0E1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Accidental ingestion</w:t>
            </w:r>
          </w:p>
        </w:tc>
        <w:tc>
          <w:tcPr>
            <w:tcW w:w="502" w:type="pct"/>
          </w:tcPr>
          <w:p w14:paraId="2034EE9C"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p w14:paraId="385F7B22" w14:textId="77777777" w:rsidR="00622DBC" w:rsidRDefault="00622DBC"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29B29876" w14:textId="330094F6"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100</w:t>
            </w:r>
          </w:p>
        </w:tc>
        <w:tc>
          <w:tcPr>
            <w:tcW w:w="529" w:type="pct"/>
          </w:tcPr>
          <w:p w14:paraId="438FACC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90</w:t>
            </w:r>
          </w:p>
          <w:p w14:paraId="1E070099" w14:textId="77777777" w:rsidR="00622DBC" w:rsidRDefault="00622DBC"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79E413D3" w14:textId="4203920E"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tc>
        <w:tc>
          <w:tcPr>
            <w:tcW w:w="2307" w:type="pct"/>
          </w:tcPr>
          <w:p w14:paraId="3DD97512"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Routine exposure results from indirect ingestion via contact with plants, lawns, etc.</w:t>
            </w:r>
          </w:p>
          <w:p w14:paraId="5A6D1146"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Infrequent event.</w:t>
            </w:r>
          </w:p>
        </w:tc>
      </w:tr>
      <w:tr w:rsidR="00A97065" w:rsidRPr="008951A8" w14:paraId="2881B3EB"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1F012D5A"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Municipal irrigation</w:t>
            </w:r>
          </w:p>
        </w:tc>
        <w:tc>
          <w:tcPr>
            <w:tcW w:w="867" w:type="pct"/>
          </w:tcPr>
          <w:p w14:paraId="0B35910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w:t>
            </w:r>
          </w:p>
        </w:tc>
        <w:tc>
          <w:tcPr>
            <w:tcW w:w="502" w:type="pct"/>
          </w:tcPr>
          <w:p w14:paraId="210A0114"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tc>
        <w:tc>
          <w:tcPr>
            <w:tcW w:w="529" w:type="pct"/>
          </w:tcPr>
          <w:p w14:paraId="17D82AF1"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50</w:t>
            </w:r>
          </w:p>
        </w:tc>
        <w:tc>
          <w:tcPr>
            <w:tcW w:w="2307" w:type="pct"/>
          </w:tcPr>
          <w:p w14:paraId="5AF42EC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Moderate frequencies as most people use municipal areas sparingly (estimate once every 1 to 3 weeks).</w:t>
            </w:r>
          </w:p>
          <w:p w14:paraId="64B2555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People are unlikely to be directly exposed to large amounts of spray and therefore exposure is from indirect ingestion via contact with lawns, etc. Likely to be higher when used to irrigate facilities such as sports grounds and golf courses (estimate 1/week).</w:t>
            </w:r>
          </w:p>
        </w:tc>
      </w:tr>
      <w:tr w:rsidR="00A97065" w:rsidRPr="008951A8" w14:paraId="3E14AFD4" w14:textId="77777777" w:rsidTr="00C551F8">
        <w:tc>
          <w:tcPr>
            <w:cnfStyle w:val="001000000000" w:firstRow="0" w:lastRow="0" w:firstColumn="1" w:lastColumn="0" w:oddVBand="0" w:evenVBand="0" w:oddHBand="0" w:evenHBand="0" w:firstRowFirstColumn="0" w:firstRowLastColumn="0" w:lastRowFirstColumn="0" w:lastRowLastColumn="0"/>
            <w:tcW w:w="795" w:type="pct"/>
          </w:tcPr>
          <w:p w14:paraId="12DFFDC3"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Food crop consumption (commercial)</w:t>
            </w:r>
          </w:p>
        </w:tc>
        <w:tc>
          <w:tcPr>
            <w:tcW w:w="867" w:type="pct"/>
          </w:tcPr>
          <w:p w14:paraId="3616EEF1"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w:t>
            </w:r>
          </w:p>
        </w:tc>
        <w:tc>
          <w:tcPr>
            <w:tcW w:w="502" w:type="pct"/>
          </w:tcPr>
          <w:p w14:paraId="28D969DF"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 (lettuce)</w:t>
            </w:r>
          </w:p>
          <w:p w14:paraId="5FA24C8D" w14:textId="77777777" w:rsidR="00926A5D" w:rsidRDefault="00926A5D"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37BF4D14" w14:textId="24C61F0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 (other raw produce)</w:t>
            </w:r>
          </w:p>
        </w:tc>
        <w:tc>
          <w:tcPr>
            <w:tcW w:w="529" w:type="pct"/>
          </w:tcPr>
          <w:p w14:paraId="40FCD38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70</w:t>
            </w:r>
          </w:p>
          <w:p w14:paraId="21E4C7F0" w14:textId="1D8E64A7" w:rsidR="00926A5D" w:rsidRDefault="00926A5D"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7AB80EF7" w14:textId="77777777" w:rsidR="006A5365" w:rsidRDefault="006A5365"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3E4BC506" w14:textId="705FAFB6"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140</w:t>
            </w:r>
          </w:p>
        </w:tc>
        <w:tc>
          <w:tcPr>
            <w:tcW w:w="2307" w:type="pct"/>
          </w:tcPr>
          <w:p w14:paraId="7BD24EFE"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At most, 100 g of lettuce leaves hold 10.8 mL of water and cucumbers 0.4 mL (immediately post watering). A serve of lettuce (40 g) might hold 5 mL of water and other produce might hold up to 1</w:t>
            </w:r>
            <w:r w:rsidRPr="008951A8">
              <w:rPr>
                <w:rFonts w:ascii="Cambria" w:hAnsi="Cambria" w:cs="Cambria"/>
                <w:sz w:val="20"/>
              </w:rPr>
              <w:t> </w:t>
            </w:r>
            <w:r w:rsidRPr="008951A8">
              <w:rPr>
                <w:rFonts w:asciiTheme="majorHAnsi" w:hAnsiTheme="majorHAnsi"/>
                <w:sz w:val="20"/>
              </w:rPr>
              <w:t>mL per serve.</w:t>
            </w:r>
          </w:p>
          <w:p w14:paraId="4E2D61FB" w14:textId="4954017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Calculated frequencies are based on ABS</w:t>
            </w:r>
            <w:r w:rsidR="006532F7">
              <w:rPr>
                <w:rFonts w:asciiTheme="majorHAnsi" w:hAnsiTheme="majorHAnsi"/>
                <w:sz w:val="20"/>
              </w:rPr>
              <w:t>*</w:t>
            </w:r>
            <w:r w:rsidRPr="008951A8">
              <w:rPr>
                <w:rFonts w:asciiTheme="majorHAnsi" w:hAnsiTheme="majorHAnsi"/>
                <w:sz w:val="20"/>
              </w:rPr>
              <w:t xml:space="preserve"> data.</w:t>
            </w:r>
          </w:p>
        </w:tc>
      </w:tr>
      <w:tr w:rsidR="00A97065" w:rsidRPr="008951A8" w14:paraId="62C2F834"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3AAA2318" w14:textId="168BFC91"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Toilet flushing</w:t>
            </w:r>
            <w:r w:rsidR="00302C96" w:rsidRPr="00D3103C">
              <w:rPr>
                <w:rFonts w:asciiTheme="majorHAnsi" w:hAnsiTheme="majorHAnsi"/>
                <w:b w:val="0"/>
                <w:bCs w:val="0"/>
                <w:sz w:val="20"/>
                <w:vertAlign w:val="superscript"/>
                <w:lang w:eastAsia="en-AU"/>
              </w:rPr>
              <w:t>#</w:t>
            </w:r>
          </w:p>
        </w:tc>
        <w:tc>
          <w:tcPr>
            <w:tcW w:w="867" w:type="pct"/>
          </w:tcPr>
          <w:p w14:paraId="2C1129B6"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sprays</w:t>
            </w:r>
          </w:p>
        </w:tc>
        <w:tc>
          <w:tcPr>
            <w:tcW w:w="502" w:type="pct"/>
          </w:tcPr>
          <w:p w14:paraId="2979E45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0.01</w:t>
            </w:r>
          </w:p>
        </w:tc>
        <w:tc>
          <w:tcPr>
            <w:tcW w:w="529" w:type="pct"/>
          </w:tcPr>
          <w:p w14:paraId="443A94EF"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1100</w:t>
            </w:r>
          </w:p>
        </w:tc>
        <w:tc>
          <w:tcPr>
            <w:tcW w:w="2307" w:type="pct"/>
          </w:tcPr>
          <w:p w14:paraId="167063C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Frequency based on 3 uses of home toilet per day.</w:t>
            </w:r>
          </w:p>
          <w:p w14:paraId="70B1742E"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Aerosol volumes are less than those produced by garden irrigation.</w:t>
            </w:r>
          </w:p>
        </w:tc>
      </w:tr>
      <w:tr w:rsidR="00A97065" w:rsidRPr="008951A8" w14:paraId="31344523" w14:textId="77777777" w:rsidTr="00C551F8">
        <w:trPr>
          <w:trHeight w:val="519"/>
        </w:trPr>
        <w:tc>
          <w:tcPr>
            <w:cnfStyle w:val="001000000000" w:firstRow="0" w:lastRow="0" w:firstColumn="1" w:lastColumn="0" w:oddVBand="0" w:evenVBand="0" w:oddHBand="0" w:evenHBand="0" w:firstRowFirstColumn="0" w:firstRowLastColumn="0" w:lastRowFirstColumn="0" w:lastRowLastColumn="0"/>
            <w:tcW w:w="795" w:type="pct"/>
          </w:tcPr>
          <w:p w14:paraId="6CB8C784" w14:textId="64F04D78"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Fire fighting</w:t>
            </w:r>
            <w:r w:rsidR="00302C96" w:rsidRPr="00D3103C">
              <w:rPr>
                <w:rFonts w:asciiTheme="majorHAnsi" w:hAnsiTheme="majorHAnsi"/>
                <w:b w:val="0"/>
                <w:bCs w:val="0"/>
                <w:sz w:val="20"/>
                <w:vertAlign w:val="superscript"/>
                <w:lang w:eastAsia="en-AU"/>
              </w:rPr>
              <w:t>#</w:t>
            </w:r>
          </w:p>
        </w:tc>
        <w:tc>
          <w:tcPr>
            <w:tcW w:w="867" w:type="pct"/>
          </w:tcPr>
          <w:p w14:paraId="07CB10FC"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water and sprays</w:t>
            </w:r>
          </w:p>
        </w:tc>
        <w:tc>
          <w:tcPr>
            <w:tcW w:w="502" w:type="pct"/>
          </w:tcPr>
          <w:p w14:paraId="14575B1B"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20</w:t>
            </w:r>
          </w:p>
        </w:tc>
        <w:tc>
          <w:tcPr>
            <w:tcW w:w="529" w:type="pct"/>
          </w:tcPr>
          <w:p w14:paraId="764EE030"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50</w:t>
            </w:r>
          </w:p>
        </w:tc>
        <w:tc>
          <w:tcPr>
            <w:tcW w:w="2307" w:type="pct"/>
            <w:vAlign w:val="center"/>
          </w:tcPr>
          <w:p w14:paraId="4AFB9948"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Median ingestion for firefighters: 20 mL per fire with a maximum number of fires fought of 50 per year.</w:t>
            </w:r>
          </w:p>
        </w:tc>
      </w:tr>
      <w:tr w:rsidR="00A97065" w:rsidRPr="008951A8" w14:paraId="60C1F634"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Borders>
              <w:bottom w:val="single" w:sz="4" w:space="0" w:color="auto"/>
            </w:tcBorders>
          </w:tcPr>
          <w:p w14:paraId="3D4D0B5C"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Water-based recreational activities</w:t>
            </w:r>
          </w:p>
        </w:tc>
        <w:tc>
          <w:tcPr>
            <w:tcW w:w="867" w:type="pct"/>
            <w:tcBorders>
              <w:bottom w:val="single" w:sz="4" w:space="0" w:color="auto"/>
            </w:tcBorders>
          </w:tcPr>
          <w:p w14:paraId="4FB9926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(primary contact)</w:t>
            </w:r>
          </w:p>
          <w:p w14:paraId="78D1E53B" w14:textId="77777777" w:rsidR="00926A5D" w:rsidRDefault="00926A5D"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p>
          <w:p w14:paraId="1D31516E" w14:textId="113D5426"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(secondary contact)</w:t>
            </w:r>
          </w:p>
        </w:tc>
        <w:tc>
          <w:tcPr>
            <w:tcW w:w="502" w:type="pct"/>
            <w:tcBorders>
              <w:bottom w:val="single" w:sz="4" w:space="0" w:color="auto"/>
            </w:tcBorders>
          </w:tcPr>
          <w:p w14:paraId="080DB9AA"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vertAlign w:val="superscript"/>
              </w:rPr>
            </w:pPr>
            <w:r w:rsidRPr="008951A8">
              <w:rPr>
                <w:rFonts w:asciiTheme="majorHAnsi" w:hAnsiTheme="majorHAnsi"/>
                <w:sz w:val="20"/>
                <w:lang w:eastAsia="en-AU"/>
              </w:rPr>
              <w:t>108</w:t>
            </w:r>
          </w:p>
          <w:p w14:paraId="119853E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vertAlign w:val="superscript"/>
              </w:rPr>
            </w:pPr>
          </w:p>
          <w:p w14:paraId="1A2DB9EF" w14:textId="77777777" w:rsidR="00911A15" w:rsidRDefault="00911A15"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p>
          <w:p w14:paraId="1BD8622C" w14:textId="275407D0"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10.8</w:t>
            </w:r>
          </w:p>
        </w:tc>
        <w:tc>
          <w:tcPr>
            <w:tcW w:w="529" w:type="pct"/>
            <w:tcBorders>
              <w:bottom w:val="single" w:sz="4" w:space="0" w:color="auto"/>
            </w:tcBorders>
          </w:tcPr>
          <w:p w14:paraId="573AF8DE"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Variable</w:t>
            </w:r>
          </w:p>
        </w:tc>
        <w:tc>
          <w:tcPr>
            <w:tcW w:w="2307" w:type="pct"/>
            <w:tcBorders>
              <w:bottom w:val="single" w:sz="4" w:space="0" w:color="auto"/>
            </w:tcBorders>
          </w:tcPr>
          <w:p w14:paraId="0C6A300C"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lang w:eastAsia="en-AU"/>
              </w:rPr>
              <w:t>Exposure volume per day defined using data on accidental ingestion of water during swimming from Dufour et al. (2006) as presented in WHO (2016). A reduction factor of 10 is assumed for the ingested volume during secondary contact recreation. Local demographic data must be applied to determine the frequency/person/year.</w:t>
            </w:r>
          </w:p>
        </w:tc>
      </w:tr>
    </w:tbl>
    <w:p w14:paraId="0FF8247B" w14:textId="77777777" w:rsidR="004974A7" w:rsidRDefault="004974A7" w:rsidP="00013E28">
      <w:pPr>
        <w:pStyle w:val="Tablenotes"/>
      </w:pPr>
    </w:p>
    <w:p w14:paraId="4CDEE39F" w14:textId="24E212CE" w:rsidR="00013E28" w:rsidRPr="00C551F8" w:rsidRDefault="00013E28" w:rsidP="00013E28">
      <w:pPr>
        <w:pStyle w:val="Tablenotes"/>
        <w:rPr>
          <w:b/>
          <w:bCs/>
        </w:rPr>
      </w:pPr>
      <w:r w:rsidRPr="00C551F8">
        <w:t>*ABS: Australian Bureau of Statistics - Adapted from NRMMC et al. (2006) and NHMRC (2008) for water-based recreational activities.</w:t>
      </w:r>
    </w:p>
    <w:p w14:paraId="1DCF2CC5" w14:textId="77777777" w:rsidR="00013E28" w:rsidRPr="00C551F8" w:rsidRDefault="00013E28" w:rsidP="00013E28">
      <w:pPr>
        <w:pStyle w:val="Tablenotes"/>
        <w:rPr>
          <w:b/>
          <w:bCs/>
        </w:rPr>
      </w:pPr>
      <w:r w:rsidRPr="00C551F8">
        <w:rPr>
          <w:vertAlign w:val="superscript"/>
        </w:rPr>
        <w:t>#</w:t>
      </w:r>
      <w:r w:rsidRPr="00C551F8">
        <w:t>These activities were included to cover rural/remote areas that may rely on water extracted from a creek for residential and firefighting uses.</w:t>
      </w:r>
    </w:p>
    <w:p w14:paraId="1AC1F902" w14:textId="2E72C9D6" w:rsidR="00013E28" w:rsidRDefault="00013E28" w:rsidP="00071B66">
      <w:pPr>
        <w:sectPr w:rsidR="00013E28" w:rsidSect="00C551F8">
          <w:headerReference w:type="even" r:id="rId75"/>
          <w:headerReference w:type="default" r:id="rId76"/>
          <w:pgSz w:w="16838" w:h="11906" w:orient="landscape" w:code="9"/>
          <w:pgMar w:top="987" w:right="1038" w:bottom="743" w:left="1321" w:header="284" w:footer="284" w:gutter="0"/>
          <w:cols w:space="720"/>
          <w:titlePg/>
          <w:docGrid w:linePitch="299"/>
        </w:sectPr>
      </w:pPr>
    </w:p>
    <w:p w14:paraId="03A19D3B" w14:textId="3C295144" w:rsidR="00F37373" w:rsidRPr="00D026B4" w:rsidRDefault="00F37373" w:rsidP="00F46C15">
      <w:pPr>
        <w:pStyle w:val="AppendixA11"/>
      </w:pPr>
      <w:bookmarkStart w:id="328" w:name="_Toc133938174"/>
      <w:r>
        <w:lastRenderedPageBreak/>
        <w:t>Health effects assessment</w:t>
      </w:r>
      <w:bookmarkEnd w:id="328"/>
    </w:p>
    <w:p w14:paraId="72AB8013" w14:textId="77777777" w:rsidR="003B13BA" w:rsidRPr="00C01F65" w:rsidRDefault="000A6BE3" w:rsidP="003B13BA">
      <w:pPr>
        <w:rPr>
          <w:rFonts w:eastAsia="Times New Roman" w:cs="Arial"/>
          <w:iCs/>
        </w:rPr>
      </w:pPr>
      <w:r w:rsidRPr="00C01F65">
        <w:rPr>
          <w:rFonts w:eastAsia="Times New Roman" w:cs="Arial"/>
          <w:iCs/>
        </w:rPr>
        <w:t>Information on the relationship between the ingested dose of pathogens and the probability of developing infection and illness is usually derived from human feeding studies and investigations of outbreaks (Haas et al.</w:t>
      </w:r>
      <w:r>
        <w:rPr>
          <w:rFonts w:eastAsia="Times New Roman" w:cs="Arial"/>
          <w:iCs/>
        </w:rPr>
        <w:t>,</w:t>
      </w:r>
      <w:r w:rsidRPr="00C01F65">
        <w:rPr>
          <w:rFonts w:eastAsia="Times New Roman" w:cs="Arial"/>
          <w:iCs/>
        </w:rPr>
        <w:t xml:space="preserve"> 1999</w:t>
      </w:r>
      <w:r>
        <w:rPr>
          <w:rFonts w:eastAsia="Times New Roman" w:cs="Arial"/>
          <w:iCs/>
        </w:rPr>
        <w:t>, 2014</w:t>
      </w:r>
      <w:r w:rsidRPr="00C01F65">
        <w:rPr>
          <w:rFonts w:eastAsia="Times New Roman" w:cs="Arial"/>
          <w:iCs/>
        </w:rPr>
        <w:t>; Messner et al.</w:t>
      </w:r>
      <w:r>
        <w:rPr>
          <w:rFonts w:eastAsia="Times New Roman" w:cs="Arial"/>
          <w:iCs/>
        </w:rPr>
        <w:t>,</w:t>
      </w:r>
      <w:r w:rsidRPr="00C01F65">
        <w:rPr>
          <w:rFonts w:eastAsia="Times New Roman" w:cs="Arial"/>
          <w:iCs/>
        </w:rPr>
        <w:t xml:space="preserve"> 2014; Rose </w:t>
      </w:r>
      <w:r>
        <w:rPr>
          <w:rFonts w:eastAsia="Times New Roman" w:cs="Arial"/>
          <w:iCs/>
        </w:rPr>
        <w:t>and</w:t>
      </w:r>
      <w:r w:rsidRPr="00C01F65">
        <w:rPr>
          <w:rFonts w:eastAsia="Times New Roman" w:cs="Arial"/>
          <w:iCs/>
        </w:rPr>
        <w:t xml:space="preserve"> Gerba</w:t>
      </w:r>
      <w:r>
        <w:rPr>
          <w:rFonts w:eastAsia="Times New Roman" w:cs="Arial"/>
          <w:iCs/>
        </w:rPr>
        <w:t>,</w:t>
      </w:r>
      <w:r w:rsidRPr="00C01F65">
        <w:rPr>
          <w:rFonts w:eastAsia="Times New Roman" w:cs="Arial"/>
          <w:iCs/>
        </w:rPr>
        <w:t xml:space="preserve"> 1991; Teunis et al.</w:t>
      </w:r>
      <w:r>
        <w:rPr>
          <w:rFonts w:eastAsia="Times New Roman" w:cs="Arial"/>
          <w:iCs/>
        </w:rPr>
        <w:t>,</w:t>
      </w:r>
      <w:r w:rsidRPr="00C01F65">
        <w:rPr>
          <w:rFonts w:eastAsia="Times New Roman" w:cs="Arial"/>
          <w:iCs/>
        </w:rPr>
        <w:t xml:space="preserve"> 2004, 2008; WHO, 2011). The doses associated with infection are typically 10-100 times lower for viruses</w:t>
      </w:r>
      <w:r w:rsidR="003B13BA">
        <w:rPr>
          <w:rFonts w:eastAsia="Times New Roman" w:cs="Arial"/>
          <w:iCs/>
        </w:rPr>
        <w:t xml:space="preserve"> </w:t>
      </w:r>
      <w:r w:rsidR="003B13BA" w:rsidRPr="00C01F65">
        <w:rPr>
          <w:rFonts w:eastAsia="Times New Roman" w:cs="Arial"/>
          <w:iCs/>
        </w:rPr>
        <w:t xml:space="preserve">and protozoa than for bacteria. </w:t>
      </w:r>
      <w:r w:rsidR="003B13BA" w:rsidRPr="00C01F65">
        <w:rPr>
          <w:rFonts w:eastAsia="Times New Roman" w:cs="Arial"/>
          <w:i/>
          <w:iCs/>
        </w:rPr>
        <w:t>Shigella</w:t>
      </w:r>
      <w:r w:rsidR="003B13BA" w:rsidRPr="00C01F65">
        <w:rPr>
          <w:rFonts w:eastAsia="Times New Roman" w:cs="Arial"/>
          <w:iCs/>
        </w:rPr>
        <w:t xml:space="preserve">, typhoid </w:t>
      </w:r>
      <w:r w:rsidR="003B13BA" w:rsidRPr="00C01F65">
        <w:rPr>
          <w:rFonts w:eastAsia="Times New Roman" w:cs="Arial"/>
          <w:i/>
          <w:iCs/>
        </w:rPr>
        <w:t>Salmonella</w:t>
      </w:r>
      <w:r w:rsidR="003B13BA" w:rsidRPr="00C01F65">
        <w:rPr>
          <w:rFonts w:eastAsia="Times New Roman" w:cs="Arial"/>
          <w:iCs/>
        </w:rPr>
        <w:t xml:space="preserve"> and haemorrhagic </w:t>
      </w:r>
      <w:r w:rsidR="003B13BA" w:rsidRPr="00C01F65">
        <w:rPr>
          <w:rFonts w:eastAsia="Times New Roman" w:cs="Arial"/>
          <w:i/>
          <w:iCs/>
        </w:rPr>
        <w:t xml:space="preserve">E. coli </w:t>
      </w:r>
      <w:r w:rsidR="003B13BA" w:rsidRPr="00C01F65">
        <w:rPr>
          <w:rFonts w:eastAsia="Times New Roman" w:cs="Arial"/>
          <w:iCs/>
        </w:rPr>
        <w:t xml:space="preserve">are notable exceptions. For example, investigation of one outbreak found that average doses of </w:t>
      </w:r>
      <w:r w:rsidR="003B13BA" w:rsidRPr="00C01F65">
        <w:rPr>
          <w:rFonts w:eastAsia="Times New Roman" w:cs="Arial"/>
          <w:i/>
          <w:iCs/>
        </w:rPr>
        <w:t>E. coli</w:t>
      </w:r>
      <w:r w:rsidR="003B13BA" w:rsidRPr="00C01F65">
        <w:rPr>
          <w:rFonts w:eastAsia="Times New Roman" w:cs="Arial"/>
          <w:iCs/>
        </w:rPr>
        <w:t xml:space="preserve"> O157:H7 associated with infection were 30–35 organisms (Teunis et al.</w:t>
      </w:r>
      <w:r w:rsidR="003B13BA">
        <w:rPr>
          <w:rFonts w:eastAsia="Times New Roman" w:cs="Arial"/>
          <w:iCs/>
        </w:rPr>
        <w:t>,</w:t>
      </w:r>
      <w:r w:rsidR="003B13BA" w:rsidRPr="00C01F65">
        <w:rPr>
          <w:rFonts w:eastAsia="Times New Roman" w:cs="Arial"/>
          <w:iCs/>
        </w:rPr>
        <w:t xml:space="preserve"> 2004).</w:t>
      </w:r>
    </w:p>
    <w:p w14:paraId="385D5150" w14:textId="77777777" w:rsidR="003B13BA" w:rsidRPr="00C01F65" w:rsidRDefault="003B13BA" w:rsidP="003B13BA">
      <w:pPr>
        <w:rPr>
          <w:rFonts w:eastAsia="Times New Roman" w:cs="Arial"/>
          <w:iCs/>
        </w:rPr>
      </w:pPr>
      <w:r w:rsidRPr="00C01F65">
        <w:rPr>
          <w:rFonts w:eastAsia="Times New Roman" w:cs="Arial"/>
          <w:iCs/>
        </w:rPr>
        <w:t xml:space="preserve">Factors such as immune status, pre-existing health conditions and diet will affect the </w:t>
      </w:r>
      <w:r>
        <w:rPr>
          <w:rFonts w:eastAsia="Times New Roman" w:cs="Arial"/>
          <w:iCs/>
        </w:rPr>
        <w:t>dose-response</w:t>
      </w:r>
      <w:r w:rsidRPr="00C01F65">
        <w:rPr>
          <w:rFonts w:eastAsia="Times New Roman" w:cs="Arial"/>
          <w:iCs/>
        </w:rPr>
        <w:t xml:space="preserve">, with immuno-compromised populations most at risk. As the influence of these multiple factors is not well characterised, the general approach taken is usually to assess the health risk of the general population. In some circumstances, it can be appropriate to use </w:t>
      </w:r>
      <w:r>
        <w:rPr>
          <w:rFonts w:eastAsia="Times New Roman" w:cs="Arial"/>
          <w:iCs/>
        </w:rPr>
        <w:t>dose-response</w:t>
      </w:r>
      <w:r w:rsidRPr="00C01F65">
        <w:rPr>
          <w:rFonts w:eastAsia="Times New Roman" w:cs="Arial"/>
          <w:iCs/>
        </w:rPr>
        <w:t xml:space="preserve">s associated with vulnerable groups for the risk assessments associated with specific environmental values. </w:t>
      </w:r>
      <w:r>
        <w:rPr>
          <w:rFonts w:eastAsia="Times New Roman" w:cs="Arial"/>
          <w:iCs/>
        </w:rPr>
        <w:t>Dose-response</w:t>
      </w:r>
      <w:r w:rsidRPr="00C01F65">
        <w:rPr>
          <w:rFonts w:eastAsia="Times New Roman" w:cs="Arial"/>
          <w:iCs/>
        </w:rPr>
        <w:t xml:space="preserve"> models for children are likely to be different than those of adults and will usually provide very different outcomes. Attention should be paid to the population targeted by the epidemiological studies from which models and infectious doses were derived.</w:t>
      </w:r>
    </w:p>
    <w:p w14:paraId="6F82149A" w14:textId="7EE6F31D" w:rsidR="006A79F8" w:rsidRDefault="003B13BA" w:rsidP="003B13BA">
      <w:pPr>
        <w:rPr>
          <w:rFonts w:eastAsia="Times New Roman" w:cs="Arial"/>
          <w:iCs/>
        </w:rPr>
      </w:pPr>
      <w:r>
        <w:rPr>
          <w:rFonts w:eastAsia="Times New Roman" w:cs="Arial"/>
          <w:iCs/>
        </w:rPr>
        <w:t>Dose-response</w:t>
      </w:r>
      <w:r w:rsidRPr="00C01F65">
        <w:rPr>
          <w:rFonts w:eastAsia="Times New Roman" w:cs="Arial"/>
          <w:iCs/>
        </w:rPr>
        <w:t xml:space="preserve"> correlations are expressed mathematically. Examples of mathematical models used to describe </w:t>
      </w:r>
      <w:r w:rsidRPr="008C75DE">
        <w:rPr>
          <w:rFonts w:eastAsia="Times New Roman" w:cs="Arial"/>
          <w:iCs/>
        </w:rPr>
        <w:t>doses responses</w:t>
      </w:r>
      <w:r w:rsidRPr="00C01F65">
        <w:rPr>
          <w:rFonts w:eastAsia="Times New Roman" w:cs="Arial"/>
          <w:iCs/>
        </w:rPr>
        <w:t xml:space="preserve"> for pathogens of relevance (‘reference pathogens’) are provided in</w:t>
      </w:r>
      <w:r w:rsidR="000B3904">
        <w:rPr>
          <w:rFonts w:eastAsia="Times New Roman" w:cs="Arial"/>
          <w:iCs/>
        </w:rPr>
        <w:t xml:space="preserve"> </w:t>
      </w:r>
      <w:r w:rsidR="000B3904" w:rsidRPr="00C81272">
        <w:fldChar w:fldCharType="begin"/>
      </w:r>
      <w:r w:rsidR="000B3904" w:rsidRPr="00C81272">
        <w:instrText xml:space="preserve"> REF _Ref88372798 \h  \* MERGEFORMAT </w:instrText>
      </w:r>
      <w:r w:rsidR="000B3904" w:rsidRPr="00C81272">
        <w:fldChar w:fldCharType="separate"/>
      </w:r>
      <w:r w:rsidR="00FD64B0" w:rsidRPr="00FD64B0">
        <w:rPr>
          <w:rFonts w:cs="Arial"/>
        </w:rPr>
        <w:t>Table C7</w:t>
      </w:r>
      <w:r w:rsidR="000B3904" w:rsidRPr="00C81272">
        <w:fldChar w:fldCharType="end"/>
      </w:r>
      <w:r w:rsidRPr="00C01F65">
        <w:rPr>
          <w:rFonts w:eastAsia="Times New Roman" w:cs="Arial"/>
          <w:iCs/>
        </w:rPr>
        <w:t xml:space="preserve">. </w:t>
      </w:r>
      <w:r w:rsidR="00B21D92" w:rsidRPr="00B21D92">
        <w:rPr>
          <w:rFonts w:eastAsia="Times New Roman" w:cs="Arial"/>
          <w:iCs/>
        </w:rPr>
        <w:t>Please note that the use of dose</w:t>
      </w:r>
      <w:r w:rsidR="008F156B">
        <w:rPr>
          <w:rFonts w:eastAsia="Times New Roman" w:cs="Arial"/>
          <w:iCs/>
        </w:rPr>
        <w:t>-</w:t>
      </w:r>
      <w:r w:rsidR="00B21D92" w:rsidRPr="00B21D92">
        <w:rPr>
          <w:rFonts w:eastAsia="Times New Roman" w:cs="Arial"/>
          <w:iCs/>
        </w:rPr>
        <w:t xml:space="preserve">response models for </w:t>
      </w:r>
      <w:r w:rsidR="00B21D92" w:rsidRPr="00B21D92">
        <w:rPr>
          <w:rFonts w:eastAsia="Times New Roman" w:cs="Arial"/>
          <w:i/>
        </w:rPr>
        <w:t>E. coli</w:t>
      </w:r>
      <w:r w:rsidR="00B21D92" w:rsidRPr="00B21D92">
        <w:rPr>
          <w:rFonts w:eastAsia="Times New Roman" w:cs="Arial"/>
          <w:iCs/>
        </w:rPr>
        <w:t xml:space="preserve"> O157:H7 may be warranted if animal effluents are present.</w:t>
      </w:r>
    </w:p>
    <w:p w14:paraId="0FC02B3D" w14:textId="4AF0C82E" w:rsidR="003D275D" w:rsidRDefault="003B13BA" w:rsidP="005219CC">
      <w:pPr>
        <w:rPr>
          <w:rFonts w:eastAsia="Times New Roman" w:cs="Arial"/>
          <w:iCs/>
        </w:rPr>
      </w:pPr>
      <w:r w:rsidRPr="00C01F65">
        <w:rPr>
          <w:rFonts w:eastAsia="Times New Roman" w:cs="Arial"/>
          <w:iCs/>
        </w:rPr>
        <w:t>The most commonly applied models are based on a ‘single’ hit theory, which means each ingested pathogen is assumed to act independently and has an individual probability of causing infection (WHO</w:t>
      </w:r>
      <w:r>
        <w:rPr>
          <w:rFonts w:eastAsia="Times New Roman" w:cs="Arial"/>
          <w:iCs/>
        </w:rPr>
        <w:t>,</w:t>
      </w:r>
      <w:r w:rsidRPr="00C01F65">
        <w:rPr>
          <w:rFonts w:eastAsia="Times New Roman" w:cs="Arial"/>
          <w:iCs/>
        </w:rPr>
        <w:t xml:space="preserve"> 2016). As individuals are exposed to all pathogens present, this limitation may be partially overcome by using QMRA-Monte Carlo risk simulations for pathogens likely to be present (and for those which </w:t>
      </w:r>
      <w:r>
        <w:rPr>
          <w:rFonts w:eastAsia="Times New Roman" w:cs="Arial"/>
          <w:iCs/>
        </w:rPr>
        <w:t>dose-response</w:t>
      </w:r>
      <w:r w:rsidRPr="00C01F65">
        <w:rPr>
          <w:rFonts w:eastAsia="Times New Roman" w:cs="Arial"/>
          <w:iCs/>
        </w:rPr>
        <w:t xml:space="preserve"> data are available (Mara</w:t>
      </w:r>
      <w:r>
        <w:rPr>
          <w:rFonts w:eastAsia="Times New Roman" w:cs="Arial"/>
          <w:iCs/>
        </w:rPr>
        <w:t>,</w:t>
      </w:r>
      <w:r w:rsidRPr="00C01F65">
        <w:rPr>
          <w:rFonts w:eastAsia="Times New Roman" w:cs="Arial"/>
          <w:iCs/>
        </w:rPr>
        <w:t xml:space="preserve"> 2011).</w:t>
      </w:r>
    </w:p>
    <w:p w14:paraId="20E196C7" w14:textId="48504426" w:rsidR="00C551F8" w:rsidRPr="00071B66" w:rsidRDefault="00C551F8" w:rsidP="00A4665C">
      <w:pPr>
        <w:pStyle w:val="Caption"/>
        <w:rPr>
          <w:rFonts w:eastAsia="Times New Roman" w:cs="Arial"/>
        </w:rPr>
      </w:pPr>
      <w:bookmarkStart w:id="329" w:name="_Ref88372798"/>
      <w:bookmarkStart w:id="330" w:name="_Ref57144387"/>
      <w:r w:rsidRPr="00071B66">
        <w:t>Table C</w:t>
      </w:r>
      <w:fldSimple w:instr=" SEQ Table_C \* ARABIC ">
        <w:r w:rsidR="00FD64B0">
          <w:rPr>
            <w:noProof/>
          </w:rPr>
          <w:t>7</w:t>
        </w:r>
      </w:fldSimple>
      <w:bookmarkEnd w:id="329"/>
      <w:r w:rsidRPr="00071B66">
        <w:t xml:space="preserve"> </w:t>
      </w:r>
      <w:r w:rsidRPr="00071B66">
        <w:rPr>
          <w:rFonts w:asciiTheme="majorHAnsi" w:hAnsiTheme="majorHAnsi"/>
        </w:rPr>
        <w:t>–</w:t>
      </w:r>
      <w:r w:rsidRPr="00071B66">
        <w:t xml:space="preserve"> Dose-response relationships for reference pathogens</w:t>
      </w:r>
      <w:bookmarkEnd w:id="330"/>
    </w:p>
    <w:tbl>
      <w:tblPr>
        <w:tblStyle w:val="ListTable3-Accent1"/>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91"/>
        <w:gridCol w:w="1899"/>
        <w:gridCol w:w="1571"/>
        <w:gridCol w:w="1767"/>
      </w:tblGrid>
      <w:tr w:rsidR="003D275D" w:rsidRPr="003D275D" w14:paraId="2EC84665" w14:textId="77777777" w:rsidTr="006A5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3" w:type="pct"/>
            <w:tcBorders>
              <w:bottom w:val="single" w:sz="4" w:space="0" w:color="auto"/>
            </w:tcBorders>
            <w:shd w:val="clear" w:color="auto" w:fill="003F72"/>
            <w:vAlign w:val="center"/>
          </w:tcPr>
          <w:p w14:paraId="5A477D74" w14:textId="77777777" w:rsidR="003D275D" w:rsidRPr="003D275D" w:rsidRDefault="003D275D" w:rsidP="00222236">
            <w:pPr>
              <w:pStyle w:val="Tabletext0"/>
            </w:pPr>
            <w:r w:rsidRPr="003D275D">
              <w:t>Organism type</w:t>
            </w:r>
          </w:p>
        </w:tc>
        <w:tc>
          <w:tcPr>
            <w:tcW w:w="1224" w:type="pct"/>
            <w:shd w:val="clear" w:color="auto" w:fill="003F72"/>
            <w:vAlign w:val="center"/>
          </w:tcPr>
          <w:p w14:paraId="03A4B11F"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Distribution</w:t>
            </w:r>
          </w:p>
        </w:tc>
        <w:tc>
          <w:tcPr>
            <w:tcW w:w="933" w:type="pct"/>
            <w:shd w:val="clear" w:color="auto" w:fill="003F72"/>
            <w:vAlign w:val="center"/>
          </w:tcPr>
          <w:p w14:paraId="602BADE7" w14:textId="77777777" w:rsidR="003D275D" w:rsidRPr="001A2A05"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1A2A05">
              <w:t>Model</w:t>
            </w:r>
          </w:p>
        </w:tc>
        <w:tc>
          <w:tcPr>
            <w:tcW w:w="772" w:type="pct"/>
            <w:shd w:val="clear" w:color="auto" w:fill="003F72"/>
            <w:vAlign w:val="center"/>
          </w:tcPr>
          <w:p w14:paraId="06BB673D"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Parameters</w:t>
            </w:r>
          </w:p>
        </w:tc>
        <w:tc>
          <w:tcPr>
            <w:tcW w:w="868" w:type="pct"/>
            <w:shd w:val="clear" w:color="auto" w:fill="003F72"/>
            <w:vAlign w:val="center"/>
          </w:tcPr>
          <w:p w14:paraId="5E744D59"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Probability of illness per infection</w:t>
            </w:r>
          </w:p>
        </w:tc>
      </w:tr>
      <w:tr w:rsidR="00B21D92" w:rsidRPr="003D275D" w14:paraId="7E7BDE3F" w14:textId="77777777" w:rsidTr="006A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tcBorders>
            <w:vAlign w:val="center"/>
          </w:tcPr>
          <w:p w14:paraId="54415C38" w14:textId="77777777" w:rsidR="00B21D92" w:rsidRPr="00143A27" w:rsidRDefault="00B21D92" w:rsidP="00222236">
            <w:pPr>
              <w:pStyle w:val="Tabletext0"/>
            </w:pPr>
            <w:r w:rsidRPr="00143A27">
              <w:t>Bacteria</w:t>
            </w:r>
          </w:p>
          <w:p w14:paraId="6A7BADC7" w14:textId="64A3A7A5" w:rsidR="00B21D92" w:rsidRPr="00143A27" w:rsidRDefault="00B21D92" w:rsidP="00222236">
            <w:pPr>
              <w:pStyle w:val="Tabletext0"/>
            </w:pPr>
            <w:r w:rsidRPr="00143A27">
              <w:t>(</w:t>
            </w:r>
            <w:r w:rsidRPr="00143A27">
              <w:rPr>
                <w:i/>
              </w:rPr>
              <w:t>Campylobacter)</w:t>
            </w:r>
          </w:p>
        </w:tc>
        <w:tc>
          <w:tcPr>
            <w:tcW w:w="1224" w:type="pct"/>
            <w:vAlign w:val="center"/>
          </w:tcPr>
          <w:p w14:paraId="25C6988A" w14:textId="42720BA3"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Approximate beta-Poisson</w:t>
            </w:r>
          </w:p>
        </w:tc>
        <w:tc>
          <w:tcPr>
            <w:tcW w:w="933" w:type="pct"/>
            <w:vAlign w:val="center"/>
          </w:tcPr>
          <w:p w14:paraId="4ED6B987" w14:textId="2C353592"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P</w:t>
            </w:r>
            <w:r w:rsidRPr="00B21D92">
              <w:rPr>
                <w:vertAlign w:val="subscript"/>
              </w:rPr>
              <w:t xml:space="preserve">inf </w:t>
            </w:r>
            <w:r w:rsidRPr="00B21D92">
              <w:t>=</w:t>
            </w:r>
            <w:r w:rsidRPr="00B21D92">
              <w:rPr>
                <w:vertAlign w:val="subscript"/>
              </w:rPr>
              <w:t xml:space="preserve"> </w:t>
            </w:r>
            <m:oMath>
              <m:f>
                <m:fPr>
                  <m:ctrlPr>
                    <w:rPr>
                      <w:rFonts w:ascii="Cambria Math" w:hAnsi="Cambria Math"/>
                      <w:i/>
                      <w:vertAlign w:val="subscript"/>
                    </w:rPr>
                  </m:ctrlPr>
                </m:fPr>
                <m:num>
                  <m:r>
                    <w:rPr>
                      <w:rFonts w:ascii="Cambria Math" w:hAnsi="Cambria Math"/>
                      <w:vertAlign w:val="subscript"/>
                    </w:rPr>
                    <m:t>α</m:t>
                  </m:r>
                </m:num>
                <m:den>
                  <m:r>
                    <m:rPr>
                      <m:sty m:val="p"/>
                    </m:rPr>
                    <w:rPr>
                      <w:rFonts w:ascii="Cambria Math" w:eastAsia="Calibri" w:hAnsi="Cambria Math"/>
                    </w:rPr>
                    <m:t>β</m:t>
                  </m:r>
                </m:den>
              </m:f>
              <m:r>
                <w:rPr>
                  <w:rFonts w:ascii="Cambria Math" w:hAnsi="Cambria Math"/>
                  <w:vertAlign w:val="subscript"/>
                </w:rPr>
                <m:t>.d</m:t>
              </m:r>
            </m:oMath>
          </w:p>
        </w:tc>
        <w:tc>
          <w:tcPr>
            <w:tcW w:w="772" w:type="pct"/>
            <w:vAlign w:val="center"/>
          </w:tcPr>
          <w:p w14:paraId="1054F536" w14:textId="77969027"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rPr>
                <w:rFonts w:ascii="Symbol" w:hAnsi="Symbol" w:cs="Arial"/>
                <w:szCs w:val="20"/>
              </w:rPr>
            </w:pP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00361D35">
              <w:rPr>
                <w:rFonts w:cs="Arial"/>
                <w:szCs w:val="20"/>
              </w:rPr>
              <w:t>0.145</w:t>
            </w:r>
          </w:p>
          <w:p w14:paraId="544B89C8" w14:textId="006C5146"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rPr>
                <w:rFonts w:ascii="Symbol" w:hAnsi="Symbol" w:cs="Arial"/>
              </w:rPr>
              <w:t></w:t>
            </w:r>
            <w:r w:rsidRPr="00B21D92">
              <w:rPr>
                <w:rFonts w:ascii="Symbol" w:hAnsi="Symbol" w:cs="Arial"/>
              </w:rPr>
              <w:t></w:t>
            </w:r>
            <w:r w:rsidRPr="00B21D92">
              <w:rPr>
                <w:rFonts w:ascii="Symbol" w:hAnsi="Symbol" w:cs="Arial"/>
              </w:rPr>
              <w:t></w:t>
            </w:r>
            <w:r w:rsidRPr="00B21D92">
              <w:rPr>
                <w:rFonts w:ascii="Symbol" w:hAnsi="Symbol" w:cs="Arial"/>
              </w:rPr>
              <w:t></w:t>
            </w:r>
            <w:r w:rsidR="00085225">
              <w:rPr>
                <w:rFonts w:cs="Arial"/>
              </w:rPr>
              <w:t>7.58</w:t>
            </w:r>
          </w:p>
        </w:tc>
        <w:tc>
          <w:tcPr>
            <w:tcW w:w="868" w:type="pct"/>
            <w:vAlign w:val="center"/>
          </w:tcPr>
          <w:p w14:paraId="70F19206" w14:textId="77777777" w:rsidR="00B21D92" w:rsidRPr="0027227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272272">
              <w:t>0.3</w:t>
            </w:r>
          </w:p>
        </w:tc>
      </w:tr>
      <w:tr w:rsidR="00B21D92" w:rsidRPr="003D275D" w14:paraId="3193867C" w14:textId="77777777" w:rsidTr="00C551F8">
        <w:tc>
          <w:tcPr>
            <w:cnfStyle w:val="001000000000" w:firstRow="0" w:lastRow="0" w:firstColumn="1" w:lastColumn="0" w:oddVBand="0" w:evenVBand="0" w:oddHBand="0" w:evenHBand="0" w:firstRowFirstColumn="0" w:firstRowLastColumn="0" w:lastRowFirstColumn="0" w:lastRowLastColumn="0"/>
            <w:tcW w:w="1203" w:type="pct"/>
            <w:vAlign w:val="center"/>
          </w:tcPr>
          <w:p w14:paraId="710A10A4" w14:textId="7A91E4D6" w:rsidR="00B21D92" w:rsidRPr="00143A27" w:rsidRDefault="00B21D92" w:rsidP="00222236">
            <w:pPr>
              <w:pStyle w:val="Tabletext0"/>
            </w:pPr>
            <w:r w:rsidRPr="00143A27">
              <w:t>Virus (norovirus)</w:t>
            </w:r>
          </w:p>
        </w:tc>
        <w:tc>
          <w:tcPr>
            <w:tcW w:w="1224" w:type="pct"/>
            <w:vAlign w:val="center"/>
          </w:tcPr>
          <w:p w14:paraId="2A2D6A3A" w14:textId="61E79D43"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B21D92">
              <w:t>Exact beta-Poisson</w:t>
            </w:r>
          </w:p>
        </w:tc>
        <w:tc>
          <w:tcPr>
            <w:tcW w:w="933" w:type="pct"/>
            <w:vAlign w:val="center"/>
          </w:tcPr>
          <w:p w14:paraId="2B50F648" w14:textId="0D890CF4"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B21D92">
              <w:t>P</w:t>
            </w:r>
            <w:r w:rsidRPr="00B21D92">
              <w:rPr>
                <w:vertAlign w:val="subscript"/>
              </w:rPr>
              <w:t xml:space="preserve">inf </w:t>
            </w:r>
            <w:r w:rsidRPr="00B21D92">
              <w:t>=</w:t>
            </w:r>
            <w:r w:rsidRPr="00B21D92">
              <w:rPr>
                <w:vertAlign w:val="subscript"/>
              </w:rPr>
              <w:t xml:space="preserve"> </w:t>
            </w:r>
            <m:oMath>
              <m:f>
                <m:fPr>
                  <m:ctrlPr>
                    <w:rPr>
                      <w:rFonts w:ascii="Cambria Math" w:hAnsi="Cambria Math"/>
                      <w:vertAlign w:val="subscript"/>
                    </w:rPr>
                  </m:ctrlPr>
                </m:fPr>
                <m:num>
                  <m:r>
                    <w:rPr>
                      <w:rFonts w:ascii="Cambria Math" w:hAnsi="Cambria Math"/>
                      <w:vertAlign w:val="subscript"/>
                    </w:rPr>
                    <m:t>α</m:t>
                  </m:r>
                </m:num>
                <m:den>
                  <m:r>
                    <w:rPr>
                      <w:rFonts w:ascii="Cambria Math" w:hAnsi="Cambria Math"/>
                      <w:vertAlign w:val="subscript"/>
                    </w:rPr>
                    <m:t>α</m:t>
                  </m:r>
                  <m:r>
                    <m:rPr>
                      <m:sty m:val="p"/>
                    </m:rPr>
                    <w:rPr>
                      <w:rFonts w:ascii="Cambria Math" w:hAnsi="Cambria Math"/>
                      <w:vertAlign w:val="subscript"/>
                    </w:rPr>
                    <m:t xml:space="preserve">+ </m:t>
                  </m:r>
                  <m:r>
                    <m:rPr>
                      <m:sty m:val="p"/>
                    </m:rPr>
                    <w:rPr>
                      <w:rFonts w:ascii="Cambria Math" w:hAnsi="Cambria Math"/>
                    </w:rPr>
                    <m:t>β</m:t>
                  </m:r>
                </m:den>
              </m:f>
              <m:r>
                <m:rPr>
                  <m:sty m:val="p"/>
                </m:rPr>
                <w:rPr>
                  <w:rFonts w:ascii="Cambria Math" w:hAnsi="Cambria Math"/>
                  <w:vertAlign w:val="subscript"/>
                </w:rPr>
                <m:t>.</m:t>
              </m:r>
              <m:r>
                <w:rPr>
                  <w:rFonts w:ascii="Cambria Math" w:hAnsi="Cambria Math"/>
                  <w:vertAlign w:val="subscript"/>
                </w:rPr>
                <m:t>d</m:t>
              </m:r>
            </m:oMath>
          </w:p>
        </w:tc>
        <w:tc>
          <w:tcPr>
            <w:tcW w:w="772" w:type="pct"/>
            <w:vAlign w:val="center"/>
          </w:tcPr>
          <w:p w14:paraId="5DC2988C" w14:textId="78123210"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rPr>
                <w:rFonts w:ascii="Symbol" w:hAnsi="Symbol" w:cs="Arial"/>
                <w:szCs w:val="20"/>
              </w:rPr>
            </w:pP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00085225">
              <w:rPr>
                <w:rFonts w:cs="Arial"/>
                <w:szCs w:val="20"/>
              </w:rPr>
              <w:t>0.0044</w:t>
            </w:r>
          </w:p>
          <w:p w14:paraId="46C5C9D6" w14:textId="67B87E97"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B21D92">
              <w:rPr>
                <w:rFonts w:ascii="Symbol" w:hAnsi="Symbol" w:cs="Arial"/>
              </w:rPr>
              <w:t></w:t>
            </w:r>
            <w:r w:rsidRPr="00B21D92">
              <w:rPr>
                <w:rFonts w:ascii="Symbol" w:hAnsi="Symbol" w:cs="Arial"/>
              </w:rPr>
              <w:t></w:t>
            </w:r>
            <w:r w:rsidRPr="00B21D92">
              <w:rPr>
                <w:rFonts w:ascii="Symbol" w:hAnsi="Symbol" w:cs="Arial"/>
              </w:rPr>
              <w:t></w:t>
            </w:r>
            <w:r w:rsidRPr="00B21D92">
              <w:rPr>
                <w:rFonts w:ascii="Symbol" w:hAnsi="Symbol" w:cs="Arial"/>
              </w:rPr>
              <w:t></w:t>
            </w:r>
            <w:r w:rsidR="00085225">
              <w:rPr>
                <w:rFonts w:cs="Arial"/>
              </w:rPr>
              <w:t>0.002</w:t>
            </w:r>
          </w:p>
        </w:tc>
        <w:tc>
          <w:tcPr>
            <w:tcW w:w="868" w:type="pct"/>
            <w:vAlign w:val="center"/>
          </w:tcPr>
          <w:p w14:paraId="2CDCE6EB" w14:textId="77777777" w:rsidR="00B21D92" w:rsidRPr="0027227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272272">
              <w:t>0.7</w:t>
            </w:r>
          </w:p>
        </w:tc>
      </w:tr>
      <w:tr w:rsidR="00B21D92" w:rsidRPr="003D275D" w14:paraId="7E919E9D"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bottom w:val="single" w:sz="4" w:space="0" w:color="auto"/>
            </w:tcBorders>
            <w:vAlign w:val="center"/>
          </w:tcPr>
          <w:p w14:paraId="039B16F8" w14:textId="77777777" w:rsidR="00B21D92" w:rsidRPr="00143A27" w:rsidRDefault="00B21D92" w:rsidP="00222236">
            <w:pPr>
              <w:pStyle w:val="Tabletext0"/>
            </w:pPr>
            <w:r w:rsidRPr="00143A27">
              <w:t>Protozoa</w:t>
            </w:r>
          </w:p>
          <w:p w14:paraId="6FCCEC5A" w14:textId="0C2C83C8" w:rsidR="00B21D92" w:rsidRPr="00143A27" w:rsidRDefault="00B21D92" w:rsidP="00222236">
            <w:pPr>
              <w:pStyle w:val="Tabletext0"/>
            </w:pPr>
            <w:r w:rsidRPr="00143A27">
              <w:t>(</w:t>
            </w:r>
            <w:r w:rsidRPr="00143A27">
              <w:rPr>
                <w:i/>
              </w:rPr>
              <w:t>Cryptosporidium</w:t>
            </w:r>
            <w:r w:rsidRPr="00143A27">
              <w:t>)</w:t>
            </w:r>
          </w:p>
        </w:tc>
        <w:tc>
          <w:tcPr>
            <w:tcW w:w="1224" w:type="pct"/>
            <w:tcBorders>
              <w:bottom w:val="single" w:sz="4" w:space="0" w:color="auto"/>
            </w:tcBorders>
            <w:vAlign w:val="center"/>
          </w:tcPr>
          <w:p w14:paraId="239424BE" w14:textId="2E74A379"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Exponential</w:t>
            </w:r>
          </w:p>
        </w:tc>
        <w:tc>
          <w:tcPr>
            <w:tcW w:w="933" w:type="pct"/>
            <w:tcBorders>
              <w:bottom w:val="single" w:sz="4" w:space="0" w:color="auto"/>
            </w:tcBorders>
            <w:vAlign w:val="center"/>
          </w:tcPr>
          <w:p w14:paraId="0552642B" w14:textId="4BB027B5"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P</w:t>
            </w:r>
            <w:r w:rsidRPr="00B21D92">
              <w:rPr>
                <w:vertAlign w:val="subscript"/>
              </w:rPr>
              <w:t xml:space="preserve">inf </w:t>
            </w:r>
            <w:r w:rsidRPr="00B21D92">
              <w:t>= r.d</w:t>
            </w:r>
          </w:p>
        </w:tc>
        <w:tc>
          <w:tcPr>
            <w:tcW w:w="772" w:type="pct"/>
            <w:tcBorders>
              <w:bottom w:val="single" w:sz="4" w:space="0" w:color="auto"/>
            </w:tcBorders>
            <w:vAlign w:val="center"/>
          </w:tcPr>
          <w:p w14:paraId="44D9829D" w14:textId="3FF020EC"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rPr>
                <w:rFonts w:cs="Arial"/>
              </w:rPr>
              <w:t>r = 2</w:t>
            </w:r>
          </w:p>
        </w:tc>
        <w:tc>
          <w:tcPr>
            <w:tcW w:w="868" w:type="pct"/>
            <w:tcBorders>
              <w:bottom w:val="single" w:sz="4" w:space="0" w:color="auto"/>
            </w:tcBorders>
            <w:vAlign w:val="center"/>
          </w:tcPr>
          <w:p w14:paraId="67749554" w14:textId="77777777" w:rsidR="00B21D92" w:rsidRPr="0027227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272272">
              <w:t>0.7</w:t>
            </w:r>
          </w:p>
        </w:tc>
      </w:tr>
    </w:tbl>
    <w:p w14:paraId="717CB5A8" w14:textId="77777777" w:rsidR="00C551F8" w:rsidRPr="00B21D92" w:rsidRDefault="00C551F8" w:rsidP="00C551F8">
      <w:pPr>
        <w:pStyle w:val="Tablenotes"/>
      </w:pPr>
      <w:r w:rsidRPr="00B21D92">
        <w:rPr>
          <w:rFonts w:ascii="Symbol" w:hAnsi="Symbol"/>
        </w:rPr>
        <w:t></w:t>
      </w:r>
      <w:r w:rsidRPr="00B21D92">
        <w:t xml:space="preserve"> and </w:t>
      </w:r>
      <w:bookmarkStart w:id="331" w:name="_Int_azFAV6NY"/>
      <w:r w:rsidRPr="00B21D92">
        <w:t>r are</w:t>
      </w:r>
      <w:bookmarkEnd w:id="331"/>
      <w:r w:rsidRPr="00B21D92">
        <w:t xml:space="preserve"> parameters describing the probability of infection; d = dose; </w:t>
      </w:r>
      <w:r w:rsidRPr="00B21D92">
        <w:rPr>
          <w:rFonts w:ascii="Symbol" w:hAnsi="Symbol"/>
        </w:rPr>
        <w:t></w:t>
      </w:r>
      <w:r w:rsidRPr="00B21D92">
        <w:t xml:space="preserve"> = median infective dose (N</w:t>
      </w:r>
      <w:r w:rsidRPr="00B21D92">
        <w:rPr>
          <w:vertAlign w:val="subscript"/>
        </w:rPr>
        <w:t>50</w:t>
      </w:r>
      <w:r w:rsidRPr="00B21D92">
        <w:t>)</w:t>
      </w:r>
      <w:bookmarkStart w:id="332" w:name="_Int_dkrW1z6s"/>
      <w:r w:rsidRPr="00B21D92">
        <w:t>/(</w:t>
      </w:r>
      <w:bookmarkEnd w:id="332"/>
      <w:r w:rsidRPr="00B21D92">
        <w:t>2</w:t>
      </w:r>
      <w:r w:rsidRPr="00B21D92">
        <w:rPr>
          <w:vertAlign w:val="superscript"/>
        </w:rPr>
        <w:t>1/</w:t>
      </w:r>
      <w:r w:rsidRPr="00B21D92">
        <w:rPr>
          <w:rFonts w:ascii="Symbol" w:hAnsi="Symbol"/>
          <w:vertAlign w:val="superscript"/>
        </w:rPr>
        <w:t></w:t>
      </w:r>
      <w:r w:rsidRPr="00B21D92">
        <w:t>-1); P</w:t>
      </w:r>
      <w:r w:rsidRPr="00B21D92">
        <w:rPr>
          <w:vertAlign w:val="subscript"/>
        </w:rPr>
        <w:t>inf</w:t>
      </w:r>
      <w:r w:rsidRPr="00B21D92">
        <w:t xml:space="preserve"> = probability of infection. </w:t>
      </w:r>
    </w:p>
    <w:p w14:paraId="5851F19B" w14:textId="77777777" w:rsidR="00C551F8" w:rsidRDefault="00C551F8" w:rsidP="00C551F8">
      <w:pPr>
        <w:pStyle w:val="Tablenotes"/>
        <w:rPr>
          <w:szCs w:val="24"/>
        </w:rPr>
      </w:pPr>
      <w:r w:rsidRPr="00B21D92">
        <w:rPr>
          <w:lang w:val="fr-FR"/>
        </w:rPr>
        <w:t>Sources: Medema et al. (1996, 2009); Teunis et al. (2004)</w:t>
      </w:r>
      <w:r w:rsidRPr="00B21D92">
        <w:rPr>
          <w:rFonts w:ascii="Cambria" w:hAnsi="Cambria" w:cs="Cambria"/>
          <w:lang w:val="fr-FR"/>
        </w:rPr>
        <w:t> </w:t>
      </w:r>
      <w:r w:rsidRPr="00B21D92">
        <w:rPr>
          <w:lang w:val="fr-FR"/>
        </w:rPr>
        <w:t>; Messner et al</w:t>
      </w:r>
      <w:r w:rsidRPr="00B21D92">
        <w:rPr>
          <w:i/>
          <w:iCs/>
          <w:lang w:val="fr-FR"/>
        </w:rPr>
        <w:t>.</w:t>
      </w:r>
      <w:r w:rsidRPr="00B21D92">
        <w:rPr>
          <w:lang w:val="fr-FR"/>
        </w:rPr>
        <w:t xml:space="preserve"> (2014); Van Abel et al. </w:t>
      </w:r>
      <w:r w:rsidRPr="00B21D92">
        <w:t>(2016).</w:t>
      </w:r>
    </w:p>
    <w:p w14:paraId="45644318" w14:textId="77777777" w:rsidR="00C551F8" w:rsidRDefault="00C551F8" w:rsidP="00071B66"/>
    <w:p w14:paraId="4C357C73" w14:textId="2843ED83" w:rsidR="00C54F93" w:rsidRDefault="00C54F93" w:rsidP="006047DB">
      <w:pPr>
        <w:rPr>
          <w:rFonts w:eastAsia="Times New Roman" w:cs="Arial"/>
          <w:iCs/>
        </w:rPr>
      </w:pPr>
      <w:r w:rsidRPr="00C01F65">
        <w:rPr>
          <w:rFonts w:eastAsia="Times New Roman" w:cs="Arial"/>
          <w:iCs/>
        </w:rPr>
        <w:t>The main challenges in assessing health effects remain the variability and uncertainty in dose-response data used to calculate the risk of infection and the lack of dose-response models for most pathogens. When dose-response models do not exist, it is possible to conservatively assume that the minimum infectious dose</w:t>
      </w:r>
      <w:r>
        <w:rPr>
          <w:rFonts w:eastAsia="Times New Roman" w:cs="Arial"/>
          <w:iCs/>
        </w:rPr>
        <w:t xml:space="preserve"> will result in an infection.</w:t>
      </w:r>
      <w:r w:rsidRPr="00C01F65">
        <w:rPr>
          <w:rFonts w:eastAsia="Times New Roman" w:cs="Arial"/>
          <w:iCs/>
        </w:rPr>
        <w:t xml:space="preserve"> </w:t>
      </w:r>
      <w:bookmarkStart w:id="333" w:name="_Toc498697270"/>
      <w:bookmarkStart w:id="334" w:name="_Toc49942302"/>
    </w:p>
    <w:p w14:paraId="3D158068" w14:textId="26242D29" w:rsidR="00EB06A2" w:rsidRPr="00D026B4" w:rsidRDefault="00EB06A2" w:rsidP="00F46C15">
      <w:pPr>
        <w:pStyle w:val="AppendixA11"/>
      </w:pPr>
      <w:bookmarkStart w:id="335" w:name="_Toc133938175"/>
      <w:bookmarkEnd w:id="333"/>
      <w:bookmarkEnd w:id="334"/>
      <w:r>
        <w:t>Risk characterisation</w:t>
      </w:r>
      <w:bookmarkEnd w:id="335"/>
    </w:p>
    <w:p w14:paraId="557C4DE5" w14:textId="77777777" w:rsidR="00C54F93" w:rsidRPr="00C01F65" w:rsidRDefault="00C54F93" w:rsidP="00C54F93">
      <w:pPr>
        <w:autoSpaceDE w:val="0"/>
        <w:autoSpaceDN w:val="0"/>
        <w:adjustRightInd w:val="0"/>
        <w:spacing w:before="100" w:after="100"/>
        <w:rPr>
          <w:rFonts w:cs="Arial"/>
          <w:color w:val="000000"/>
        </w:rPr>
      </w:pPr>
      <w:r w:rsidRPr="00C01F65">
        <w:rPr>
          <w:rFonts w:cs="Arial"/>
          <w:color w:val="000000"/>
        </w:rPr>
        <w:t xml:space="preserve">This final step in any human health risk assessment process using the QMRA approach </w:t>
      </w:r>
      <w:r w:rsidRPr="00C01F65">
        <w:rPr>
          <w:rStyle w:val="CommentReference"/>
        </w:rPr>
        <w:t>i</w:t>
      </w:r>
      <w:r w:rsidRPr="00C01F65">
        <w:rPr>
          <w:rFonts w:cs="Arial"/>
          <w:color w:val="000000"/>
        </w:rPr>
        <w:t xml:space="preserve">s to integrate the information collected on hazard identification, exposure assessment and health effects assessment to produce an estimate of the magnitude of risk for each reference pathogen. </w:t>
      </w:r>
    </w:p>
    <w:p w14:paraId="1CC540BB" w14:textId="77777777" w:rsidR="00C54F93" w:rsidRPr="00C01F65" w:rsidRDefault="00C54F93" w:rsidP="00C54F93">
      <w:pPr>
        <w:autoSpaceDE w:val="0"/>
        <w:autoSpaceDN w:val="0"/>
        <w:adjustRightInd w:val="0"/>
        <w:spacing w:before="100" w:after="100"/>
        <w:rPr>
          <w:rFonts w:cs="Arial"/>
          <w:color w:val="000000"/>
        </w:rPr>
      </w:pPr>
      <w:r w:rsidRPr="00C01F65">
        <w:rPr>
          <w:rFonts w:cs="Arial"/>
          <w:color w:val="000000"/>
        </w:rPr>
        <w:t>This information is vital for the prioritisation of mitigation measures. It is also possible to use this information to calculate the degree of pathogen reduction that is required to produce a wastewater quality that meets specific health-based target values (NRMMC et al.</w:t>
      </w:r>
      <w:r>
        <w:rPr>
          <w:rFonts w:cs="Arial"/>
          <w:color w:val="000000"/>
        </w:rPr>
        <w:t>,</w:t>
      </w:r>
      <w:r w:rsidRPr="00C01F65">
        <w:rPr>
          <w:rFonts w:cs="Arial"/>
          <w:color w:val="000000"/>
        </w:rPr>
        <w:t xml:space="preserve"> 2006) when discharged into </w:t>
      </w:r>
      <w:r>
        <w:rPr>
          <w:rFonts w:cs="Arial"/>
          <w:color w:val="000000"/>
        </w:rPr>
        <w:t>surface waters</w:t>
      </w:r>
      <w:r w:rsidRPr="00C01F65">
        <w:rPr>
          <w:rFonts w:cs="Arial"/>
          <w:color w:val="000000"/>
        </w:rPr>
        <w:t>.</w:t>
      </w:r>
    </w:p>
    <w:p w14:paraId="12922385" w14:textId="0D7210F7" w:rsidR="00130D14" w:rsidRPr="00C01F65" w:rsidRDefault="00C54F93" w:rsidP="00130D14">
      <w:pPr>
        <w:rPr>
          <w:rFonts w:ascii="Arial Bold" w:eastAsia="Times New Roman" w:hAnsi="Arial Bold"/>
          <w:bCs/>
          <w:color w:val="003F72"/>
        </w:rPr>
      </w:pPr>
      <w:r w:rsidRPr="00C01F65">
        <w:rPr>
          <w:rFonts w:cs="Arial"/>
        </w:rPr>
        <w:t xml:space="preserve">In managing risks to human health, it is necessary to determine acceptable or tolerable risk, set health-based targets and assess risks. Following the ‘Stockholm framework’, whereby the tolerable risk resulting from any water exposure should be the same </w:t>
      </w:r>
      <w:r w:rsidRPr="003465DB">
        <w:t>for any type of environmental value</w:t>
      </w:r>
      <w:r w:rsidR="00130D14">
        <w:t xml:space="preserve"> </w:t>
      </w:r>
      <w:r w:rsidR="00130D14" w:rsidRPr="00C01F65">
        <w:rPr>
          <w:rFonts w:cs="Arial"/>
        </w:rPr>
        <w:t>(Fewtrell and Bartram, 2001), the maximum tolerable addition burden of disease adopted in this document</w:t>
      </w:r>
      <w:r w:rsidR="00130D14" w:rsidRPr="00C01F65">
        <w:rPr>
          <w:rFonts w:cs="Arial"/>
          <w:b/>
        </w:rPr>
        <w:t xml:space="preserve"> is 10</w:t>
      </w:r>
      <w:r w:rsidR="00130D14" w:rsidRPr="00C01F65">
        <w:rPr>
          <w:rFonts w:cs="Arial"/>
          <w:b/>
          <w:vertAlign w:val="superscript"/>
        </w:rPr>
        <w:t>–6</w:t>
      </w:r>
      <w:r w:rsidR="00130D14" w:rsidRPr="00C01F65">
        <w:rPr>
          <w:rFonts w:cs="Arial"/>
          <w:b/>
        </w:rPr>
        <w:t xml:space="preserve"> DALYs</w:t>
      </w:r>
      <w:r w:rsidR="00130D14" w:rsidRPr="00C01F65">
        <w:rPr>
          <w:b/>
        </w:rPr>
        <w:t xml:space="preserve"> </w:t>
      </w:r>
      <w:r w:rsidR="00130D14" w:rsidRPr="00C01F65">
        <w:rPr>
          <w:rFonts w:cs="Arial"/>
          <w:b/>
        </w:rPr>
        <w:t>per person per year</w:t>
      </w:r>
      <w:r w:rsidR="00130D14" w:rsidRPr="00C01F65">
        <w:rPr>
          <w:rFonts w:cs="Arial"/>
        </w:rPr>
        <w:t xml:space="preserve">. This tolerable risk is consistent with the </w:t>
      </w:r>
      <w:r w:rsidR="00130D14">
        <w:rPr>
          <w:rFonts w:cs="Arial"/>
        </w:rPr>
        <w:t>WHO</w:t>
      </w:r>
      <w:r w:rsidR="00130D14" w:rsidRPr="00C01F65">
        <w:rPr>
          <w:rFonts w:cs="Arial"/>
        </w:rPr>
        <w:t>’s recommendation (WHO</w:t>
      </w:r>
      <w:r w:rsidR="00130D14">
        <w:rPr>
          <w:rFonts w:cs="Arial"/>
        </w:rPr>
        <w:t>,</w:t>
      </w:r>
      <w:r w:rsidR="00130D14" w:rsidRPr="00C01F65">
        <w:rPr>
          <w:rFonts w:cs="Arial"/>
        </w:rPr>
        <w:t xml:space="preserve"> 2011) and is approximately equivalent to a lifetime additional risk of cancer of 10</w:t>
      </w:r>
      <w:r w:rsidR="00130D14" w:rsidRPr="00C01F65">
        <w:rPr>
          <w:rFonts w:cs="Arial"/>
          <w:vertAlign w:val="superscript"/>
        </w:rPr>
        <w:t xml:space="preserve">–5 </w:t>
      </w:r>
      <w:r w:rsidR="00130D14" w:rsidRPr="00C01F65">
        <w:rPr>
          <w:rFonts w:cs="Arial"/>
        </w:rPr>
        <w:t>(one case per 100</w:t>
      </w:r>
      <w:r w:rsidR="00025B9F">
        <w:rPr>
          <w:rFonts w:cs="Arial"/>
        </w:rPr>
        <w:t>,</w:t>
      </w:r>
      <w:r w:rsidR="00130D14" w:rsidRPr="00C01F65">
        <w:rPr>
          <w:rFonts w:cs="Arial"/>
        </w:rPr>
        <w:t>000 people) or an annual diarrhoeal risk of illness of 10</w:t>
      </w:r>
      <w:r w:rsidR="00130D14" w:rsidRPr="00C01F65">
        <w:rPr>
          <w:rFonts w:cs="Arial"/>
          <w:vertAlign w:val="superscript"/>
        </w:rPr>
        <w:t>–3</w:t>
      </w:r>
      <w:r w:rsidR="00130D14" w:rsidRPr="00C01F65">
        <w:rPr>
          <w:rFonts w:cs="Arial"/>
        </w:rPr>
        <w:t xml:space="preserve"> (one case of illness per 1</w:t>
      </w:r>
      <w:r w:rsidR="00025B9F">
        <w:rPr>
          <w:rFonts w:cs="Arial"/>
        </w:rPr>
        <w:t>,</w:t>
      </w:r>
      <w:r w:rsidR="00130D14" w:rsidRPr="00C01F65">
        <w:rPr>
          <w:rFonts w:cs="Arial"/>
        </w:rPr>
        <w:t xml:space="preserve">000 people). The reported rate of diarrhoeal illness in Australia is 0.8–0.92 cases per person per year (NRMMC et al., 2006). </w:t>
      </w:r>
      <w:bookmarkStart w:id="336" w:name="_Ref9423020"/>
      <w:bookmarkStart w:id="337" w:name="_Toc49812786"/>
    </w:p>
    <w:bookmarkEnd w:id="336"/>
    <w:bookmarkEnd w:id="337"/>
    <w:p w14:paraId="66321661" w14:textId="77777777" w:rsidR="00130D14" w:rsidRPr="00C01F65" w:rsidRDefault="00130D14" w:rsidP="00130D14">
      <w:pPr>
        <w:rPr>
          <w:rFonts w:cs="Arial"/>
        </w:rPr>
      </w:pPr>
      <w:r w:rsidRPr="00C01F65">
        <w:rPr>
          <w:rFonts w:cs="Arial"/>
        </w:rPr>
        <w:t>DALYs provide a means of quantifying the burden of public health impacts arising from disease caused by microbiological, chemical and physical hazards. They can be used to:</w:t>
      </w:r>
    </w:p>
    <w:p w14:paraId="2776C03B" w14:textId="77777777" w:rsidR="00130D14" w:rsidRPr="00C01F65" w:rsidRDefault="00130D14" w:rsidP="004B788D">
      <w:pPr>
        <w:pStyle w:val="ListBullet"/>
      </w:pPr>
      <w:r w:rsidRPr="00C01F65">
        <w:t>define tolerable risk in terms of public health outcomes</w:t>
      </w:r>
    </w:p>
    <w:p w14:paraId="11B961FE" w14:textId="77777777" w:rsidR="00130D14" w:rsidRPr="00C01F65" w:rsidRDefault="00130D14" w:rsidP="004B788D">
      <w:pPr>
        <w:pStyle w:val="ListBullet"/>
      </w:pPr>
      <w:r w:rsidRPr="00C01F65">
        <w:t xml:space="preserve">compare impacts from different hazards; for example, in the normal population, </w:t>
      </w:r>
      <w:r w:rsidRPr="00C01F65">
        <w:rPr>
          <w:i/>
        </w:rPr>
        <w:t xml:space="preserve">Cryptosporidium </w:t>
      </w:r>
      <w:r w:rsidRPr="00C01F65">
        <w:t xml:space="preserve">causes a short-lived and self-limiting diarrhoeal illness with only rare severe impacts, whereas </w:t>
      </w:r>
      <w:r w:rsidRPr="00C01F65">
        <w:rPr>
          <w:i/>
        </w:rPr>
        <w:t>Campylobacter</w:t>
      </w:r>
      <w:r w:rsidRPr="00C01F65">
        <w:t xml:space="preserve"> can have both acute and chronic impacts (Havelaar </w:t>
      </w:r>
      <w:r>
        <w:t>and Melse,</w:t>
      </w:r>
      <w:r w:rsidRPr="00C01F65">
        <w:t xml:space="preserve"> 2003)</w:t>
      </w:r>
    </w:p>
    <w:p w14:paraId="2A2CC924" w14:textId="7A8DFE8E" w:rsidR="00130D14" w:rsidRPr="00871791" w:rsidRDefault="00130D14" w:rsidP="004B788D">
      <w:pPr>
        <w:pStyle w:val="ListBullet"/>
      </w:pPr>
      <w:r w:rsidRPr="00C01F65">
        <w:t>prioritise resources toward controlling hazards with the greatest potential impact.</w:t>
      </w:r>
    </w:p>
    <w:p w14:paraId="7F9E3ABB" w14:textId="346B76A3" w:rsidR="00D67FCF" w:rsidRDefault="00130D14" w:rsidP="00130D14">
      <w:pPr>
        <w:keepNext/>
        <w:rPr>
          <w:rFonts w:cs="Arial"/>
          <w:szCs w:val="18"/>
        </w:rPr>
      </w:pPr>
      <w:r w:rsidRPr="00C01F65">
        <w:rPr>
          <w:rFonts w:cs="Arial"/>
        </w:rPr>
        <w:t xml:space="preserve">More </w:t>
      </w:r>
      <w:r w:rsidRPr="00F67119">
        <w:rPr>
          <w:rFonts w:cs="Arial"/>
        </w:rPr>
        <w:t>information regarding the definition and calculation of DALYs is provided in</w:t>
      </w:r>
      <w:r w:rsidR="006C3E6B">
        <w:rPr>
          <w:rFonts w:cs="Arial"/>
        </w:rPr>
        <w:t xml:space="preserve"> box:</w:t>
      </w:r>
      <w:r>
        <w:rPr>
          <w:rFonts w:cs="Arial"/>
        </w:rPr>
        <w:t xml:space="preserve"> </w:t>
      </w:r>
      <w:r w:rsidRPr="00E86501">
        <w:rPr>
          <w:rFonts w:cs="Arial"/>
          <w:b/>
          <w:i/>
          <w:iCs/>
        </w:rPr>
        <w:t>Disability adjusted life years (DALYs) calculation</w:t>
      </w:r>
      <w:r w:rsidRPr="00F67119">
        <w:rPr>
          <w:rFonts w:cs="Arial"/>
        </w:rPr>
        <w:t>.</w:t>
      </w:r>
      <w:bookmarkStart w:id="338" w:name="_Toc49942303"/>
    </w:p>
    <w:p w14:paraId="7CDC220A" w14:textId="697E2344" w:rsidR="00B21D92" w:rsidRDefault="00B21D92" w:rsidP="00B21D92">
      <w:pPr>
        <w:keepNext/>
        <w:rPr>
          <w:rFonts w:cs="Arial"/>
          <w:szCs w:val="18"/>
        </w:rPr>
      </w:pPr>
      <w:r w:rsidRPr="00B21D92">
        <w:rPr>
          <w:rFonts w:cs="Arial"/>
          <w:szCs w:val="18"/>
        </w:rPr>
        <w:t>The calculation of the DALY will take into account the ingested volume. The use of this health-based target is therefore applicable to all types of exposure. The only difference is that the assumed ingested volume is adjusted according to the environmental value.</w:t>
      </w:r>
    </w:p>
    <w:p w14:paraId="18492B74" w14:textId="3D2C454B" w:rsidR="000D740D" w:rsidRPr="007D22E5" w:rsidRDefault="000D740D" w:rsidP="00F46C15">
      <w:pPr>
        <w:pStyle w:val="AppendixA1"/>
      </w:pPr>
      <w:bookmarkStart w:id="339" w:name="_Toc133938176"/>
      <w:bookmarkStart w:id="340" w:name="_Toc49942304"/>
      <w:bookmarkStart w:id="341" w:name="_Toc51929049"/>
      <w:bookmarkEnd w:id="338"/>
      <w:r w:rsidRPr="007D22E5">
        <w:t>Risk manag</w:t>
      </w:r>
      <w:r w:rsidR="000313AE" w:rsidRPr="007D22E5">
        <w:t>e</w:t>
      </w:r>
      <w:r w:rsidRPr="007D22E5">
        <w:t>ment</w:t>
      </w:r>
      <w:bookmarkEnd w:id="339"/>
    </w:p>
    <w:p w14:paraId="109D45D7" w14:textId="77777777" w:rsidR="00130D14" w:rsidRPr="008334F8" w:rsidRDefault="00130D14" w:rsidP="007D22E5">
      <w:pPr>
        <w:pStyle w:val="Heading4"/>
      </w:pPr>
      <w:r w:rsidRPr="008334F8">
        <w:t>Performance targets</w:t>
      </w:r>
      <w:bookmarkEnd w:id="340"/>
      <w:bookmarkEnd w:id="341"/>
    </w:p>
    <w:p w14:paraId="7C8CF2B0" w14:textId="23AC7D41" w:rsidR="00130D14" w:rsidRPr="00C01F65" w:rsidRDefault="00130D14" w:rsidP="004C274E">
      <w:pPr>
        <w:autoSpaceDE w:val="0"/>
        <w:autoSpaceDN w:val="0"/>
        <w:adjustRightInd w:val="0"/>
        <w:rPr>
          <w:rFonts w:cs="Arial"/>
        </w:rPr>
      </w:pPr>
      <w:r w:rsidRPr="10077A7C">
        <w:rPr>
          <w:rFonts w:cs="Arial"/>
        </w:rPr>
        <w:t>Safety in the present context is defined as ‘</w:t>
      </w:r>
      <w:r w:rsidRPr="10077A7C">
        <w:rPr>
          <w:rFonts w:cs="Arial"/>
          <w:i/>
          <w:iCs/>
        </w:rPr>
        <w:t>ensuring that microbial health risk complies with the definition of tolerable risk</w:t>
      </w:r>
      <w:r w:rsidRPr="10077A7C">
        <w:rPr>
          <w:rFonts w:cs="Arial"/>
        </w:rPr>
        <w:t>’</w:t>
      </w:r>
      <w:r w:rsidRPr="10077A7C">
        <w:rPr>
          <w:rStyle w:val="CommentReference"/>
        </w:rPr>
        <w:t xml:space="preserve"> </w:t>
      </w:r>
      <w:r w:rsidRPr="008E27C6">
        <w:rPr>
          <w:rStyle w:val="CommentReference"/>
          <w:sz w:val="22"/>
          <w:szCs w:val="22"/>
        </w:rPr>
        <w:t>(NRMMC et al., 2006)</w:t>
      </w:r>
      <w:r w:rsidRPr="10077A7C">
        <w:rPr>
          <w:rFonts w:cs="Arial"/>
        </w:rPr>
        <w:t xml:space="preserve">. This is achieved by meeting performance </w:t>
      </w:r>
      <w:r w:rsidRPr="10077A7C">
        <w:rPr>
          <w:rFonts w:cs="Arial"/>
        </w:rPr>
        <w:lastRenderedPageBreak/>
        <w:t xml:space="preserve">targets. For wastewater discharges, these targets are set at levels whereby concentrations of pathogens in waters receiving wastewater discharges are at concentrations </w:t>
      </w:r>
      <w:r w:rsidR="7AAAA7DE" w:rsidRPr="10077A7C">
        <w:rPr>
          <w:rFonts w:cs="Arial"/>
        </w:rPr>
        <w:t>below</w:t>
      </w:r>
      <w:r w:rsidRPr="10077A7C">
        <w:rPr>
          <w:rFonts w:cs="Arial"/>
        </w:rPr>
        <w:t xml:space="preserve"> those that would impact environmental values. However, after</w:t>
      </w:r>
      <w:r w:rsidR="00076E5B">
        <w:rPr>
          <w:rFonts w:cs="Arial"/>
        </w:rPr>
        <w:t xml:space="preserve"> </w:t>
      </w:r>
      <w:r w:rsidRPr="10077A7C">
        <w:rPr>
          <w:rFonts w:cs="Arial"/>
        </w:rPr>
        <w:t xml:space="preserve">wastewater is discharged to a </w:t>
      </w:r>
      <w:bookmarkStart w:id="342" w:name="_Int_b/79Ums9"/>
      <w:r w:rsidRPr="10077A7C">
        <w:rPr>
          <w:rFonts w:cs="Arial"/>
        </w:rPr>
        <w:t>waterway,</w:t>
      </w:r>
      <w:bookmarkEnd w:id="342"/>
      <w:r w:rsidRPr="10077A7C">
        <w:rPr>
          <w:rFonts w:cs="Arial"/>
        </w:rPr>
        <w:t xml:space="preserve"> the subsequent quality of that water is often out of the control of the wastewater treatment plant operator. Therefore, LRVs need to be applied at a point in the system (before discharge) where wastewater is not re-contaminated. A natural waterway is subject to contamination from many sources of unknown quality. DALY values and QMRA results cannot be used to set treatment targets for the waterway, unless the treatment or controls are applied to water abstracted from the waterway directly prior to use.</w:t>
      </w:r>
    </w:p>
    <w:p w14:paraId="36DD4572" w14:textId="77777777" w:rsidR="00130D14" w:rsidRPr="00C01F65" w:rsidRDefault="00130D14" w:rsidP="00130D14">
      <w:pPr>
        <w:rPr>
          <w:rFonts w:cs="Arial"/>
        </w:rPr>
      </w:pPr>
      <w:r w:rsidRPr="10077A7C">
        <w:rPr>
          <w:rFonts w:cs="Arial"/>
        </w:rPr>
        <w:t>Furthermore, knowledge on the likelihood of developing an illness from exposure to pathogens in wastewater discharges is still limited, as is the potential severity of illness and any possible sequelae</w:t>
      </w:r>
      <w:r w:rsidRPr="10077A7C">
        <w:rPr>
          <w:rStyle w:val="CommentReference"/>
        </w:rPr>
        <w:t>.</w:t>
      </w:r>
      <w:r w:rsidRPr="10077A7C">
        <w:rPr>
          <w:rFonts w:cs="Arial"/>
        </w:rPr>
        <w:t xml:space="preserve"> Likelihood and severity of infection largely depends on the health status of the exposed person and on the </w:t>
      </w:r>
      <w:bookmarkStart w:id="343" w:name="_Int_Wz+zT4yJ"/>
      <w:r w:rsidRPr="10077A7C">
        <w:rPr>
          <w:rFonts w:cs="Arial"/>
        </w:rPr>
        <w:t>health</w:t>
      </w:r>
      <w:bookmarkEnd w:id="343"/>
      <w:r w:rsidRPr="10077A7C">
        <w:rPr>
          <w:rFonts w:cs="Arial"/>
        </w:rPr>
        <w:t xml:space="preserve"> care received during illness, with factors varying across regions and population groups. Australia’s ongoing efforts to advancing the DALY pathogen relationship data are reflected in the </w:t>
      </w:r>
      <w:r w:rsidRPr="10077A7C">
        <w:rPr>
          <w:rFonts w:cs="Arial"/>
          <w:i/>
          <w:iCs/>
        </w:rPr>
        <w:t>Australian</w:t>
      </w:r>
      <w:r w:rsidRPr="10077A7C">
        <w:rPr>
          <w:rFonts w:cs="Arial"/>
        </w:rPr>
        <w:t xml:space="preserve"> </w:t>
      </w:r>
      <w:r w:rsidRPr="10077A7C">
        <w:rPr>
          <w:rFonts w:cs="Arial"/>
          <w:i/>
          <w:iCs/>
        </w:rPr>
        <w:t>Guidelines for Water Recycling</w:t>
      </w:r>
      <w:r w:rsidRPr="10077A7C">
        <w:rPr>
          <w:rFonts w:cs="Arial"/>
        </w:rPr>
        <w:t xml:space="preserve"> (NRMMC et al., 2006, 2008). </w:t>
      </w:r>
    </w:p>
    <w:p w14:paraId="4FCC3E6A" w14:textId="19B3182B" w:rsidR="00130D14" w:rsidRPr="00C01F65" w:rsidRDefault="00130D14" w:rsidP="00130D14">
      <w:pPr>
        <w:rPr>
          <w:rFonts w:cs="Arial"/>
        </w:rPr>
      </w:pPr>
      <w:r w:rsidRPr="00C01F65">
        <w:rPr>
          <w:rFonts w:cs="Arial"/>
        </w:rPr>
        <w:t>It is also important to note that it is the risk of illness, rather than infection, that has traditionally been the selected outcome when determining health targets. DALYs are population-weighted disease burden outcomes for whole populations, including vulnerable groups. There might be some cases when it can be useful in some circumstances to consider an illness endpoint rather than a DALY or infection endpoint</w:t>
      </w:r>
      <w:r>
        <w:rPr>
          <w:rFonts w:cs="Arial"/>
        </w:rPr>
        <w:t>.</w:t>
      </w:r>
      <w:r w:rsidRPr="00C01F65" w:rsidDel="000D5E41">
        <w:rPr>
          <w:rFonts w:cs="Arial"/>
        </w:rPr>
        <w:t xml:space="preserve"> </w:t>
      </w:r>
      <w:r w:rsidRPr="00C01F65">
        <w:rPr>
          <w:rFonts w:cs="Arial"/>
        </w:rPr>
        <w:t>For example, people who engage in a voluntary activity such as outdoor recreational activities are less likely to belong to highly vulnerable groups</w:t>
      </w:r>
      <w:r w:rsidR="00871791">
        <w:rPr>
          <w:rFonts w:cs="Arial"/>
        </w:rPr>
        <w:t>,</w:t>
      </w:r>
      <w:r w:rsidRPr="00C01F65">
        <w:rPr>
          <w:rFonts w:cs="Arial"/>
        </w:rPr>
        <w:t xml:space="preserve"> and it is usually expected that a self-limiting illness such as a gastrointestinal illness is the principal point of concern. This approach requires an acceptable illness rate target to be defined. Refer to the relevant guidelines for the respective acceptable illness rate targets. For example, in recreational waters, illness rate up to 1% are considered acceptable (NHMRC, 2008).</w:t>
      </w:r>
    </w:p>
    <w:p w14:paraId="2DB629C0" w14:textId="77777777" w:rsidR="008334F8" w:rsidRPr="007D22E5" w:rsidRDefault="008334F8" w:rsidP="007D22E5">
      <w:pPr>
        <w:pStyle w:val="Heading4"/>
      </w:pPr>
      <w:bookmarkStart w:id="344" w:name="_Toc49942305"/>
      <w:bookmarkStart w:id="345" w:name="_Toc51929050"/>
      <w:r w:rsidRPr="007D22E5">
        <w:t>Required level of treatment to meet health targets</w:t>
      </w:r>
      <w:bookmarkEnd w:id="344"/>
      <w:bookmarkEnd w:id="345"/>
    </w:p>
    <w:p w14:paraId="406C8304" w14:textId="1CE36F98" w:rsidR="008334F8" w:rsidRPr="00C01F65" w:rsidRDefault="008334F8" w:rsidP="008334F8">
      <w:pPr>
        <w:rPr>
          <w:rFonts w:cs="Arial"/>
        </w:rPr>
      </w:pPr>
      <w:r w:rsidRPr="00C01F65">
        <w:rPr>
          <w:rFonts w:cs="Arial"/>
        </w:rPr>
        <w:t xml:space="preserve">Water guidelines generally specify a combination of treatment process and controls. </w:t>
      </w:r>
      <w:r w:rsidR="00D36A7B" w:rsidRPr="00D36A7B">
        <w:rPr>
          <w:rFonts w:cs="Arial"/>
        </w:rPr>
        <w:fldChar w:fldCharType="begin"/>
      </w:r>
      <w:r w:rsidR="00D36A7B" w:rsidRPr="00D36A7B">
        <w:rPr>
          <w:rFonts w:cs="Arial"/>
        </w:rPr>
        <w:instrText xml:space="preserve"> REF _Ref88372537 \h  \* MERGEFORMAT </w:instrText>
      </w:r>
      <w:r w:rsidR="00D36A7B" w:rsidRPr="00D36A7B">
        <w:rPr>
          <w:rFonts w:cs="Arial"/>
        </w:rPr>
      </w:r>
      <w:r w:rsidR="00D36A7B" w:rsidRPr="00D36A7B">
        <w:rPr>
          <w:rFonts w:cs="Arial"/>
        </w:rPr>
        <w:fldChar w:fldCharType="separate"/>
      </w:r>
      <w:r w:rsidR="00FD64B0" w:rsidRPr="00FD64B0">
        <w:rPr>
          <w:rFonts w:asciiTheme="majorHAnsi" w:hAnsiTheme="majorHAnsi" w:cs="Arial"/>
        </w:rPr>
        <w:t>Table C8</w:t>
      </w:r>
      <w:r w:rsidR="00D36A7B" w:rsidRPr="00D36A7B">
        <w:rPr>
          <w:rFonts w:cs="Arial"/>
        </w:rPr>
        <w:fldChar w:fldCharType="end"/>
      </w:r>
      <w:r w:rsidR="00D36A7B">
        <w:rPr>
          <w:rFonts w:cs="Arial"/>
        </w:rPr>
        <w:t xml:space="preserve"> </w:t>
      </w:r>
      <w:r w:rsidRPr="00C01F65">
        <w:rPr>
          <w:rFonts w:cs="Arial"/>
        </w:rPr>
        <w:t xml:space="preserve">provides the level of treatment required for various environmental values of </w:t>
      </w:r>
      <w:r>
        <w:rPr>
          <w:rFonts w:cs="Arial"/>
        </w:rPr>
        <w:t>surface waters</w:t>
      </w:r>
      <w:r w:rsidRPr="00C01F65">
        <w:rPr>
          <w:rFonts w:cs="Arial"/>
        </w:rPr>
        <w:t xml:space="preserve"> impacted by treated wastewater to meet the health-based target. Please note that the appropriate dilution factor will need to be applied when wastewater is discharged into </w:t>
      </w:r>
      <w:r>
        <w:rPr>
          <w:rFonts w:cs="Arial"/>
        </w:rPr>
        <w:t>surface waters</w:t>
      </w:r>
      <w:r w:rsidRPr="00C01F65">
        <w:rPr>
          <w:rFonts w:cs="Arial"/>
        </w:rPr>
        <w:t>.</w:t>
      </w:r>
    </w:p>
    <w:p w14:paraId="1A804541" w14:textId="77777777" w:rsidR="00D35FFE" w:rsidRPr="00C01F65" w:rsidRDefault="00D35FFE" w:rsidP="00D35FFE">
      <w:pPr>
        <w:rPr>
          <w:rFonts w:cs="Arial"/>
        </w:rPr>
      </w:pPr>
      <w:r w:rsidRPr="00C01F65">
        <w:rPr>
          <w:rFonts w:cs="Arial"/>
        </w:rPr>
        <w:t>The information from the exposure assessment and health effects assessment is combined to:</w:t>
      </w:r>
    </w:p>
    <w:p w14:paraId="450BCDDD" w14:textId="77777777" w:rsidR="00D35FFE" w:rsidRPr="00C01F65" w:rsidRDefault="00D35FFE" w:rsidP="004B788D">
      <w:pPr>
        <w:pStyle w:val="ListBullet"/>
      </w:pPr>
      <w:r w:rsidRPr="00C01F65">
        <w:t xml:space="preserve">determine the magnitude of risk </w:t>
      </w:r>
    </w:p>
    <w:p w14:paraId="70E56043" w14:textId="77777777" w:rsidR="00D35FFE" w:rsidRPr="00C01F65" w:rsidRDefault="00D35FFE" w:rsidP="004B788D">
      <w:pPr>
        <w:pStyle w:val="ListBullet"/>
      </w:pPr>
      <w:r w:rsidRPr="00C01F65">
        <w:t>quantify the required level of treatment required expressed as LRV (</w:t>
      </w:r>
      <w:r>
        <w:t>l</w:t>
      </w:r>
      <w:r w:rsidRPr="00C01F65">
        <w:t xml:space="preserve">og </w:t>
      </w:r>
      <w:r>
        <w:t>r</w:t>
      </w:r>
      <w:r w:rsidRPr="00C01F65">
        <w:t xml:space="preserve">eduction </w:t>
      </w:r>
      <w:r>
        <w:t>v</w:t>
      </w:r>
      <w:r w:rsidRPr="00C01F65">
        <w:t>alue)</w:t>
      </w:r>
    </w:p>
    <w:p w14:paraId="74FECE59" w14:textId="0F2FF2C2" w:rsidR="00C551F8" w:rsidRDefault="00D35FFE" w:rsidP="00C551F8">
      <w:pPr>
        <w:pStyle w:val="ListBullet"/>
      </w:pPr>
      <w:r w:rsidRPr="00C01F65">
        <w:t>obtain a residual risk after preventive measures lower than 10</w:t>
      </w:r>
      <w:r w:rsidRPr="00C01F65">
        <w:rPr>
          <w:vertAlign w:val="superscript"/>
        </w:rPr>
        <w:t>-6</w:t>
      </w:r>
      <w:r w:rsidRPr="00C01F65">
        <w:t xml:space="preserve"> DALY</w:t>
      </w:r>
      <w:r w:rsidR="00D5279B">
        <w:t>s</w:t>
      </w:r>
      <w:r w:rsidRPr="00C01F65">
        <w:t xml:space="preserve"> p</w:t>
      </w:r>
      <w:r w:rsidR="0002000B">
        <w:t xml:space="preserve">er </w:t>
      </w:r>
      <w:r w:rsidRPr="00C01F65">
        <w:t>p</w:t>
      </w:r>
      <w:r w:rsidR="0002000B">
        <w:t>erson</w:t>
      </w:r>
      <w:r w:rsidR="00032539">
        <w:t xml:space="preserve"> per</w:t>
      </w:r>
      <w:r w:rsidR="0002000B">
        <w:t xml:space="preserve"> </w:t>
      </w:r>
      <w:r w:rsidRPr="00C01F65">
        <w:t>y</w:t>
      </w:r>
      <w:r w:rsidR="0002000B">
        <w:t>ear</w:t>
      </w:r>
      <w:r w:rsidRPr="00C01F65">
        <w:t xml:space="preserve">. </w:t>
      </w:r>
    </w:p>
    <w:p w14:paraId="3D80BE7D" w14:textId="0F189C3A" w:rsidR="0081697E" w:rsidRDefault="0081697E">
      <w:pPr>
        <w:spacing w:before="0" w:after="0"/>
        <w:rPr>
          <w:rFonts w:eastAsiaTheme="minorHAnsi" w:cs="Arial"/>
          <w:lang w:val="en-US"/>
        </w:rPr>
      </w:pPr>
      <w:r>
        <w:br w:type="page"/>
      </w:r>
    </w:p>
    <w:p w14:paraId="09572D0A" w14:textId="5ADC3D90" w:rsidR="00C551F8" w:rsidRDefault="00C551F8" w:rsidP="00A4665C">
      <w:pPr>
        <w:pStyle w:val="Caption"/>
      </w:pPr>
      <w:bookmarkStart w:id="346" w:name="_Ref9423808"/>
      <w:bookmarkStart w:id="347" w:name="_Ref88372537"/>
      <w:bookmarkStart w:id="348" w:name="_Toc49812787"/>
      <w:bookmarkStart w:id="349" w:name="_Ref57144557"/>
      <w:bookmarkStart w:id="350" w:name="_Ref57144708"/>
      <w:r w:rsidRPr="00681CB0">
        <w:lastRenderedPageBreak/>
        <w:t>Table C</w:t>
      </w:r>
      <w:bookmarkEnd w:id="346"/>
      <w:r w:rsidR="00901A1D">
        <w:fldChar w:fldCharType="begin"/>
      </w:r>
      <w:r w:rsidR="00901A1D">
        <w:instrText xml:space="preserve"> SEQ Table_C \* ARABIC </w:instrText>
      </w:r>
      <w:r w:rsidR="00901A1D">
        <w:fldChar w:fldCharType="separate"/>
      </w:r>
      <w:r w:rsidR="00FD64B0">
        <w:rPr>
          <w:noProof/>
        </w:rPr>
        <w:t>8</w:t>
      </w:r>
      <w:r w:rsidR="00901A1D">
        <w:fldChar w:fldCharType="end"/>
      </w:r>
      <w:bookmarkEnd w:id="347"/>
      <w:r w:rsidRPr="00681CB0">
        <w:t xml:space="preserve"> </w:t>
      </w:r>
      <w:r w:rsidRPr="00591FD0">
        <w:t>–</w:t>
      </w:r>
      <w:r w:rsidRPr="00B21D92">
        <w:t xml:space="preserve"> Indicative log reduction values recommended</w:t>
      </w:r>
      <w:r w:rsidRPr="00681CB0">
        <w:t xml:space="preserve"> to maintain environmental values</w:t>
      </w:r>
      <w:bookmarkEnd w:id="348"/>
      <w:bookmarkEnd w:id="349"/>
      <w:bookmarkEnd w:id="350"/>
    </w:p>
    <w:tbl>
      <w:tblPr>
        <w:tblStyle w:val="ListTable3-Accent1"/>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60"/>
        <w:gridCol w:w="1976"/>
        <w:gridCol w:w="1136"/>
        <w:gridCol w:w="977"/>
        <w:gridCol w:w="1237"/>
      </w:tblGrid>
      <w:tr w:rsidR="00DF25DA" w:rsidRPr="00DF25DA" w14:paraId="56024A0C" w14:textId="77777777" w:rsidTr="00013E28">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781" w:type="pct"/>
            <w:vMerge w:val="restart"/>
            <w:shd w:val="clear" w:color="auto" w:fill="003F72"/>
            <w:vAlign w:val="center"/>
          </w:tcPr>
          <w:p w14:paraId="0AD705BD" w14:textId="77777777" w:rsidR="00EA55AF" w:rsidRPr="00DF25DA" w:rsidRDefault="00EA55AF" w:rsidP="00321A93">
            <w:pPr>
              <w:pStyle w:val="Tabletext0"/>
              <w:rPr>
                <w:lang w:eastAsia="en-AU"/>
              </w:rPr>
            </w:pPr>
            <w:r w:rsidRPr="00DF25DA">
              <w:rPr>
                <w:lang w:eastAsia="en-AU"/>
              </w:rPr>
              <w:t>Activity</w:t>
            </w:r>
          </w:p>
        </w:tc>
        <w:tc>
          <w:tcPr>
            <w:tcW w:w="1602" w:type="pct"/>
            <w:vMerge w:val="restart"/>
            <w:shd w:val="clear" w:color="auto" w:fill="003F72"/>
            <w:vAlign w:val="center"/>
          </w:tcPr>
          <w:p w14:paraId="7603E9F1" w14:textId="77777777"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Route of exposure</w:t>
            </w:r>
          </w:p>
        </w:tc>
        <w:tc>
          <w:tcPr>
            <w:tcW w:w="971" w:type="pct"/>
            <w:vMerge w:val="restart"/>
            <w:shd w:val="clear" w:color="auto" w:fill="003F72"/>
            <w:vAlign w:val="center"/>
          </w:tcPr>
          <w:p w14:paraId="3C3FCEBA" w14:textId="77777777" w:rsidR="007E45A6"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Exposure (L) x frequency</w:t>
            </w:r>
          </w:p>
          <w:p w14:paraId="0F32AAEE" w14:textId="21AC8C64"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(per year)</w:t>
            </w:r>
          </w:p>
        </w:tc>
        <w:tc>
          <w:tcPr>
            <w:tcW w:w="1646" w:type="pct"/>
            <w:gridSpan w:val="3"/>
            <w:shd w:val="clear" w:color="auto" w:fill="003F72"/>
            <w:vAlign w:val="center"/>
          </w:tcPr>
          <w:p w14:paraId="25D420FD" w14:textId="77777777"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LRV</w:t>
            </w:r>
          </w:p>
        </w:tc>
      </w:tr>
      <w:tr w:rsidR="008E2CF6" w:rsidRPr="00EA55AF" w14:paraId="32E9EB88" w14:textId="77777777" w:rsidTr="00013E2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30DF9AC8" w14:textId="77777777" w:rsidR="00B21D92" w:rsidRPr="00EA55AF" w:rsidRDefault="00B21D92" w:rsidP="00321A93">
            <w:pPr>
              <w:pStyle w:val="Tabletext0"/>
              <w:rPr>
                <w:lang w:eastAsia="en-AU"/>
              </w:rPr>
            </w:pPr>
          </w:p>
        </w:tc>
        <w:tc>
          <w:tcPr>
            <w:tcW w:w="1602" w:type="pct"/>
            <w:vMerge/>
            <w:vAlign w:val="center"/>
          </w:tcPr>
          <w:p w14:paraId="0D41BE21"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971" w:type="pct"/>
            <w:vMerge/>
            <w:vAlign w:val="center"/>
          </w:tcPr>
          <w:p w14:paraId="2E27B8CD"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558" w:type="pct"/>
            <w:vAlign w:val="center"/>
          </w:tcPr>
          <w:p w14:paraId="44E96EE2" w14:textId="6768249C"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Protozoa</w:t>
            </w:r>
          </w:p>
        </w:tc>
        <w:tc>
          <w:tcPr>
            <w:tcW w:w="480" w:type="pct"/>
            <w:vAlign w:val="center"/>
          </w:tcPr>
          <w:p w14:paraId="4A4FA8D8" w14:textId="21515661"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Virus</w:t>
            </w:r>
          </w:p>
        </w:tc>
        <w:tc>
          <w:tcPr>
            <w:tcW w:w="608" w:type="pct"/>
            <w:vAlign w:val="center"/>
          </w:tcPr>
          <w:p w14:paraId="6D0D5104" w14:textId="486B9BAF"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Bacteria</w:t>
            </w:r>
          </w:p>
        </w:tc>
      </w:tr>
      <w:tr w:rsidR="008E2CF6" w:rsidRPr="00EA55AF" w14:paraId="00159DCB" w14:textId="77777777" w:rsidTr="00013E28">
        <w:trPr>
          <w:trHeight w:val="796"/>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52FD9B98" w14:textId="77777777" w:rsidR="00B21D92" w:rsidRPr="0073383B" w:rsidRDefault="00B21D92" w:rsidP="00321A93">
            <w:pPr>
              <w:pStyle w:val="Tabletext0"/>
              <w:rPr>
                <w:lang w:eastAsia="en-AU"/>
              </w:rPr>
            </w:pPr>
            <w:r w:rsidRPr="0073383B">
              <w:rPr>
                <w:lang w:eastAsia="en-AU"/>
              </w:rPr>
              <w:t>Garden irrigation</w:t>
            </w:r>
          </w:p>
        </w:tc>
        <w:tc>
          <w:tcPr>
            <w:tcW w:w="1602" w:type="pct"/>
          </w:tcPr>
          <w:p w14:paraId="6646F23B"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sprays</w:t>
            </w:r>
          </w:p>
          <w:p w14:paraId="4AC79D5F"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 low</w:t>
            </w:r>
          </w:p>
          <w:p w14:paraId="66ED1A7A"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 high</w:t>
            </w:r>
          </w:p>
        </w:tc>
        <w:tc>
          <w:tcPr>
            <w:tcW w:w="971" w:type="pct"/>
          </w:tcPr>
          <w:p w14:paraId="311DB9C6"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90</w:t>
            </w:r>
          </w:p>
          <w:p w14:paraId="5C6CB9A5" w14:textId="778C7AB1"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90</w:t>
            </w:r>
          </w:p>
          <w:p w14:paraId="521ACB2D"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0.1 x 1</w:t>
            </w:r>
          </w:p>
        </w:tc>
        <w:tc>
          <w:tcPr>
            <w:tcW w:w="558" w:type="pct"/>
          </w:tcPr>
          <w:p w14:paraId="68F16E30"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c>
          <w:tcPr>
            <w:tcW w:w="480" w:type="pct"/>
          </w:tcPr>
          <w:p w14:paraId="111D1669"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c>
          <w:tcPr>
            <w:tcW w:w="608" w:type="pct"/>
          </w:tcPr>
          <w:p w14:paraId="23F16DFF"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r>
      <w:tr w:rsidR="008E2CF6" w:rsidRPr="00EA55AF" w14:paraId="4ACF7791" w14:textId="77777777" w:rsidTr="00013E2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853132A" w14:textId="77777777" w:rsidR="00B21D92" w:rsidRPr="0073383B" w:rsidRDefault="00B21D92" w:rsidP="00321A93">
            <w:pPr>
              <w:pStyle w:val="Tabletext0"/>
              <w:rPr>
                <w:lang w:eastAsia="en-AU"/>
              </w:rPr>
            </w:pPr>
          </w:p>
        </w:tc>
        <w:tc>
          <w:tcPr>
            <w:tcW w:w="1602" w:type="pct"/>
          </w:tcPr>
          <w:p w14:paraId="061328BA"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Total</w:t>
            </w:r>
          </w:p>
        </w:tc>
        <w:tc>
          <w:tcPr>
            <w:tcW w:w="971" w:type="pct"/>
          </w:tcPr>
          <w:p w14:paraId="280E08FD"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0.2</w:t>
            </w:r>
          </w:p>
        </w:tc>
        <w:tc>
          <w:tcPr>
            <w:tcW w:w="558" w:type="pct"/>
          </w:tcPr>
          <w:p w14:paraId="3D7BAC33" w14:textId="6340573F"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5.0</w:t>
            </w:r>
          </w:p>
        </w:tc>
        <w:tc>
          <w:tcPr>
            <w:tcW w:w="480" w:type="pct"/>
          </w:tcPr>
          <w:p w14:paraId="4C89F5A5" w14:textId="36600173"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5.6</w:t>
            </w:r>
          </w:p>
        </w:tc>
        <w:tc>
          <w:tcPr>
            <w:tcW w:w="608" w:type="pct"/>
          </w:tcPr>
          <w:p w14:paraId="63A1A1F7" w14:textId="1C247265"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5.3</w:t>
            </w:r>
          </w:p>
        </w:tc>
      </w:tr>
      <w:tr w:rsidR="008E2CF6" w:rsidRPr="00EA55AF" w14:paraId="1D9AF292" w14:textId="77777777" w:rsidTr="00013E28">
        <w:tc>
          <w:tcPr>
            <w:cnfStyle w:val="001000000000" w:firstRow="0" w:lastRow="0" w:firstColumn="1" w:lastColumn="0" w:oddVBand="0" w:evenVBand="0" w:oddHBand="0" w:evenHBand="0" w:firstRowFirstColumn="0" w:firstRowLastColumn="0" w:lastRowFirstColumn="0" w:lastRowLastColumn="0"/>
            <w:tcW w:w="781" w:type="pct"/>
            <w:vAlign w:val="center"/>
          </w:tcPr>
          <w:p w14:paraId="142AD2AA" w14:textId="77777777" w:rsidR="00B21D92" w:rsidRPr="0073383B" w:rsidRDefault="00B21D92" w:rsidP="00321A93">
            <w:pPr>
              <w:pStyle w:val="Tabletext0"/>
              <w:rPr>
                <w:lang w:eastAsia="en-AU"/>
              </w:rPr>
            </w:pPr>
            <w:r w:rsidRPr="0073383B">
              <w:rPr>
                <w:lang w:eastAsia="en-AU"/>
              </w:rPr>
              <w:t>Municipal irrigation</w:t>
            </w:r>
          </w:p>
        </w:tc>
        <w:tc>
          <w:tcPr>
            <w:tcW w:w="1602" w:type="pct"/>
          </w:tcPr>
          <w:p w14:paraId="49E08731"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spray</w:t>
            </w:r>
          </w:p>
        </w:tc>
        <w:tc>
          <w:tcPr>
            <w:tcW w:w="971" w:type="pct"/>
          </w:tcPr>
          <w:p w14:paraId="45AF4EEC"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50</w:t>
            </w:r>
          </w:p>
        </w:tc>
        <w:tc>
          <w:tcPr>
            <w:tcW w:w="558" w:type="pct"/>
          </w:tcPr>
          <w:p w14:paraId="717391B1" w14:textId="3D454975"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4.4</w:t>
            </w:r>
          </w:p>
        </w:tc>
        <w:tc>
          <w:tcPr>
            <w:tcW w:w="480" w:type="pct"/>
          </w:tcPr>
          <w:p w14:paraId="79A92AF5" w14:textId="261FF342"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5.0</w:t>
            </w:r>
          </w:p>
        </w:tc>
        <w:tc>
          <w:tcPr>
            <w:tcW w:w="608" w:type="pct"/>
          </w:tcPr>
          <w:p w14:paraId="69E1FC5A" w14:textId="32C3F814"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4.7</w:t>
            </w:r>
          </w:p>
        </w:tc>
      </w:tr>
      <w:tr w:rsidR="008E2CF6" w:rsidRPr="00EA55AF" w14:paraId="36A0374F" w14:textId="77777777" w:rsidTr="0001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5C5897C4" w14:textId="77777777" w:rsidR="00B21D92" w:rsidRPr="0073383B" w:rsidRDefault="00B21D92" w:rsidP="00321A93">
            <w:pPr>
              <w:pStyle w:val="Tabletext0"/>
              <w:rPr>
                <w:lang w:eastAsia="en-AU"/>
              </w:rPr>
            </w:pPr>
            <w:r w:rsidRPr="0073383B">
              <w:rPr>
                <w:lang w:eastAsia="en-AU"/>
              </w:rPr>
              <w:t>Food crop consumption (commercial)</w:t>
            </w:r>
          </w:p>
        </w:tc>
        <w:tc>
          <w:tcPr>
            <w:tcW w:w="1602" w:type="pct"/>
          </w:tcPr>
          <w:p w14:paraId="4DC3140B"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lettuce</w:t>
            </w:r>
          </w:p>
          <w:p w14:paraId="4FE4BBAB"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 other produce</w:t>
            </w:r>
          </w:p>
        </w:tc>
        <w:tc>
          <w:tcPr>
            <w:tcW w:w="971" w:type="pct"/>
          </w:tcPr>
          <w:p w14:paraId="15006883"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0.005 x 70</w:t>
            </w:r>
          </w:p>
          <w:p w14:paraId="4BB637D1" w14:textId="25F360F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0.001 x 140</w:t>
            </w:r>
          </w:p>
        </w:tc>
        <w:tc>
          <w:tcPr>
            <w:tcW w:w="558" w:type="pct"/>
          </w:tcPr>
          <w:p w14:paraId="288818AE"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480" w:type="pct"/>
          </w:tcPr>
          <w:p w14:paraId="08279731"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608" w:type="pct"/>
          </w:tcPr>
          <w:p w14:paraId="71DFED51"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r>
      <w:tr w:rsidR="008E2CF6" w:rsidRPr="00EA55AF" w14:paraId="0FF1E013" w14:textId="77777777" w:rsidTr="00013E28">
        <w:trPr>
          <w:trHeight w:val="283"/>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3B76A758" w14:textId="77777777" w:rsidR="00B21D92" w:rsidRPr="0073383B" w:rsidRDefault="00B21D92" w:rsidP="00321A93">
            <w:pPr>
              <w:pStyle w:val="Tabletext0"/>
              <w:rPr>
                <w:lang w:eastAsia="en-AU"/>
              </w:rPr>
            </w:pPr>
          </w:p>
        </w:tc>
        <w:tc>
          <w:tcPr>
            <w:tcW w:w="1602" w:type="pct"/>
          </w:tcPr>
          <w:p w14:paraId="51FEA60C"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Total</w:t>
            </w:r>
          </w:p>
        </w:tc>
        <w:tc>
          <w:tcPr>
            <w:tcW w:w="971" w:type="pct"/>
          </w:tcPr>
          <w:p w14:paraId="3134F459"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0.49</w:t>
            </w:r>
          </w:p>
        </w:tc>
        <w:tc>
          <w:tcPr>
            <w:tcW w:w="558" w:type="pct"/>
          </w:tcPr>
          <w:p w14:paraId="578ED9F0" w14:textId="2310ED96"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5.4</w:t>
            </w:r>
          </w:p>
        </w:tc>
        <w:tc>
          <w:tcPr>
            <w:tcW w:w="480" w:type="pct"/>
          </w:tcPr>
          <w:p w14:paraId="1E4BC3B3" w14:textId="5B77508F"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6.0</w:t>
            </w:r>
          </w:p>
        </w:tc>
        <w:tc>
          <w:tcPr>
            <w:tcW w:w="608" w:type="pct"/>
          </w:tcPr>
          <w:p w14:paraId="5B9F7900" w14:textId="0B5A593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5.7</w:t>
            </w:r>
          </w:p>
        </w:tc>
      </w:tr>
      <w:tr w:rsidR="008E2CF6" w:rsidRPr="00EA55AF" w14:paraId="18C87AD7" w14:textId="77777777" w:rsidTr="0001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Align w:val="center"/>
          </w:tcPr>
          <w:p w14:paraId="4D2E0208" w14:textId="77777777" w:rsidR="00B21D92" w:rsidRPr="0073383B" w:rsidRDefault="00B21D92" w:rsidP="00321A93">
            <w:pPr>
              <w:pStyle w:val="Tabletext0"/>
              <w:rPr>
                <w:lang w:eastAsia="en-AU"/>
              </w:rPr>
            </w:pPr>
            <w:r w:rsidRPr="0073383B">
              <w:rPr>
                <w:lang w:eastAsia="en-AU"/>
              </w:rPr>
              <w:t>Toilet flushing</w:t>
            </w:r>
          </w:p>
        </w:tc>
        <w:tc>
          <w:tcPr>
            <w:tcW w:w="1602" w:type="pct"/>
          </w:tcPr>
          <w:p w14:paraId="7910D188"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of sprays</w:t>
            </w:r>
          </w:p>
        </w:tc>
        <w:tc>
          <w:tcPr>
            <w:tcW w:w="971" w:type="pct"/>
          </w:tcPr>
          <w:p w14:paraId="15434C70"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0.00001 x 1100</w:t>
            </w:r>
          </w:p>
        </w:tc>
        <w:tc>
          <w:tcPr>
            <w:tcW w:w="558" w:type="pct"/>
          </w:tcPr>
          <w:p w14:paraId="51D82C3E" w14:textId="241D4F99"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3.7</w:t>
            </w:r>
          </w:p>
        </w:tc>
        <w:tc>
          <w:tcPr>
            <w:tcW w:w="480" w:type="pct"/>
          </w:tcPr>
          <w:p w14:paraId="6D263245" w14:textId="1383786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4.3</w:t>
            </w:r>
          </w:p>
        </w:tc>
        <w:tc>
          <w:tcPr>
            <w:tcW w:w="608" w:type="pct"/>
          </w:tcPr>
          <w:p w14:paraId="6D63628C" w14:textId="35AEB666"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4.0</w:t>
            </w:r>
          </w:p>
        </w:tc>
      </w:tr>
      <w:tr w:rsidR="008E2CF6" w:rsidRPr="00EA55AF" w14:paraId="3C0AACCA" w14:textId="77777777" w:rsidTr="00013E28">
        <w:tc>
          <w:tcPr>
            <w:cnfStyle w:val="001000000000" w:firstRow="0" w:lastRow="0" w:firstColumn="1" w:lastColumn="0" w:oddVBand="0" w:evenVBand="0" w:oddHBand="0" w:evenHBand="0" w:firstRowFirstColumn="0" w:firstRowLastColumn="0" w:lastRowFirstColumn="0" w:lastRowLastColumn="0"/>
            <w:tcW w:w="781" w:type="pct"/>
            <w:tcBorders>
              <w:bottom w:val="single" w:sz="4" w:space="0" w:color="auto"/>
            </w:tcBorders>
            <w:vAlign w:val="center"/>
          </w:tcPr>
          <w:p w14:paraId="5E1D45D2" w14:textId="77777777" w:rsidR="00B21D92" w:rsidRPr="0073383B" w:rsidRDefault="00B21D92" w:rsidP="00321A93">
            <w:pPr>
              <w:pStyle w:val="Tabletext0"/>
              <w:rPr>
                <w:lang w:eastAsia="en-AU"/>
              </w:rPr>
            </w:pPr>
            <w:r w:rsidRPr="0073383B">
              <w:rPr>
                <w:lang w:eastAsia="en-AU"/>
              </w:rPr>
              <w:t>Fire fighting</w:t>
            </w:r>
          </w:p>
        </w:tc>
        <w:tc>
          <w:tcPr>
            <w:tcW w:w="1602" w:type="pct"/>
            <w:tcBorders>
              <w:bottom w:val="single" w:sz="4" w:space="0" w:color="auto"/>
            </w:tcBorders>
          </w:tcPr>
          <w:p w14:paraId="240C8094"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water and sprays</w:t>
            </w:r>
          </w:p>
        </w:tc>
        <w:tc>
          <w:tcPr>
            <w:tcW w:w="971" w:type="pct"/>
            <w:tcBorders>
              <w:bottom w:val="single" w:sz="4" w:space="0" w:color="auto"/>
            </w:tcBorders>
          </w:tcPr>
          <w:p w14:paraId="0EAD67D7"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0.02 x 50</w:t>
            </w:r>
          </w:p>
        </w:tc>
        <w:tc>
          <w:tcPr>
            <w:tcW w:w="558" w:type="pct"/>
            <w:tcBorders>
              <w:bottom w:val="single" w:sz="4" w:space="0" w:color="auto"/>
            </w:tcBorders>
          </w:tcPr>
          <w:p w14:paraId="2D754DD1" w14:textId="0A983CA0"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4.0</w:t>
            </w:r>
          </w:p>
        </w:tc>
        <w:tc>
          <w:tcPr>
            <w:tcW w:w="480" w:type="pct"/>
            <w:tcBorders>
              <w:bottom w:val="single" w:sz="4" w:space="0" w:color="auto"/>
            </w:tcBorders>
          </w:tcPr>
          <w:p w14:paraId="083712F0" w14:textId="0D5A8A3D"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4.6</w:t>
            </w:r>
          </w:p>
        </w:tc>
        <w:tc>
          <w:tcPr>
            <w:tcW w:w="608" w:type="pct"/>
            <w:tcBorders>
              <w:bottom w:val="single" w:sz="4" w:space="0" w:color="auto"/>
            </w:tcBorders>
          </w:tcPr>
          <w:p w14:paraId="43DE23A8" w14:textId="6575FDE8"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4.3</w:t>
            </w:r>
          </w:p>
        </w:tc>
      </w:tr>
    </w:tbl>
    <w:p w14:paraId="408B11DC" w14:textId="716C3AC4" w:rsidR="00D35FFE" w:rsidRPr="006A6E12" w:rsidRDefault="00013E28" w:rsidP="00013E28">
      <w:pPr>
        <w:pStyle w:val="Tablenotes"/>
      </w:pPr>
      <w:r w:rsidRPr="00C551F8">
        <w:rPr>
          <w:iCs/>
        </w:rPr>
        <w:t xml:space="preserve">Source: </w:t>
      </w:r>
      <w:r w:rsidRPr="00C551F8">
        <w:t>NRMMC et al. (2006)</w:t>
      </w:r>
    </w:p>
    <w:p w14:paraId="3238F984" w14:textId="77777777" w:rsidR="00D35FFE" w:rsidRPr="00C01F65" w:rsidRDefault="00D35FFE" w:rsidP="00D35FFE">
      <w:pPr>
        <w:jc w:val="both"/>
        <w:rPr>
          <w:rFonts w:cs="Arial"/>
        </w:rPr>
      </w:pPr>
      <w:r w:rsidRPr="00C01F65">
        <w:rPr>
          <w:rFonts w:cs="Arial"/>
        </w:rPr>
        <w:t>Viruses usually require the highest LRV, reflecting the high infectivity of viruses compared with bacteria and the higher disease burden of viruses compared with protozoa. The LRV is calculated using the equation:</w:t>
      </w:r>
    </w:p>
    <w:p w14:paraId="337B677D" w14:textId="73D49C32" w:rsidR="000811B9" w:rsidRDefault="000811B9">
      <w:pPr>
        <w:spacing w:after="0"/>
        <w:rPr>
          <w:rFonts w:ascii="Arial" w:hAnsi="Arial" w:cs="Arial"/>
        </w:rPr>
      </w:pPr>
      <w:r>
        <w:rPr>
          <w:noProof/>
        </w:rPr>
        <mc:AlternateContent>
          <mc:Choice Requires="wps">
            <w:drawing>
              <wp:anchor distT="0" distB="0" distL="114300" distR="114300" simplePos="0" relativeHeight="251663360" behindDoc="1" locked="0" layoutInCell="1" allowOverlap="1" wp14:anchorId="76AA0007" wp14:editId="0F6836AC">
                <wp:simplePos x="0" y="0"/>
                <wp:positionH relativeFrom="column">
                  <wp:posOffset>1713230</wp:posOffset>
                </wp:positionH>
                <wp:positionV relativeFrom="paragraph">
                  <wp:posOffset>3175</wp:posOffset>
                </wp:positionV>
                <wp:extent cx="2254250" cy="525145"/>
                <wp:effectExtent l="0" t="0" r="0" b="0"/>
                <wp:wrapTight wrapText="bothSides">
                  <wp:wrapPolygon edited="0">
                    <wp:start x="0" y="0"/>
                    <wp:lineTo x="0" y="21600"/>
                    <wp:lineTo x="21600" y="21600"/>
                    <wp:lineTo x="21600" y="0"/>
                  </wp:wrapPolygon>
                </wp:wrapTight>
                <wp:docPr id="4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525145"/>
                        </a:xfrm>
                        <a:prstGeom prst="rect">
                          <a:avLst/>
                        </a:prstGeom>
                        <a:noFill/>
                      </wps:spPr>
                      <wps:txbx>
                        <w:txbxContent>
                          <w:p w14:paraId="65D04964" w14:textId="77777777" w:rsidR="000811B9" w:rsidRPr="004E031C" w:rsidRDefault="000811B9" w:rsidP="000811B9">
                            <w:pPr>
                              <w:pStyle w:val="NormalWeb"/>
                              <w:rPr>
                                <w:sz w:val="20"/>
                                <w:lang w:val="es-AR"/>
                              </w:rPr>
                            </w:pPr>
                            <m:oMathPara>
                              <m:oMathParaPr>
                                <m:jc m:val="centerGroup"/>
                              </m:oMathParaPr>
                              <m:oMath>
                                <m:r>
                                  <w:rPr>
                                    <w:rFonts w:ascii="Cambria Math" w:hAnsi="Cambria Math" w:cstheme="minorBidi"/>
                                    <w:color w:val="000000" w:themeColor="text1"/>
                                    <w:kern w:val="24"/>
                                    <w:szCs w:val="36"/>
                                  </w:rPr>
                                  <m:t>LRV</m:t>
                                </m:r>
                                <m:r>
                                  <w:rPr>
                                    <w:rFonts w:ascii="Cambria Math" w:hAnsi="Cambria Math" w:cstheme="minorBidi"/>
                                    <w:color w:val="000000" w:themeColor="text1"/>
                                    <w:kern w:val="24"/>
                                    <w:szCs w:val="36"/>
                                    <w:lang w:val="es-AR"/>
                                  </w:rPr>
                                  <m:t>=</m:t>
                                </m:r>
                                <m:r>
                                  <m:rPr>
                                    <m:nor/>
                                  </m:rPr>
                                  <w:rPr>
                                    <w:rFonts w:asciiTheme="minorHAnsi" w:hAnsi="Calibri" w:cstheme="minorBidi"/>
                                    <w:color w:val="000000" w:themeColor="text1"/>
                                    <w:kern w:val="24"/>
                                    <w:szCs w:val="36"/>
                                    <w:lang w:val="es-AR"/>
                                  </w:rPr>
                                  <m:t>Log</m:t>
                                </m:r>
                                <m:r>
                                  <m:rPr>
                                    <m:nor/>
                                  </m:rPr>
                                  <w:rPr>
                                    <w:rFonts w:asciiTheme="minorHAnsi" w:hAnsi="Calibri" w:cstheme="minorBidi"/>
                                    <w:color w:val="000000" w:themeColor="text1"/>
                                    <w:kern w:val="24"/>
                                    <w:position w:val="-9"/>
                                    <w:szCs w:val="36"/>
                                    <w:vertAlign w:val="subscript"/>
                                    <w:lang w:val="es-AR"/>
                                  </w:rPr>
                                  <m:t>10</m:t>
                                </m:r>
                                <m:d>
                                  <m:dPr>
                                    <m:ctrlPr>
                                      <w:rPr>
                                        <w:rFonts w:ascii="Cambria Math" w:eastAsiaTheme="minorEastAsia" w:hAnsi="Cambria Math" w:cstheme="minorBidi"/>
                                        <w:i/>
                                        <w:iCs/>
                                        <w:color w:val="000000" w:themeColor="text1"/>
                                        <w:kern w:val="24"/>
                                        <w:szCs w:val="36"/>
                                      </w:rPr>
                                    </m:ctrlPr>
                                  </m:dPr>
                                  <m:e>
                                    <m:f>
                                      <m:fPr>
                                        <m:ctrlPr>
                                          <w:rPr>
                                            <w:rFonts w:ascii="Cambria Math" w:eastAsiaTheme="minorEastAsia" w:hAnsi="Cambria Math" w:cstheme="minorBidi"/>
                                            <w:i/>
                                            <w:iCs/>
                                            <w:color w:val="000000" w:themeColor="text1"/>
                                            <w:kern w:val="24"/>
                                            <w:szCs w:val="36"/>
                                          </w:rPr>
                                        </m:ctrlPr>
                                      </m:fPr>
                                      <m:num>
                                        <m:r>
                                          <w:rPr>
                                            <w:rFonts w:ascii="Cambria Math" w:hAnsi="Cambria Math" w:cstheme="minorBidi"/>
                                            <w:color w:val="000000" w:themeColor="text1"/>
                                            <w:kern w:val="24"/>
                                            <w:szCs w:val="36"/>
                                          </w:rPr>
                                          <m:t>C</m:t>
                                        </m:r>
                                        <m:r>
                                          <w:rPr>
                                            <w:rFonts w:ascii="Cambria Math" w:hAnsi="Cambria Math" w:cstheme="minorBidi"/>
                                            <w:color w:val="000000" w:themeColor="text1"/>
                                            <w:kern w:val="24"/>
                                            <w:position w:val="-9"/>
                                            <w:szCs w:val="36"/>
                                            <w:vertAlign w:val="subscript"/>
                                          </w:rPr>
                                          <m:t>rw</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Exposure</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N</m:t>
                                        </m:r>
                                      </m:num>
                                      <m:den>
                                        <m:r>
                                          <w:rPr>
                                            <w:rFonts w:ascii="Cambria Math" w:hAnsi="Cambria Math" w:cstheme="minorBidi"/>
                                            <w:color w:val="000000" w:themeColor="text1"/>
                                            <w:kern w:val="24"/>
                                            <w:szCs w:val="36"/>
                                          </w:rPr>
                                          <m:t>DF</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DALYd</m:t>
                                        </m:r>
                                      </m:den>
                                    </m:f>
                                  </m:e>
                                </m:d>
                              </m:oMath>
                            </m:oMathPara>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76AA0007" id="TextBox 3" o:spid="_x0000_s1039" type="#_x0000_t202" style="position:absolute;margin-left:134.9pt;margin-top:.25pt;width:177.5pt;height:41.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" filled="f" stroked="f">
                <v:textbox style="mso-fit-shape-to-text:t" inset="0,0,0,0">
                  <w:txbxContent>
                    <w:p w14:paraId="65D04964" w14:textId="77777777" w:rsidR="000811B9" w:rsidRPr="004E031C" w:rsidRDefault="000811B9" w:rsidP="000811B9">
                      <w:pPr>
                        <w:pStyle w:val="NormalWeb"/>
                        <w:rPr>
                          <w:sz w:val="20"/>
                          <w:lang w:val="es-AR"/>
                        </w:rPr>
                      </w:pPr>
                      <m:oMathPara>
                        <m:oMathParaPr>
                          <m:jc m:val="centerGroup"/>
                        </m:oMathParaPr>
                        <m:oMath>
                          <m:r>
                            <w:rPr>
                              <w:rFonts w:ascii="Cambria Math" w:hAnsi="Cambria Math" w:cstheme="minorBidi"/>
                              <w:color w:val="000000" w:themeColor="text1"/>
                              <w:kern w:val="24"/>
                              <w:szCs w:val="36"/>
                            </w:rPr>
                            <m:t>LRV</m:t>
                          </m:r>
                          <m:r>
                            <w:rPr>
                              <w:rFonts w:ascii="Cambria Math" w:hAnsi="Cambria Math" w:cstheme="minorBidi"/>
                              <w:color w:val="000000" w:themeColor="text1"/>
                              <w:kern w:val="24"/>
                              <w:szCs w:val="36"/>
                              <w:lang w:val="es-AR"/>
                            </w:rPr>
                            <m:t>=</m:t>
                          </m:r>
                          <m:r>
                            <m:rPr>
                              <m:nor/>
                            </m:rPr>
                            <w:rPr>
                              <w:rFonts w:asciiTheme="minorHAnsi" w:hAnsi="Calibri" w:cstheme="minorBidi"/>
                              <w:color w:val="000000" w:themeColor="text1"/>
                              <w:kern w:val="24"/>
                              <w:szCs w:val="36"/>
                              <w:lang w:val="es-AR"/>
                            </w:rPr>
                            <m:t>Log</m:t>
                          </m:r>
                          <m:r>
                            <m:rPr>
                              <m:nor/>
                            </m:rPr>
                            <w:rPr>
                              <w:rFonts w:asciiTheme="minorHAnsi" w:hAnsi="Calibri" w:cstheme="minorBidi"/>
                              <w:color w:val="000000" w:themeColor="text1"/>
                              <w:kern w:val="24"/>
                              <w:position w:val="-9"/>
                              <w:szCs w:val="36"/>
                              <w:vertAlign w:val="subscript"/>
                              <w:lang w:val="es-AR"/>
                            </w:rPr>
                            <m:t>10</m:t>
                          </m:r>
                          <m:d>
                            <m:dPr>
                              <m:ctrlPr>
                                <w:rPr>
                                  <w:rFonts w:ascii="Cambria Math" w:eastAsiaTheme="minorEastAsia" w:hAnsi="Cambria Math" w:cstheme="minorBidi"/>
                                  <w:i/>
                                  <w:iCs/>
                                  <w:color w:val="000000" w:themeColor="text1"/>
                                  <w:kern w:val="24"/>
                                  <w:szCs w:val="36"/>
                                </w:rPr>
                              </m:ctrlPr>
                            </m:dPr>
                            <m:e>
                              <m:f>
                                <m:fPr>
                                  <m:ctrlPr>
                                    <w:rPr>
                                      <w:rFonts w:ascii="Cambria Math" w:eastAsiaTheme="minorEastAsia" w:hAnsi="Cambria Math" w:cstheme="minorBidi"/>
                                      <w:i/>
                                      <w:iCs/>
                                      <w:color w:val="000000" w:themeColor="text1"/>
                                      <w:kern w:val="24"/>
                                      <w:szCs w:val="36"/>
                                    </w:rPr>
                                  </m:ctrlPr>
                                </m:fPr>
                                <m:num>
                                  <m:r>
                                    <w:rPr>
                                      <w:rFonts w:ascii="Cambria Math" w:hAnsi="Cambria Math" w:cstheme="minorBidi"/>
                                      <w:color w:val="000000" w:themeColor="text1"/>
                                      <w:kern w:val="24"/>
                                      <w:szCs w:val="36"/>
                                    </w:rPr>
                                    <m:t>C</m:t>
                                  </m:r>
                                  <m:r>
                                    <w:rPr>
                                      <w:rFonts w:ascii="Cambria Math" w:hAnsi="Cambria Math" w:cstheme="minorBidi"/>
                                      <w:color w:val="000000" w:themeColor="text1"/>
                                      <w:kern w:val="24"/>
                                      <w:position w:val="-9"/>
                                      <w:szCs w:val="36"/>
                                      <w:vertAlign w:val="subscript"/>
                                    </w:rPr>
                                    <m:t>rw</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Exposure</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N</m:t>
                                  </m:r>
                                </m:num>
                                <m:den>
                                  <m:r>
                                    <w:rPr>
                                      <w:rFonts w:ascii="Cambria Math" w:hAnsi="Cambria Math" w:cstheme="minorBidi"/>
                                      <w:color w:val="000000" w:themeColor="text1"/>
                                      <w:kern w:val="24"/>
                                      <w:szCs w:val="36"/>
                                    </w:rPr>
                                    <m:t>DF</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DALYd</m:t>
                                  </m:r>
                                </m:den>
                              </m:f>
                            </m:e>
                          </m:d>
                        </m:oMath>
                      </m:oMathPara>
                    </w:p>
                  </w:txbxContent>
                </v:textbox>
                <w10:wrap type="tight"/>
              </v:shape>
            </w:pict>
          </mc:Fallback>
        </mc:AlternateContent>
      </w:r>
    </w:p>
    <w:p w14:paraId="059F48CC" w14:textId="4649D6BA" w:rsidR="000811B9" w:rsidRDefault="000811B9">
      <w:pPr>
        <w:spacing w:after="0"/>
        <w:rPr>
          <w:rFonts w:ascii="Arial" w:hAnsi="Arial" w:cs="Arial"/>
        </w:rPr>
      </w:pPr>
    </w:p>
    <w:p w14:paraId="72D77329" w14:textId="38F99C28" w:rsidR="000811B9" w:rsidRDefault="000811B9">
      <w:pPr>
        <w:spacing w:after="0"/>
        <w:rPr>
          <w:rFonts w:ascii="Arial" w:hAnsi="Arial" w:cs="Arial"/>
        </w:rPr>
      </w:pPr>
    </w:p>
    <w:p w14:paraId="35FE8DED" w14:textId="77777777" w:rsidR="00550FF8" w:rsidRPr="00C01F65" w:rsidRDefault="00550FF8" w:rsidP="00550FF8">
      <w:r w:rsidRPr="00C01F65">
        <w:t>Where C</w:t>
      </w:r>
      <w:r w:rsidRPr="00574864">
        <w:rPr>
          <w:vertAlign w:val="subscript"/>
        </w:rPr>
        <w:t>rw</w:t>
      </w:r>
      <w:r w:rsidRPr="00C01F65">
        <w:t xml:space="preserve"> is the pathogen concentration in the raw </w:t>
      </w:r>
      <w:r>
        <w:t>waste</w:t>
      </w:r>
      <w:r w:rsidRPr="00C01F65">
        <w:t>water (before treatment); N is the frequency of exposure per year; DF is the expected dilution factor when discharging into the waterway; and DALYd is the dose equivalent to a DALY of 10</w:t>
      </w:r>
      <w:r w:rsidRPr="00C01F65">
        <w:rPr>
          <w:vertAlign w:val="superscript"/>
        </w:rPr>
        <w:t>-6</w:t>
      </w:r>
      <w:r w:rsidRPr="00C01F65">
        <w:t xml:space="preserve"> (1.6 x 10</w:t>
      </w:r>
      <w:r w:rsidRPr="00C01F65">
        <w:rPr>
          <w:vertAlign w:val="superscript"/>
        </w:rPr>
        <w:t>-2</w:t>
      </w:r>
      <w:r w:rsidRPr="00C01F65">
        <w:t xml:space="preserve"> </w:t>
      </w:r>
      <w:r w:rsidRPr="00C01F65">
        <w:rPr>
          <w:i/>
        </w:rPr>
        <w:t>Cryptosporidium</w:t>
      </w:r>
      <w:r w:rsidRPr="00C01F65">
        <w:t>; 2.5 x 10</w:t>
      </w:r>
      <w:r w:rsidRPr="00C01F65">
        <w:rPr>
          <w:vertAlign w:val="superscript"/>
        </w:rPr>
        <w:t>-3</w:t>
      </w:r>
      <w:r w:rsidRPr="00C01F65">
        <w:t xml:space="preserve"> rotavirus; 3.8 x 10</w:t>
      </w:r>
      <w:r w:rsidRPr="00C01F65">
        <w:rPr>
          <w:vertAlign w:val="superscript"/>
        </w:rPr>
        <w:t>-2</w:t>
      </w:r>
      <w:r w:rsidRPr="00C01F65">
        <w:t xml:space="preserve"> </w:t>
      </w:r>
      <w:r w:rsidRPr="00C01F65">
        <w:rPr>
          <w:i/>
          <w:iCs/>
        </w:rPr>
        <w:t>Campylobacter</w:t>
      </w:r>
      <w:r w:rsidRPr="00C01F65">
        <w:t>) and includes the dose-response and ratio of infection to illness.</w:t>
      </w:r>
    </w:p>
    <w:p w14:paraId="30581D6B" w14:textId="09BFCB1A" w:rsidR="00550FF8" w:rsidRPr="00C01F65" w:rsidRDefault="0000151D" w:rsidP="00550FF8">
      <w:r w:rsidRPr="00C01F65">
        <w:rPr>
          <w:rFonts w:eastAsia="Times New Roman" w:cs="Arial"/>
          <w:iCs/>
        </w:rPr>
        <w:t>To</w:t>
      </w:r>
      <w:r w:rsidR="00550FF8" w:rsidRPr="00C01F65">
        <w:rPr>
          <w:rFonts w:eastAsia="Times New Roman" w:cs="Arial"/>
          <w:iCs/>
        </w:rPr>
        <w:t xml:space="preserve"> maintain adequate level of treatment, it is important that a process for the management of failure be developed. </w:t>
      </w:r>
      <w:r w:rsidR="00550FF8" w:rsidRPr="00C01F65">
        <w:t>Actions to mitigate risks of failure will be triggered by non-compliance with critical limits detected upstream of, or within, the wastewater treatment plant. These critical limits will be determined during the development of the HACCP plan and the treatment performance validation. Actions may include an automatic interruption of the discharge to the waterway until remedial action is implemented. Non-compliance with other limits may result in corrective action being taken while the system remains operational.</w:t>
      </w:r>
    </w:p>
    <w:p w14:paraId="216B8A07" w14:textId="6E9F1061" w:rsidR="00DB6C6E" w:rsidRPr="00C01F65" w:rsidRDefault="00DB6C6E" w:rsidP="00F46C15">
      <w:pPr>
        <w:pStyle w:val="AppendixA1"/>
      </w:pPr>
      <w:bookmarkStart w:id="351" w:name="_Toc499306190"/>
      <w:bookmarkStart w:id="352" w:name="_Toc49942306"/>
      <w:bookmarkStart w:id="353" w:name="_Toc51929051"/>
      <w:bookmarkStart w:id="354" w:name="_Toc87369320"/>
      <w:bookmarkStart w:id="355" w:name="_Toc133938177"/>
      <w:r w:rsidRPr="00C01F65">
        <w:t>Variability and uncertainty</w:t>
      </w:r>
      <w:bookmarkEnd w:id="351"/>
      <w:bookmarkEnd w:id="352"/>
      <w:bookmarkEnd w:id="353"/>
      <w:bookmarkEnd w:id="354"/>
      <w:bookmarkEnd w:id="355"/>
    </w:p>
    <w:p w14:paraId="159DC04C" w14:textId="3CF1CD50" w:rsidR="00DB6C6E" w:rsidRPr="00C01F65" w:rsidRDefault="00DB6C6E" w:rsidP="00DB6C6E">
      <w:r w:rsidRPr="00C01F65">
        <w:t>Exposure volumes and frequencies will vary between and within individuals, depending on climate, age, lifestyle, and cultural factors. Changes to sites over time due to seasonal changes and participation in exposure activities also affect exposure volumes and frequencies.</w:t>
      </w:r>
    </w:p>
    <w:p w14:paraId="5FE6DB48" w14:textId="77777777" w:rsidR="00DB6C6E" w:rsidRPr="00C01F65" w:rsidRDefault="00DB6C6E" w:rsidP="00071B66">
      <w:r w:rsidRPr="00C01F65">
        <w:lastRenderedPageBreak/>
        <w:t xml:space="preserve">Dose-response will vary between and within individuals, depending on immune status, age and health factors. Dose-response will also depend on differences between pathogenic strains, due to different strain virulence and exposure pathways, and to the physiological state of the pathogen. These variabilities lead to variability in health risk. </w:t>
      </w:r>
    </w:p>
    <w:p w14:paraId="3677316C" w14:textId="77777777" w:rsidR="00DB6C6E" w:rsidRPr="00C01F65" w:rsidRDefault="00DB6C6E" w:rsidP="00071B66">
      <w:r w:rsidRPr="00C01F65">
        <w:t>Other common uncertainty considerations arising in QMRA studies include:</w:t>
      </w:r>
    </w:p>
    <w:p w14:paraId="15AFD507" w14:textId="77777777" w:rsidR="00DB6C6E" w:rsidRPr="00352155" w:rsidRDefault="00DB6C6E" w:rsidP="00525686">
      <w:pPr>
        <w:pStyle w:val="Heading4"/>
        <w:numPr>
          <w:ilvl w:val="0"/>
          <w:numId w:val="29"/>
        </w:numPr>
        <w:ind w:left="709"/>
      </w:pPr>
      <w:r w:rsidRPr="00352155">
        <w:t xml:space="preserve">Absence of specific information </w:t>
      </w:r>
    </w:p>
    <w:p w14:paraId="158C2A63" w14:textId="77777777" w:rsidR="00DB6C6E" w:rsidRPr="00C01F65" w:rsidRDefault="00DB6C6E" w:rsidP="00071B66">
      <w:pPr>
        <w:ind w:left="720"/>
      </w:pPr>
      <w:r w:rsidRPr="00C01F65">
        <w:t>Information extracted from the literature or data from similar systems may be used to fill this gap. However, there will often be uncertainties about the validity and representativeness of the information for the specific system being studied. For that reason, data used for the purpose of assessing risk must be conservative.</w:t>
      </w:r>
    </w:p>
    <w:p w14:paraId="3D42DE53" w14:textId="77777777" w:rsidR="00DB6C6E" w:rsidRPr="00352155" w:rsidRDefault="00DB6C6E" w:rsidP="00525686">
      <w:pPr>
        <w:pStyle w:val="Heading4"/>
        <w:numPr>
          <w:ilvl w:val="0"/>
          <w:numId w:val="29"/>
        </w:numPr>
        <w:ind w:left="709"/>
      </w:pPr>
      <w:r w:rsidRPr="00352155">
        <w:t>Uncertainty about local studies</w:t>
      </w:r>
    </w:p>
    <w:p w14:paraId="4957DF22" w14:textId="77777777" w:rsidR="00DB6C6E" w:rsidRPr="00C01F65" w:rsidRDefault="00DB6C6E" w:rsidP="00071B66">
      <w:pPr>
        <w:ind w:left="720"/>
      </w:pPr>
      <w:r w:rsidRPr="00C01F65">
        <w:t xml:space="preserve">When using local data sets, discrepancies with literature findings must be considered. Data from the peer-reviewed literature might be more reliable rather than data from local, unreliable studies. </w:t>
      </w:r>
    </w:p>
    <w:p w14:paraId="70AD6FE7" w14:textId="77777777" w:rsidR="00DB6C6E" w:rsidRPr="00552606" w:rsidRDefault="00DB6C6E" w:rsidP="00525686">
      <w:pPr>
        <w:pStyle w:val="Heading4"/>
        <w:numPr>
          <w:ilvl w:val="0"/>
          <w:numId w:val="29"/>
        </w:numPr>
        <w:ind w:left="709"/>
      </w:pPr>
      <w:r w:rsidRPr="00552606">
        <w:t xml:space="preserve">Uncertainty regarding the selection of a statistical distribution </w:t>
      </w:r>
    </w:p>
    <w:p w14:paraId="48AADDF0" w14:textId="77777777" w:rsidR="00DB6C6E" w:rsidRPr="00C01F65" w:rsidRDefault="00DB6C6E" w:rsidP="00071B66">
      <w:pPr>
        <w:ind w:left="720"/>
      </w:pPr>
      <w:r w:rsidRPr="00C01F65">
        <w:t>The distribution may be skewed, leading to over or under-estimation of risk.</w:t>
      </w:r>
    </w:p>
    <w:p w14:paraId="52C9BD13" w14:textId="77777777" w:rsidR="00DB6C6E" w:rsidRPr="00B738DD" w:rsidRDefault="00DB6C6E" w:rsidP="00525686">
      <w:pPr>
        <w:pStyle w:val="Heading4"/>
        <w:numPr>
          <w:ilvl w:val="0"/>
          <w:numId w:val="29"/>
        </w:numPr>
        <w:ind w:left="709"/>
      </w:pPr>
      <w:r w:rsidRPr="00B738DD">
        <w:t xml:space="preserve">Uncertainty about the model assumptions </w:t>
      </w:r>
    </w:p>
    <w:p w14:paraId="20675F31" w14:textId="77777777" w:rsidR="00DB6C6E" w:rsidRPr="00C01F65" w:rsidRDefault="00DB6C6E" w:rsidP="00071B66">
      <w:pPr>
        <w:ind w:left="720"/>
      </w:pPr>
      <w:r w:rsidRPr="00C01F65">
        <w:t>A model may rely on assumptions not entirely valid in the context of a specific study. For example, pathogen loadings may be different if the model was developed in another country, or the model may focus on a specific portion of the population.</w:t>
      </w:r>
    </w:p>
    <w:p w14:paraId="0F1FE207" w14:textId="77777777" w:rsidR="00DB6C6E" w:rsidRPr="00B738DD" w:rsidRDefault="00DB6C6E" w:rsidP="00525686">
      <w:pPr>
        <w:pStyle w:val="Heading4"/>
        <w:numPr>
          <w:ilvl w:val="0"/>
          <w:numId w:val="29"/>
        </w:numPr>
        <w:ind w:left="709"/>
      </w:pPr>
      <w:r w:rsidRPr="00B738DD">
        <w:t xml:space="preserve">Statistical uncertainty and representativeness </w:t>
      </w:r>
    </w:p>
    <w:p w14:paraId="552EDFA3" w14:textId="77777777" w:rsidR="00DB6C6E" w:rsidRPr="00C01F65" w:rsidRDefault="00DB6C6E" w:rsidP="00071B66">
      <w:pPr>
        <w:ind w:left="720"/>
      </w:pPr>
      <w:r w:rsidRPr="00C01F65">
        <w:t xml:space="preserve">The measurement uncertainty and data representativeness will depend on the sample size. The sample size must be representative of seasonal variations and rainfall events. For a probabilistic QMRA, the number of samples must be </w:t>
      </w:r>
      <w:r>
        <w:t xml:space="preserve">large </w:t>
      </w:r>
      <w:r w:rsidRPr="00C01F65">
        <w:t>enough for the Monte</w:t>
      </w:r>
      <w:r>
        <w:t xml:space="preserve"> </w:t>
      </w:r>
      <w:r w:rsidRPr="00C01F65">
        <w:t>Carlo simulation. If the focus is the impact on a specific environmental value, the sampling monitoring must address that particular use of the water. For example, sampling must focus on the summer season when most people swim if the focus is on water-based recreation and no less than 20 samples should be collected.</w:t>
      </w:r>
    </w:p>
    <w:p w14:paraId="5FEF7199" w14:textId="561613BD" w:rsidR="00DB6C6E" w:rsidRPr="00C01F65" w:rsidRDefault="00DB6C6E" w:rsidP="00F46C15">
      <w:pPr>
        <w:pStyle w:val="AppendixA1"/>
      </w:pPr>
      <w:bookmarkStart w:id="356" w:name="_Toc49942307"/>
      <w:bookmarkStart w:id="357" w:name="_Toc51929052"/>
      <w:bookmarkStart w:id="358" w:name="_Toc87369321"/>
      <w:bookmarkStart w:id="359" w:name="_Toc133938178"/>
      <w:r w:rsidRPr="00C01F65">
        <w:t>Case studies</w:t>
      </w:r>
      <w:bookmarkEnd w:id="356"/>
      <w:bookmarkEnd w:id="357"/>
      <w:bookmarkEnd w:id="358"/>
      <w:bookmarkEnd w:id="359"/>
    </w:p>
    <w:p w14:paraId="318B7F75" w14:textId="06B2F201" w:rsidR="00DB6C6E" w:rsidRPr="00701DAD" w:rsidRDefault="00DB6C6E" w:rsidP="00701DAD">
      <w:r w:rsidRPr="00C01F65">
        <w:rPr>
          <w:rFonts w:cs="Arial"/>
        </w:rPr>
        <w:t>Several case studies</w:t>
      </w:r>
      <w:r w:rsidR="008936B6">
        <w:rPr>
          <w:rFonts w:cs="Arial"/>
        </w:rPr>
        <w:t xml:space="preserve">, </w:t>
      </w:r>
      <w:r w:rsidR="00B21D92" w:rsidRPr="00B21D92">
        <w:rPr>
          <w:rFonts w:cs="Arial"/>
        </w:rPr>
        <w:t>including cases involving secondary and primary recreational uses of waterways,</w:t>
      </w:r>
      <w:r w:rsidR="00B21D92" w:rsidRPr="00C01F65">
        <w:rPr>
          <w:rFonts w:cs="Arial"/>
        </w:rPr>
        <w:t xml:space="preserve"> </w:t>
      </w:r>
      <w:r w:rsidRPr="00C01F65">
        <w:rPr>
          <w:rFonts w:cs="Arial"/>
        </w:rPr>
        <w:t>are available in Annexe A of the WHO’s publication on QMRA and its application for water safety management (WHO</w:t>
      </w:r>
      <w:r>
        <w:rPr>
          <w:rFonts w:cs="Arial"/>
        </w:rPr>
        <w:t>,</w:t>
      </w:r>
      <w:r w:rsidRPr="00C01F65">
        <w:rPr>
          <w:rFonts w:cs="Arial"/>
        </w:rPr>
        <w:t xml:space="preserve"> 2016). </w:t>
      </w:r>
      <w:r w:rsidR="00986AF0">
        <w:rPr>
          <w:rFonts w:cs="Arial"/>
        </w:rPr>
        <w:t>‘</w:t>
      </w:r>
      <w:r w:rsidR="00986AF0" w:rsidRPr="00C01F65">
        <w:rPr>
          <w:rFonts w:cs="Arial"/>
        </w:rPr>
        <w:t xml:space="preserve">Case </w:t>
      </w:r>
      <w:r w:rsidRPr="00C01F65">
        <w:rPr>
          <w:rFonts w:cs="Arial"/>
        </w:rPr>
        <w:t>study No 5’ looks at setting health-based performance targets and safe use of wastewater in Australia (</w:t>
      </w:r>
      <w:r>
        <w:rPr>
          <w:rFonts w:cs="Arial"/>
        </w:rPr>
        <w:t>NRMMC</w:t>
      </w:r>
      <w:r w:rsidRPr="00C01F65">
        <w:rPr>
          <w:rFonts w:cs="Arial"/>
        </w:rPr>
        <w:t xml:space="preserve">, 2006) and is therefore relevant to the risks to human health from wastewater discharge into </w:t>
      </w:r>
      <w:r>
        <w:rPr>
          <w:rFonts w:cs="Arial"/>
        </w:rPr>
        <w:t>surface waters</w:t>
      </w:r>
      <w:r w:rsidRPr="00C01F65">
        <w:rPr>
          <w:rFonts w:cs="Arial"/>
        </w:rPr>
        <w:t xml:space="preserve"> covered by th</w:t>
      </w:r>
      <w:r>
        <w:rPr>
          <w:rFonts w:cs="Arial"/>
        </w:rPr>
        <w:t>is</w:t>
      </w:r>
      <w:r w:rsidR="00146522">
        <w:rPr>
          <w:rFonts w:cs="Arial"/>
        </w:rPr>
        <w:t xml:space="preserve"> </w:t>
      </w:r>
      <w:r>
        <w:rPr>
          <w:rFonts w:cs="Arial"/>
        </w:rPr>
        <w:t>guidance</w:t>
      </w:r>
      <w:r w:rsidRPr="00C01F65">
        <w:rPr>
          <w:rFonts w:cs="Arial"/>
        </w:rPr>
        <w:t>.</w:t>
      </w:r>
      <w:r w:rsidR="008936B6">
        <w:rPr>
          <w:rFonts w:cs="Arial"/>
        </w:rPr>
        <w:t xml:space="preserve"> </w:t>
      </w:r>
    </w:p>
    <w:p w14:paraId="1CAB8AA0" w14:textId="77777777" w:rsidR="00DB6C6E" w:rsidRPr="00C01F65" w:rsidRDefault="00DB6C6E" w:rsidP="00DB6C6E">
      <w:pPr>
        <w:rPr>
          <w:rFonts w:cs="Arial"/>
        </w:rPr>
      </w:pPr>
      <w:r w:rsidRPr="00C01F65">
        <w:rPr>
          <w:rFonts w:cs="Arial"/>
        </w:rPr>
        <w:t>A case study is provided below.</w:t>
      </w:r>
    </w:p>
    <w:p w14:paraId="3539113A" w14:textId="77777777" w:rsidR="00ED6C55" w:rsidRPr="008444FC" w:rsidRDefault="00ED6C55" w:rsidP="00F46C15">
      <w:pPr>
        <w:pStyle w:val="AppendixA11"/>
      </w:pPr>
      <w:bookmarkStart w:id="360" w:name="_Toc51929053"/>
      <w:bookmarkStart w:id="361" w:name="_Toc87369322"/>
      <w:bookmarkStart w:id="362" w:name="_Toc133938179"/>
      <w:r w:rsidRPr="008444FC">
        <w:lastRenderedPageBreak/>
        <w:t>Case study of a metropolitan wastewater treatment plant with receiving waters used for irrigation</w:t>
      </w:r>
      <w:bookmarkEnd w:id="360"/>
      <w:bookmarkEnd w:id="361"/>
      <w:bookmarkEnd w:id="362"/>
    </w:p>
    <w:p w14:paraId="6956B55C" w14:textId="518FB398" w:rsidR="00ED6C55" w:rsidRPr="00C01F65" w:rsidRDefault="00ED6C55" w:rsidP="008444FC">
      <w:pPr>
        <w:tabs>
          <w:tab w:val="left" w:pos="567"/>
        </w:tabs>
        <w:autoSpaceDE w:val="0"/>
        <w:autoSpaceDN w:val="0"/>
        <w:adjustRightInd w:val="0"/>
        <w:spacing w:before="240"/>
        <w:jc w:val="both"/>
        <w:rPr>
          <w:rFonts w:cs="Arial"/>
        </w:rPr>
      </w:pPr>
      <w:r w:rsidRPr="00C01F65">
        <w:rPr>
          <w:rFonts w:cs="Arial"/>
        </w:rPr>
        <w:t xml:space="preserve">The source is treated sewage from a major metropolitan </w:t>
      </w:r>
      <w:r>
        <w:rPr>
          <w:rFonts w:cs="Arial"/>
        </w:rPr>
        <w:t>wastewater treatment plant</w:t>
      </w:r>
      <w:r w:rsidR="00986AF0">
        <w:rPr>
          <w:rFonts w:cs="Arial"/>
        </w:rPr>
        <w:t>,</w:t>
      </w:r>
      <w:r w:rsidRPr="00C01F65">
        <w:rPr>
          <w:rFonts w:cs="Arial"/>
        </w:rPr>
        <w:t xml:space="preserve"> receiving domestic and industrial sewage. Water extracted from the waterway receiving the wastewater discharge is used for spray irrigation of commercial crops, including salad and vegetables. The </w:t>
      </w:r>
      <w:r>
        <w:rPr>
          <w:rFonts w:cs="Arial"/>
        </w:rPr>
        <w:t>wastewater</w:t>
      </w:r>
      <w:r w:rsidRPr="00C01F65">
        <w:rPr>
          <w:rFonts w:cs="Arial"/>
        </w:rPr>
        <w:t xml:space="preserve"> treatment plant flow is 120 ML/day. The plant provides secondary treatment, followed by about 25 days of lagoon storage and polishing, before discharge of most of its treated sewage to the waterway. The flow of the waterway can be very low during periods of drought, greatly affecting the waterway’s dilution capacity.</w:t>
      </w:r>
    </w:p>
    <w:p w14:paraId="2F2EE789" w14:textId="77777777" w:rsidR="00ED6C55" w:rsidRPr="00C01F65" w:rsidRDefault="00ED6C55" w:rsidP="002B166C">
      <w:pPr>
        <w:pStyle w:val="Heading4"/>
      </w:pPr>
      <w:bookmarkStart w:id="363" w:name="_Toc49942308"/>
      <w:r w:rsidRPr="00C01F65">
        <w:t>Problem formulation</w:t>
      </w:r>
      <w:bookmarkEnd w:id="363"/>
    </w:p>
    <w:p w14:paraId="35753442" w14:textId="0CC49D6F" w:rsidR="00ED6C55" w:rsidRPr="00C01F65" w:rsidRDefault="00ED6C55" w:rsidP="00ED6C55">
      <w:pPr>
        <w:spacing w:before="240"/>
      </w:pPr>
      <w:r w:rsidRPr="00C01F65">
        <w:rPr>
          <w:b/>
        </w:rPr>
        <w:t>Hazards</w:t>
      </w:r>
      <w:r w:rsidRPr="00C01F65">
        <w:t xml:space="preserve"> – Human microbial hazards in this type of wastewater discharge include enteric viruses, protozoa and bacteria. Helminths represent a potential hazard for stock and human health. Three reference pathogens are selected to represent the major risks identified: </w:t>
      </w:r>
      <w:r w:rsidRPr="00C01F65">
        <w:rPr>
          <w:i/>
        </w:rPr>
        <w:t>Campylobacter</w:t>
      </w:r>
      <w:r w:rsidRPr="00C01F65">
        <w:t xml:space="preserve"> for bacteria, </w:t>
      </w:r>
      <w:r w:rsidR="00E57EE5">
        <w:t>adenovir</w:t>
      </w:r>
      <w:r w:rsidRPr="00C01F65">
        <w:t xml:space="preserve">us for viruses and </w:t>
      </w:r>
      <w:r w:rsidRPr="00C01F65">
        <w:rPr>
          <w:i/>
        </w:rPr>
        <w:t>Cryptosporidium</w:t>
      </w:r>
      <w:r w:rsidRPr="00C01F65">
        <w:t xml:space="preserve"> for protozoa.</w:t>
      </w:r>
    </w:p>
    <w:p w14:paraId="1CEDAC42" w14:textId="77777777" w:rsidR="00FA6D36" w:rsidRPr="00FA6D36" w:rsidRDefault="00FA6D36" w:rsidP="00FA6D36">
      <w:r w:rsidRPr="00FA6D36">
        <w:t xml:space="preserve">A catchment survey is used to identify industrial inputs into the sewage system. The survey does not identify major concerns with discharges in the area served by the </w:t>
      </w:r>
      <w:r w:rsidRPr="00FA6D36">
        <w:rPr>
          <w:rFonts w:cs="Arial"/>
        </w:rPr>
        <w:t>wastewater</w:t>
      </w:r>
      <w:r w:rsidRPr="00FA6D36">
        <w:t xml:space="preserve"> treatment plant, subject to a trade-waste control program. There are no animal processing plants (such as abattoirs) in the catchment. The dilution and mixing impact provided by the lagoons and the waterway are assessed. Dilution and flow are calculated for the period of time the water is likely to be used (for example, no park irrigation is likely to occur during wet periods; park irrigation is more likely to occur in periods of low flow and dilution factor). Several scenarios are explored, including scenarios with average dilution and no dilution. </w:t>
      </w:r>
    </w:p>
    <w:p w14:paraId="64F60E81" w14:textId="77777777" w:rsidR="00FA6D36" w:rsidRPr="00C01F65" w:rsidRDefault="00FA6D36" w:rsidP="00FA6D36">
      <w:r w:rsidRPr="00FA6D36">
        <w:rPr>
          <w:b/>
        </w:rPr>
        <w:t xml:space="preserve">Plant performance in reducing hazards – </w:t>
      </w:r>
      <w:r w:rsidRPr="00FA6D36">
        <w:t xml:space="preserve">A trade-waste control program is used to minimise the release of pathogens from high-risk industries (food processing plants and slaughterhouses) to the </w:t>
      </w:r>
      <w:r w:rsidRPr="00FA6D36">
        <w:rPr>
          <w:rFonts w:cs="Arial"/>
        </w:rPr>
        <w:t>wastewater</w:t>
      </w:r>
      <w:r w:rsidRPr="00FA6D36">
        <w:t xml:space="preserve"> treatment plant. Only high-risk trade waste is monitored for quality, but a source water monitoring program exists to assess quality of incoming sewage.</w:t>
      </w:r>
    </w:p>
    <w:p w14:paraId="299C92F4" w14:textId="77777777" w:rsidR="00FA6D36" w:rsidRPr="00C01F65" w:rsidRDefault="00ED6C55" w:rsidP="00FA6D36">
      <w:r w:rsidRPr="00C01F65">
        <w:t xml:space="preserve">The treatment system includes secondary treatment followed by lagoon detention (&gt;25 days). The advantage of lagoons is that they are robust and easy to maintain. They provide an early warning of problems detected in secondary treatment and can dilute </w:t>
      </w:r>
      <w:r w:rsidR="00FA6D36" w:rsidRPr="00FA6D36">
        <w:t>any transient peaks in microbial hazards. They also provide reductions in concentrations of helminths.</w:t>
      </w:r>
    </w:p>
    <w:p w14:paraId="1DBFD63E" w14:textId="77777777" w:rsidR="00ED6C55" w:rsidRPr="00C01F65" w:rsidRDefault="00ED6C55" w:rsidP="00ED6C55">
      <w:r w:rsidRPr="00C01F65">
        <w:t xml:space="preserve">Operational procedures are identified for all processes and activities associated with the system. </w:t>
      </w:r>
    </w:p>
    <w:p w14:paraId="5DED8B91" w14:textId="77777777" w:rsidR="00ED6C55" w:rsidRPr="00C01F65" w:rsidRDefault="00ED6C55" w:rsidP="00ED6C55">
      <w:r w:rsidRPr="00C01F65">
        <w:t>Documented procedures are available to all operations personnel and available for inspection at any time.</w:t>
      </w:r>
    </w:p>
    <w:p w14:paraId="6C7EC3FC" w14:textId="7EABF2EB" w:rsidR="00ED6C55" w:rsidRDefault="00ED6C55" w:rsidP="00ED6C55">
      <w:r w:rsidRPr="00C01F65">
        <w:t xml:space="preserve">There is evidence that water quality requirements and performance targets had been achieved and validated before the wastewater treatment scheme was approved. Before commissioning, the system was validated by testing for the removal of </w:t>
      </w:r>
      <w:r w:rsidRPr="00C01F65">
        <w:rPr>
          <w:i/>
          <w:iCs/>
        </w:rPr>
        <w:t>Cryptosporidium, Giardia</w:t>
      </w:r>
      <w:r w:rsidRPr="00C01F65">
        <w:t xml:space="preserve">, adenoviruses, noroviruses, rotavirus, enteroviruses, hepatitis A and helminths and by checking appropriate critical control points and critical limits were in place to ensure the treatment system was working properly. The removal of bacterial pathogens is demonstrated by removal of </w:t>
      </w:r>
      <w:r w:rsidRPr="00C01F65">
        <w:rPr>
          <w:i/>
          <w:iCs/>
        </w:rPr>
        <w:t>Escherichia coli</w:t>
      </w:r>
      <w:r w:rsidRPr="00C01F65">
        <w:t>.</w:t>
      </w:r>
    </w:p>
    <w:p w14:paraId="1A506126" w14:textId="77777777" w:rsidR="008B716B" w:rsidRPr="00C01F65" w:rsidRDefault="008B716B" w:rsidP="008B716B">
      <w:r w:rsidRPr="00C01F65">
        <w:lastRenderedPageBreak/>
        <w:t>Actions to mitigate risks of failure include the following:</w:t>
      </w:r>
    </w:p>
    <w:p w14:paraId="149695B6" w14:textId="77777777" w:rsidR="00291163" w:rsidRDefault="008B716B" w:rsidP="00DB093D">
      <w:pPr>
        <w:pStyle w:val="ListBullet"/>
      </w:pPr>
      <w:r w:rsidRPr="00C01F65">
        <w:t>Non-compliance with critical limits results in flow to the waterway being stopped automatically until remedial action is implemented. In this case, the flow is stopped if the flow rates stop the minimum lagoon-detention times being met.</w:t>
      </w:r>
    </w:p>
    <w:p w14:paraId="02D69E44" w14:textId="5C967F18" w:rsidR="008B716B" w:rsidRPr="00C01F65" w:rsidRDefault="008B716B" w:rsidP="00DB093D">
      <w:pPr>
        <w:pStyle w:val="ListBullet"/>
      </w:pPr>
      <w:r w:rsidRPr="00C01F65">
        <w:t>Non-compliance with other limits can result in corrective action being taken while the system remains operational.</w:t>
      </w:r>
    </w:p>
    <w:p w14:paraId="66DA9E97" w14:textId="77777777" w:rsidR="008B716B" w:rsidRPr="00C01F65" w:rsidRDefault="008B716B" w:rsidP="002B166C">
      <w:pPr>
        <w:pStyle w:val="Heading4"/>
        <w:rPr>
          <w:lang w:val="en-US" w:eastAsia="ja-JP"/>
        </w:rPr>
      </w:pPr>
      <w:bookmarkStart w:id="364" w:name="_Toc49942309"/>
      <w:r w:rsidRPr="00C01F65">
        <w:t>Exposure assessment</w:t>
      </w:r>
      <w:bookmarkEnd w:id="364"/>
      <w:r w:rsidRPr="00C01F65">
        <w:t xml:space="preserve"> </w:t>
      </w:r>
    </w:p>
    <w:p w14:paraId="6C02FD51" w14:textId="77777777" w:rsidR="008B716B" w:rsidRPr="00C01F65" w:rsidRDefault="008B716B" w:rsidP="008B716B">
      <w:r w:rsidRPr="00C01F65">
        <w:t>The use of water extracted from the waterway includes the irrigation of salad vegetables, lucerne for stock feed and recreational areas. The irrigators use drip and overhead spray irrigation systems.</w:t>
      </w:r>
    </w:p>
    <w:p w14:paraId="6FDA64DD" w14:textId="6A3ED798" w:rsidR="008B716B" w:rsidRPr="00C01F65" w:rsidRDefault="008B716B" w:rsidP="008B716B">
      <w:r w:rsidRPr="00C01F65">
        <w:t xml:space="preserve">The upper </w:t>
      </w:r>
      <w:r w:rsidR="00715A8B" w:rsidRPr="00C01F65">
        <w:t>95</w:t>
      </w:r>
      <w:r w:rsidR="00715A8B" w:rsidRPr="005E39CE">
        <w:rPr>
          <w:vertAlign w:val="superscript"/>
        </w:rPr>
        <w:t>th</w:t>
      </w:r>
      <w:r w:rsidR="00715A8B" w:rsidRPr="00C01F65">
        <w:t xml:space="preserve"> </w:t>
      </w:r>
      <w:r w:rsidRPr="00C01F65">
        <w:t>percentile of the pathogen concentration in the wastewater was selected as a default point value for the QMRA study, after application of the estimated dilution factor.</w:t>
      </w:r>
    </w:p>
    <w:p w14:paraId="7A56BD1F" w14:textId="04DD8EF3" w:rsidR="008B716B" w:rsidRPr="00C01F65" w:rsidRDefault="008B716B" w:rsidP="008B716B">
      <w:r w:rsidRPr="00C01F65">
        <w:t>The intake volume for the identified use of irrigation of food crops were 5</w:t>
      </w:r>
      <w:r w:rsidR="00025B9F">
        <w:rPr>
          <w:rFonts w:ascii="Cambria" w:hAnsi="Cambria"/>
        </w:rPr>
        <w:t> </w:t>
      </w:r>
      <w:r w:rsidRPr="00C01F65">
        <w:t>m</w:t>
      </w:r>
      <w:r>
        <w:t>L</w:t>
      </w:r>
      <w:r w:rsidRPr="00C01F65">
        <w:t xml:space="preserve"> for lettuce and 1</w:t>
      </w:r>
      <w:r w:rsidR="00025B9F">
        <w:rPr>
          <w:rFonts w:ascii="Cambria" w:hAnsi="Cambria"/>
        </w:rPr>
        <w:t> </w:t>
      </w:r>
      <w:r w:rsidRPr="00C01F65">
        <w:t>m</w:t>
      </w:r>
      <w:r>
        <w:t>L</w:t>
      </w:r>
      <w:r w:rsidRPr="00C01F65">
        <w:t xml:space="preserve"> for other raw produce, with a frequency of 70 and 140 per person per year respectively (</w:t>
      </w:r>
      <w:r w:rsidR="00C81272" w:rsidRPr="00025B9F">
        <w:fldChar w:fldCharType="begin"/>
      </w:r>
      <w:r w:rsidR="00C81272" w:rsidRPr="00025B9F">
        <w:instrText xml:space="preserve"> REF _Ref88372136 \h  \* MERGEFORMAT </w:instrText>
      </w:r>
      <w:r w:rsidR="00C81272" w:rsidRPr="00025B9F">
        <w:fldChar w:fldCharType="separate"/>
      </w:r>
      <w:r w:rsidR="00FD64B0" w:rsidRPr="00FD64B0">
        <w:rPr>
          <w:lang w:val="en-GB"/>
        </w:rPr>
        <w:t>Table C6</w:t>
      </w:r>
      <w:r w:rsidR="00C81272" w:rsidRPr="00025B9F">
        <w:fldChar w:fldCharType="end"/>
      </w:r>
      <w:r w:rsidRPr="00C01F65">
        <w:t>). The intake volume for the identified use of irrigation of recreational areas was estimated as 1 m</w:t>
      </w:r>
      <w:r>
        <w:t>L</w:t>
      </w:r>
      <w:r w:rsidRPr="00C01F65">
        <w:t>, with a frequency of 50 per person per year (</w:t>
      </w:r>
      <w:r w:rsidR="00AA26E5">
        <w:fldChar w:fldCharType="begin"/>
      </w:r>
      <w:r w:rsidR="00AA26E5">
        <w:instrText xml:space="preserve"> REF _Ref88372136 \h </w:instrText>
      </w:r>
      <w:r w:rsidR="00AA26E5">
        <w:fldChar w:fldCharType="separate"/>
      </w:r>
      <w:r w:rsidR="00FD64B0" w:rsidRPr="004B788D">
        <w:t>Table C</w:t>
      </w:r>
      <w:r w:rsidR="00FD64B0">
        <w:rPr>
          <w:noProof/>
        </w:rPr>
        <w:t>6</w:t>
      </w:r>
      <w:r w:rsidR="00AA26E5">
        <w:fldChar w:fldCharType="end"/>
      </w:r>
      <w:r w:rsidR="00AA26E5">
        <w:t>).</w:t>
      </w:r>
    </w:p>
    <w:p w14:paraId="28A92890" w14:textId="77777777" w:rsidR="008B716B" w:rsidRPr="00C01F65" w:rsidRDefault="008B716B" w:rsidP="002B166C">
      <w:pPr>
        <w:pStyle w:val="Heading4"/>
        <w:rPr>
          <w:lang w:val="en-US" w:eastAsia="ja-JP"/>
        </w:rPr>
      </w:pPr>
      <w:bookmarkStart w:id="365" w:name="_Toc49942310"/>
      <w:r w:rsidRPr="00C01F65">
        <w:t>Health effects assessment</w:t>
      </w:r>
      <w:bookmarkEnd w:id="365"/>
    </w:p>
    <w:p w14:paraId="7C85F2DA" w14:textId="1F8B0B82" w:rsidR="008B716B" w:rsidRPr="00C01F65" w:rsidRDefault="008B716B" w:rsidP="008B716B">
      <w:r w:rsidRPr="00C01F65">
        <w:t xml:space="preserve">The </w:t>
      </w:r>
      <w:r>
        <w:t>dose-response</w:t>
      </w:r>
      <w:r w:rsidRPr="00C01F65">
        <w:t xml:space="preserve"> models described in </w:t>
      </w:r>
      <w:r w:rsidR="00C81272" w:rsidRPr="00C81272">
        <w:fldChar w:fldCharType="begin"/>
      </w:r>
      <w:r w:rsidR="00C81272" w:rsidRPr="00C81272">
        <w:instrText xml:space="preserve"> REF _Ref88372798 \h  \* MERGEFORMAT </w:instrText>
      </w:r>
      <w:r w:rsidR="00C81272" w:rsidRPr="00C81272">
        <w:fldChar w:fldCharType="separate"/>
      </w:r>
      <w:r w:rsidR="00FD64B0" w:rsidRPr="00FD64B0">
        <w:rPr>
          <w:rFonts w:cs="Arial"/>
        </w:rPr>
        <w:t>Table C7</w:t>
      </w:r>
      <w:r w:rsidR="00C81272" w:rsidRPr="00C81272">
        <w:fldChar w:fldCharType="end"/>
      </w:r>
      <w:r w:rsidR="00C81272">
        <w:t xml:space="preserve"> </w:t>
      </w:r>
      <w:r w:rsidRPr="00C01F65">
        <w:t xml:space="preserve">were applied. </w:t>
      </w:r>
    </w:p>
    <w:p w14:paraId="77BC6974" w14:textId="77777777" w:rsidR="008B716B" w:rsidRPr="00C01F65" w:rsidRDefault="008B716B" w:rsidP="002B166C">
      <w:pPr>
        <w:pStyle w:val="Heading4"/>
        <w:rPr>
          <w:lang w:val="en-US" w:eastAsia="ja-JP"/>
        </w:rPr>
      </w:pPr>
      <w:bookmarkStart w:id="366" w:name="_Toc49942311"/>
      <w:r w:rsidRPr="00C01F65">
        <w:t>Risk characterisation</w:t>
      </w:r>
      <w:bookmarkEnd w:id="366"/>
    </w:p>
    <w:p w14:paraId="1226792F" w14:textId="45E69996" w:rsidR="008B716B" w:rsidRPr="00C01F65" w:rsidRDefault="008B716B" w:rsidP="008B716B">
      <w:r w:rsidRPr="00C01F65">
        <w:t>Microbial quality is identified as essential. The calculated DALY is higher than 10</w:t>
      </w:r>
      <w:r w:rsidRPr="00986AF0">
        <w:rPr>
          <w:vertAlign w:val="superscript"/>
        </w:rPr>
        <w:t>-</w:t>
      </w:r>
      <w:r w:rsidRPr="00C01F65">
        <w:rPr>
          <w:vertAlign w:val="superscript"/>
        </w:rPr>
        <w:t>6</w:t>
      </w:r>
      <w:r w:rsidRPr="00C01F65">
        <w:t xml:space="preserve"> during periods of low flow in the waterway, indicating that secondary treated sewage does not comply with the health target and represents an unacceptable risk. Consequently, the outcome of the risk assessment is to set log-reduction requirements that are consistent with those shown in</w:t>
      </w:r>
      <w:r w:rsidR="00C81272">
        <w:t xml:space="preserve"> </w:t>
      </w:r>
      <w:r w:rsidR="00C81272" w:rsidRPr="00C81272">
        <w:fldChar w:fldCharType="begin"/>
      </w:r>
      <w:r w:rsidR="00C81272" w:rsidRPr="00C81272">
        <w:instrText xml:space="preserve"> REF _Ref88372537 \h  \* MERGEFORMAT </w:instrText>
      </w:r>
      <w:r w:rsidR="00C81272" w:rsidRPr="00C81272">
        <w:fldChar w:fldCharType="separate"/>
      </w:r>
      <w:r w:rsidR="00FD64B0" w:rsidRPr="00FD64B0">
        <w:rPr>
          <w:rFonts w:asciiTheme="majorHAnsi" w:hAnsiTheme="majorHAnsi" w:cs="Arial"/>
        </w:rPr>
        <w:t>Table C8</w:t>
      </w:r>
      <w:r w:rsidR="00C81272" w:rsidRPr="00C81272">
        <w:fldChar w:fldCharType="end"/>
      </w:r>
      <w:r w:rsidRPr="00C01F65">
        <w:t xml:space="preserve">. Additional treatment is required to meet the adequate log reduction. Because of low flow of the receiving waters, the pathogen load already in the waterway, or recontamination prior </w:t>
      </w:r>
      <w:r>
        <w:t xml:space="preserve">to </w:t>
      </w:r>
      <w:r w:rsidRPr="00C01F65">
        <w:t>abstraction were assumed to be non-significant. However, existing pathogen loads and likely recontamination prior to abstraction should be taken into consideration so that a validated and reliable water quality is provided to end-users.</w:t>
      </w:r>
    </w:p>
    <w:p w14:paraId="50B25B5F" w14:textId="44B07BCE" w:rsidR="008B716B" w:rsidRPr="00C01F65" w:rsidRDefault="008B716B" w:rsidP="002B166C">
      <w:pPr>
        <w:pStyle w:val="Heading4"/>
        <w:rPr>
          <w:lang w:val="en-US" w:eastAsia="ja-JP"/>
        </w:rPr>
      </w:pPr>
      <w:bookmarkStart w:id="367" w:name="_Toc49942312"/>
      <w:r w:rsidRPr="00C01F65">
        <w:t>Risk management</w:t>
      </w:r>
      <w:bookmarkEnd w:id="367"/>
    </w:p>
    <w:p w14:paraId="65683DC7" w14:textId="77777777" w:rsidR="008B716B" w:rsidRPr="00C01F65" w:rsidRDefault="008B716B" w:rsidP="008B716B">
      <w:r w:rsidRPr="00C01F65">
        <w:t>The treatment should be expanded to include coagulation, dual media filtration and disinfection, with critical control points for human health, identified as:</w:t>
      </w:r>
    </w:p>
    <w:p w14:paraId="5E7BB31B" w14:textId="77777777" w:rsidR="00291163" w:rsidRDefault="008B716B" w:rsidP="00DB093D">
      <w:pPr>
        <w:pStyle w:val="ListBullet"/>
      </w:pPr>
      <w:r w:rsidRPr="00C01F65">
        <w:t>lagoon storage (minimum 25 days)</w:t>
      </w:r>
    </w:p>
    <w:p w14:paraId="10868D1A" w14:textId="77777777" w:rsidR="00291163" w:rsidRDefault="008B716B" w:rsidP="00DB093D">
      <w:pPr>
        <w:pStyle w:val="ListBullet"/>
      </w:pPr>
      <w:r w:rsidRPr="00C01F65">
        <w:t>dual media filtration (turbidity limits)</w:t>
      </w:r>
    </w:p>
    <w:p w14:paraId="0A772557" w14:textId="6BE3782F" w:rsidR="008B716B" w:rsidRPr="00C01F65" w:rsidRDefault="008B716B" w:rsidP="00DB093D">
      <w:pPr>
        <w:pStyle w:val="ListBullet"/>
      </w:pPr>
      <w:r w:rsidRPr="00C01F65">
        <w:t>disinfection (UV treatment and chlorine residual limits).</w:t>
      </w:r>
    </w:p>
    <w:p w14:paraId="10D2D098" w14:textId="63155FAC" w:rsidR="008B716B" w:rsidRPr="00C01F65" w:rsidRDefault="008B716B" w:rsidP="00025B9F">
      <w:pPr>
        <w:keepNext/>
      </w:pPr>
      <w:r w:rsidRPr="00C01F65">
        <w:t>The QMRA study confirms that the expansion of the treatment process will achieve a DALY&lt;10</w:t>
      </w:r>
      <w:r w:rsidR="00025B9F" w:rsidRPr="00025B9F">
        <w:rPr>
          <w:rFonts w:ascii="Cambria" w:hAnsi="Cambria"/>
          <w:vertAlign w:val="superscript"/>
        </w:rPr>
        <w:noBreakHyphen/>
      </w:r>
      <w:r w:rsidRPr="00C01F65">
        <w:rPr>
          <w:vertAlign w:val="superscript"/>
        </w:rPr>
        <w:t>6</w:t>
      </w:r>
      <w:r w:rsidRPr="00C01F65">
        <w:t>, which is an adequate LRV for this type of treatment process.</w:t>
      </w:r>
    </w:p>
    <w:p w14:paraId="1D0C838E" w14:textId="1B85329B" w:rsidR="00382C30" w:rsidRPr="00C01F65" w:rsidRDefault="00FA6D36" w:rsidP="00ED6C55">
      <w:r w:rsidRPr="00FA6D36">
        <w:t xml:space="preserve">After validation of </w:t>
      </w:r>
      <w:r w:rsidRPr="00611957">
        <w:t xml:space="preserve">the </w:t>
      </w:r>
      <w:r w:rsidR="00F11BBE" w:rsidRPr="00611957">
        <w:t xml:space="preserve">treatment </w:t>
      </w:r>
      <w:r w:rsidRPr="00611957">
        <w:t>process expansion, the following ongoing monitoring is recommended</w:t>
      </w:r>
      <w:r w:rsidR="00CF35A0">
        <w:t xml:space="preserve"> </w:t>
      </w:r>
      <w:r w:rsidR="00CF35A0" w:rsidRPr="00611957">
        <w:t xml:space="preserve">to </w:t>
      </w:r>
      <w:r w:rsidR="00CF35A0">
        <w:t>ensure treatment is adequate and environmental values are maintained</w:t>
      </w:r>
      <w:r w:rsidRPr="00611957">
        <w:t xml:space="preserve">: </w:t>
      </w:r>
      <w:r w:rsidRPr="00611957">
        <w:rPr>
          <w:i/>
        </w:rPr>
        <w:t>E. coli</w:t>
      </w:r>
      <w:r w:rsidRPr="00611957">
        <w:t xml:space="preserve">, pH and turbidity (weekly) and </w:t>
      </w:r>
      <w:r w:rsidRPr="00611957">
        <w:rPr>
          <w:i/>
        </w:rPr>
        <w:t>Cryptosporidium</w:t>
      </w:r>
      <w:r w:rsidRPr="00611957">
        <w:t xml:space="preserve"> and adenoviruses (quarterly)</w:t>
      </w:r>
      <w:r w:rsidR="00583AAF" w:rsidRPr="00D36204">
        <w:t>.</w:t>
      </w:r>
    </w:p>
    <w:p w14:paraId="158929E0" w14:textId="2FD2D830" w:rsidR="00EC2CEC" w:rsidRPr="00C01F65" w:rsidRDefault="00EC2CEC" w:rsidP="00F46C15">
      <w:pPr>
        <w:pStyle w:val="AppendixA1"/>
      </w:pPr>
      <w:bookmarkStart w:id="368" w:name="_Toc51929054"/>
      <w:bookmarkStart w:id="369" w:name="_Toc87369323"/>
      <w:bookmarkStart w:id="370" w:name="_Toc133938180"/>
      <w:r w:rsidRPr="00C01F65">
        <w:lastRenderedPageBreak/>
        <w:t>References</w:t>
      </w:r>
      <w:bookmarkEnd w:id="368"/>
      <w:bookmarkEnd w:id="369"/>
      <w:bookmarkEnd w:id="370"/>
    </w:p>
    <w:p w14:paraId="1EF2E060" w14:textId="77777777" w:rsidR="00EC2CEC" w:rsidRPr="006015CF" w:rsidRDefault="00EC2CEC" w:rsidP="000C559A">
      <w:r w:rsidRPr="006015CF">
        <w:t>Baker DL, Ferguson CM, Chier P, Warnecke M and Watkinson A 2016. Standardised survey method for identifying catchment risks to water quality. Journal of Water &amp; Health 14 (3): 349–368.</w:t>
      </w:r>
    </w:p>
    <w:p w14:paraId="363B8160" w14:textId="2675A647" w:rsidR="00EC2CEC" w:rsidRPr="006015CF" w:rsidRDefault="00EC2CEC" w:rsidP="000C559A">
      <w:r w:rsidRPr="006015CF">
        <w:t>Bitton G 1999. Wastewater Microbiology. Second edition, Wiley–Liss Inc., New York.</w:t>
      </w:r>
    </w:p>
    <w:p w14:paraId="749B2741" w14:textId="67147C06" w:rsidR="00FA6D36" w:rsidRPr="006015CF" w:rsidRDefault="00FA6D36" w:rsidP="00FA6D36">
      <w:r w:rsidRPr="006015CF">
        <w:t>Deere D and Khan S 2016. Collation and analysis of pathogen monitoring data from Australian sewage samples. Water Research Australia Research Report 2018-12.</w:t>
      </w:r>
    </w:p>
    <w:p w14:paraId="40187C98" w14:textId="77777777" w:rsidR="00EC2CEC" w:rsidRPr="006015CF" w:rsidRDefault="00EC2CEC" w:rsidP="000C559A">
      <w:r w:rsidRPr="006015CF">
        <w:t>DHHS 2013. Guidelines for validating treatment processes for pathogen reduction. State of Victoria, Department of Health.</w:t>
      </w:r>
    </w:p>
    <w:p w14:paraId="2AB1D560" w14:textId="77777777" w:rsidR="00EC2CEC" w:rsidRPr="006015CF" w:rsidRDefault="00EC2CEC" w:rsidP="000C559A">
      <w:r w:rsidRPr="006015CF">
        <w:t xml:space="preserve">Dufour AP, Evans O, Behymer TD and Cantu R 2006. Water ingestion during swimming activities in a pool: a pilot study. Journal of Water &amp; Health 4(4): 425-430. </w:t>
      </w:r>
    </w:p>
    <w:p w14:paraId="36021341" w14:textId="5574A986" w:rsidR="00EC2CEC" w:rsidRPr="006015CF" w:rsidRDefault="00EC2CEC" w:rsidP="000C559A">
      <w:r w:rsidRPr="006015CF">
        <w:t>enHealth 2012. Environmental health risk assessment – Guidelines for assessing human health risks from environmental hazards. Commonwealth of Australia.</w:t>
      </w:r>
    </w:p>
    <w:p w14:paraId="67348A08" w14:textId="4DCD3799" w:rsidR="00EC2CEC" w:rsidRPr="006015CF" w:rsidRDefault="2540F05B" w:rsidP="000C559A">
      <w:bookmarkStart w:id="371" w:name="_Hlk530057496"/>
      <w:r w:rsidRPr="006015CF">
        <w:t xml:space="preserve">EPA Victoria 2021a. Victorian </w:t>
      </w:r>
      <w:r w:rsidR="007C55C6">
        <w:t>G</w:t>
      </w:r>
      <w:r w:rsidRPr="006015CF">
        <w:t xml:space="preserve">uideline for </w:t>
      </w:r>
      <w:r w:rsidR="007C55C6">
        <w:t>W</w:t>
      </w:r>
      <w:r w:rsidRPr="006015CF">
        <w:t xml:space="preserve">ater </w:t>
      </w:r>
      <w:r w:rsidR="007C55C6">
        <w:t>R</w:t>
      </w:r>
      <w:r w:rsidRPr="006015CF">
        <w:t xml:space="preserve">ecycling. </w:t>
      </w:r>
      <w:r w:rsidR="000B1BF3" w:rsidRPr="006015CF">
        <w:t xml:space="preserve">EPA </w:t>
      </w:r>
      <w:r w:rsidRPr="006015CF">
        <w:t>Publication 1910.1.</w:t>
      </w:r>
    </w:p>
    <w:p w14:paraId="513338C2" w14:textId="6830E38F" w:rsidR="00EC2CEC" w:rsidRPr="006015CF" w:rsidRDefault="2540F05B" w:rsidP="000C559A">
      <w:r w:rsidRPr="006015CF">
        <w:t xml:space="preserve">EPA Victoria 2021b. Technical information for the Victorian guideline for water recycling. </w:t>
      </w:r>
      <w:r w:rsidR="000B1BF3" w:rsidRPr="006015CF">
        <w:t xml:space="preserve">EPA </w:t>
      </w:r>
      <w:r w:rsidRPr="006015CF">
        <w:t xml:space="preserve">Publication 1911.1. </w:t>
      </w:r>
    </w:p>
    <w:bookmarkEnd w:id="371"/>
    <w:p w14:paraId="0EF885ED" w14:textId="77777777" w:rsidR="00EC2CEC" w:rsidRPr="006015CF" w:rsidRDefault="00EC2CEC" w:rsidP="000C559A">
      <w:pPr>
        <w:rPr>
          <w:iCs/>
        </w:rPr>
      </w:pPr>
      <w:r w:rsidRPr="006015CF">
        <w:t xml:space="preserve">Feachem RG, Bradley DJ, Garelick H and Mara DD 1983. </w:t>
      </w:r>
      <w:r w:rsidRPr="006015CF">
        <w:rPr>
          <w:iCs/>
        </w:rPr>
        <w:t>Sanitation and disease: health</w:t>
      </w:r>
      <w:r w:rsidRPr="006015CF">
        <w:t xml:space="preserve"> </w:t>
      </w:r>
      <w:r w:rsidRPr="006015CF">
        <w:rPr>
          <w:iCs/>
        </w:rPr>
        <w:t>aspects of excreta and wastewater management. John Wiley and Sons, Chichester, UK.</w:t>
      </w:r>
    </w:p>
    <w:p w14:paraId="18CF1056" w14:textId="77777777" w:rsidR="00EC2CEC" w:rsidRPr="006015CF" w:rsidRDefault="00EC2CEC" w:rsidP="000C559A">
      <w:pPr>
        <w:rPr>
          <w:iCs/>
        </w:rPr>
      </w:pPr>
      <w:r w:rsidRPr="006015CF">
        <w:rPr>
          <w:iCs/>
        </w:rPr>
        <w:t>Fewtrell L and Bartram J 2001. Water quality: guidelines, standards and health: assessment of risk and risk management for water-related infectious diseases.  Fewtrell L and Bartram J (eds), World Health Organization.</w:t>
      </w:r>
    </w:p>
    <w:p w14:paraId="0CECC68C" w14:textId="77777777" w:rsidR="00EC2CEC" w:rsidRPr="006015CF" w:rsidRDefault="00EC2CEC" w:rsidP="000C559A">
      <w:r w:rsidRPr="006015CF">
        <w:t>Fong TT, Phanikumar MS, Xagoraraki I and Rose JB 2010. Quantitative detection of human adenoviruses in wastewater and combined sewer overflows influencing a Michigan river. Applied and Environmental Microbiology 76(3): 715-723.</w:t>
      </w:r>
    </w:p>
    <w:p w14:paraId="26EB8223" w14:textId="77777777" w:rsidR="00EC2CEC" w:rsidRPr="006015CF" w:rsidRDefault="00EC2CEC" w:rsidP="000C559A">
      <w:r w:rsidRPr="006015CF">
        <w:t>Geldreich EE 1990. Microbiological quality of source waters for water supply. In: McFeters GA (eds) Drinking Water Microbiology. Brock/Springer series in contemporary bioscience. Springer, New York, NY.</w:t>
      </w:r>
    </w:p>
    <w:p w14:paraId="08D5098B" w14:textId="77777777" w:rsidR="00EC2CEC" w:rsidRPr="006015CF" w:rsidRDefault="00EC2CEC" w:rsidP="000C559A">
      <w:r w:rsidRPr="006015CF">
        <w:t xml:space="preserve">Haas CN, Rose JB and Gerba CP 1999. Quantitative Microbial Risk Assessment. </w:t>
      </w:r>
      <w:r w:rsidRPr="006015CF">
        <w:rPr>
          <w:iCs/>
        </w:rPr>
        <w:t>John Wiley and Sons</w:t>
      </w:r>
      <w:r w:rsidRPr="006015CF">
        <w:t>, New York, NY.</w:t>
      </w:r>
    </w:p>
    <w:p w14:paraId="5D170C5A" w14:textId="77777777" w:rsidR="00EC2CEC" w:rsidRPr="006015CF" w:rsidRDefault="00EC2CEC" w:rsidP="000C559A">
      <w:pPr>
        <w:rPr>
          <w:iCs/>
        </w:rPr>
      </w:pPr>
      <w:r w:rsidRPr="006015CF">
        <w:t xml:space="preserve">Haas CN, Rose JB and Gerba CP 2014. Quantitative Microbial Risk Assessment. Second edition, </w:t>
      </w:r>
      <w:r w:rsidRPr="006015CF">
        <w:rPr>
          <w:iCs/>
        </w:rPr>
        <w:t>John Wiley and Sons, Chichester, UK.</w:t>
      </w:r>
    </w:p>
    <w:p w14:paraId="700B4E28" w14:textId="2BCAC7F9" w:rsidR="00EC2CEC" w:rsidRPr="006015CF" w:rsidRDefault="00EC2CEC" w:rsidP="000C559A">
      <w:r w:rsidRPr="006015CF">
        <w:t>Havelaar A and Melse JM 2003. Quantifying public health risk in the WHO guidelines for drinking water quality: a burden of disease approach. RIVM report 734301022, Bilthoven, The Netherlands.</w:t>
      </w:r>
    </w:p>
    <w:p w14:paraId="52D4907D" w14:textId="1C20E746" w:rsidR="00FA6D36" w:rsidRPr="006015CF" w:rsidRDefault="00FA6D36" w:rsidP="00FA6D36">
      <w:r w:rsidRPr="006015CF">
        <w:t>Hijnen WAM, Beerendonk EF and Medema GJ 2006. Inactivation credit of UV radiation for viruses, bacteria and protozoan (oo)cysts in water: A review. Water Research 40:</w:t>
      </w:r>
      <w:r w:rsidR="00F1493F" w:rsidRPr="006015CF">
        <w:t xml:space="preserve"> </w:t>
      </w:r>
      <w:r w:rsidRPr="006015CF">
        <w:t>3–22.</w:t>
      </w:r>
    </w:p>
    <w:p w14:paraId="3549AB85" w14:textId="663DB03C" w:rsidR="00EC2CEC" w:rsidRPr="006015CF" w:rsidRDefault="00EC2CEC" w:rsidP="00630611">
      <w:r w:rsidRPr="006015CF">
        <w:t>Katayama H, Haramoto E, Oguma K, Yamashita H, Tajima A, Nakajima H and Ohgaki S 2008. One-year monthly quantitative survey of noroviruses, enteroviruses, and adenoviruses in wastewater collected from six plants in Japan. Water Research 42(6-7): 1441–1448.</w:t>
      </w:r>
    </w:p>
    <w:p w14:paraId="6645D10D" w14:textId="06E89326" w:rsidR="00EC2CEC" w:rsidRPr="006015CF" w:rsidRDefault="00EC2CEC" w:rsidP="007E114D">
      <w:r w:rsidRPr="006015CF">
        <w:lastRenderedPageBreak/>
        <w:t>Mara D 2011. ‘Water- and wastewater-related disease and infection risks: what is an appropriate value for the maximum tolerable additional burden of disease?’, Journal of Water &amp; Health 9(2): 217–224.</w:t>
      </w:r>
    </w:p>
    <w:p w14:paraId="0993CE1E" w14:textId="77777777" w:rsidR="007E114D" w:rsidRPr="006015CF" w:rsidRDefault="007E114D" w:rsidP="007E114D">
      <w:r w:rsidRPr="006015CF">
        <w:t xml:space="preserve">Medema G, Teunis P, Blokker M, Deere D, Davison A, Charles P and Loret J-F 2009. Risk assessment of </w:t>
      </w:r>
      <w:r w:rsidRPr="006015CF">
        <w:rPr>
          <w:i/>
        </w:rPr>
        <w:t>Cryptosporidium in drinking water</w:t>
      </w:r>
      <w:r w:rsidRPr="006015CF">
        <w:t>. World Health Organisation, Geneva.</w:t>
      </w:r>
    </w:p>
    <w:p w14:paraId="52F7A769" w14:textId="77777777" w:rsidR="007E114D" w:rsidRPr="006015CF" w:rsidRDefault="007E114D" w:rsidP="007E114D">
      <w:r w:rsidRPr="006015CF">
        <w:t xml:space="preserve">Medema GJ, Teunis PF, Havelaar AH and Haas CN 1996. Assessment of the dose-response relationship of </w:t>
      </w:r>
      <w:r w:rsidRPr="006015CF">
        <w:rPr>
          <w:i/>
        </w:rPr>
        <w:t>Campylobacter jejuni.</w:t>
      </w:r>
      <w:r w:rsidRPr="006015CF">
        <w:t xml:space="preserve"> International Journal of Food Microbiology 30(1-2): 101–111.</w:t>
      </w:r>
    </w:p>
    <w:p w14:paraId="46811471" w14:textId="692A926B" w:rsidR="007E114D" w:rsidRPr="006015CF" w:rsidRDefault="007E114D" w:rsidP="007E114D">
      <w:r w:rsidRPr="006015CF">
        <w:t>Messner MJ, Berger P and Nappier SP 2014. Fractional Poisson – A single dose-response model for human norovirus. Risk Analysis 34(10): 1820–1829.</w:t>
      </w:r>
    </w:p>
    <w:p w14:paraId="504FE2C4" w14:textId="224C2E32" w:rsidR="00FA6D36" w:rsidRPr="006015CF" w:rsidRDefault="00FA6D36" w:rsidP="00FA6D36">
      <w:r w:rsidRPr="006015CF">
        <w:t>Navarro I and Jiménez B 2011. Evaluation of the WHO helminth eggs criteria using a QMRA approach for the safe reuse of wastewater and sludge in developing countries. Water Science and Technology Journal International Association for Water Pollution Research 63:</w:t>
      </w:r>
      <w:r w:rsidR="00F1493F" w:rsidRPr="006015CF">
        <w:t xml:space="preserve"> </w:t>
      </w:r>
      <w:r w:rsidRPr="006015CF">
        <w:t>1499–1505.</w:t>
      </w:r>
    </w:p>
    <w:p w14:paraId="75C758BD" w14:textId="77777777" w:rsidR="007E114D" w:rsidRPr="006015CF" w:rsidRDefault="007E114D" w:rsidP="007E114D">
      <w:r w:rsidRPr="006015CF">
        <w:t>NHMRC 2008. Guidelines for managing risks in recreational water. National Health and Medical Research Council, Australian Government.</w:t>
      </w:r>
    </w:p>
    <w:p w14:paraId="267C79C5" w14:textId="77777777" w:rsidR="007E114D" w:rsidRPr="006015CF" w:rsidRDefault="007E114D" w:rsidP="007E114D">
      <w:r w:rsidRPr="006015CF">
        <w:t xml:space="preserve">NRC 1996. </w:t>
      </w:r>
      <w:r w:rsidRPr="006015CF">
        <w:rPr>
          <w:iCs/>
        </w:rPr>
        <w:t>Use of Reclaimed Water and Sludge in Food Crop Production.</w:t>
      </w:r>
      <w:r w:rsidRPr="006015CF">
        <w:rPr>
          <w:i/>
          <w:iCs/>
        </w:rPr>
        <w:t xml:space="preserve"> </w:t>
      </w:r>
      <w:r w:rsidRPr="006015CF">
        <w:t>National Research Council, National Academy Press, Washington DC.</w:t>
      </w:r>
    </w:p>
    <w:p w14:paraId="26633A33" w14:textId="77777777" w:rsidR="007E114D" w:rsidRPr="006015CF" w:rsidRDefault="007E114D" w:rsidP="007E114D">
      <w:pPr>
        <w:rPr>
          <w:b/>
          <w:bCs/>
        </w:rPr>
      </w:pPr>
      <w:r w:rsidRPr="006015CF">
        <w:t>NRMMC et al. 2006. Australian Guidelines for water recycling: Managing health and environmental risks (Phase 1). Natural Resource Management Ministerial Council, Environment Protection and Heritage Council and Australian Health Ministers Conference.</w:t>
      </w:r>
    </w:p>
    <w:p w14:paraId="23946A85" w14:textId="101B6900" w:rsidR="007E114D" w:rsidRPr="006015CF" w:rsidRDefault="007E114D" w:rsidP="007E114D">
      <w:r w:rsidRPr="006015CF">
        <w:t xml:space="preserve">NRMMC et al. 2008.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2). Augmentation of drinking water supplies. Natural Resource Management Ministerial Council, Environment Protection and Heritage Council and National Health and Medical Research Council.</w:t>
      </w:r>
    </w:p>
    <w:p w14:paraId="4A782969" w14:textId="57AE93D1" w:rsidR="00FA6D36" w:rsidRPr="006015CF" w:rsidRDefault="00FA6D36" w:rsidP="00FA6D36">
      <w:r w:rsidRPr="006015CF">
        <w:t>Pype M-L, Alvarez de Eulate A, Arrigan D, Busetti F, Le-Clech P and Gernjak W 2015. Development of validation protocols for reverse osmosis membranes in water recycling. Brisbane, Australia: Australian Water Recycling Centre of Excellence.</w:t>
      </w:r>
    </w:p>
    <w:p w14:paraId="6644ADF3" w14:textId="77777777" w:rsidR="007E114D" w:rsidRPr="006015CF" w:rsidRDefault="007E114D" w:rsidP="007E114D">
      <w:r w:rsidRPr="006015CF">
        <w:t xml:space="preserve">Rose JB and Gerba CP 1991. Use of risk assessment for development of microbial standards. Water Science &amp; Technology 24(2): 29–34. </w:t>
      </w:r>
    </w:p>
    <w:p w14:paraId="624030B4" w14:textId="73926CAE" w:rsidR="007E114D" w:rsidRPr="006015CF" w:rsidRDefault="007E114D" w:rsidP="007E114D">
      <w:r w:rsidRPr="006015CF">
        <w:rPr>
          <w:bCs/>
        </w:rPr>
        <w:t xml:space="preserve">Soller JA, Schoen ME, Bartrand T, Ravenscroft JE and Ashbolt NJ </w:t>
      </w:r>
      <w:r w:rsidRPr="006015CF">
        <w:t xml:space="preserve">2010. Estimated human health risks from exposure to recreational waters impacted by human and non-human sources of faecal contamination. Water Research </w:t>
      </w:r>
      <w:r w:rsidRPr="006015CF">
        <w:rPr>
          <w:bCs/>
        </w:rPr>
        <w:t>44(16):</w:t>
      </w:r>
      <w:r w:rsidRPr="006015CF">
        <w:t xml:space="preserve"> 4674–4691.</w:t>
      </w:r>
    </w:p>
    <w:p w14:paraId="3CEF2F56" w14:textId="77777777" w:rsidR="00FA6D36" w:rsidRPr="006015CF" w:rsidRDefault="00FA6D36" w:rsidP="00FA6D36">
      <w:r w:rsidRPr="006015CF">
        <w:t>Soller JA, Eftim SE, Warren I and Nappier SP 2016. Evaluation of microbiological risks associated with direct potable reuse. Microbial Risk Analysis. http://dx.doi.org/10.1016/j.mran.2016.08.003.</w:t>
      </w:r>
    </w:p>
    <w:p w14:paraId="39F9FD01" w14:textId="77777777" w:rsidR="007E114D" w:rsidRPr="006015CF" w:rsidRDefault="007E114D" w:rsidP="007E114D">
      <w:r w:rsidRPr="006015CF">
        <w:t xml:space="preserve">Teunis PFM, Ogden ID and Strachan NJC 2008. Hierarchical dose-response of </w:t>
      </w:r>
      <w:r w:rsidRPr="006015CF">
        <w:rPr>
          <w:i/>
        </w:rPr>
        <w:t>E. coli</w:t>
      </w:r>
      <w:r w:rsidRPr="006015CF">
        <w:t xml:space="preserve"> O157:H7 from human outbreaks incorporating heterogeneity in exposure. Epidemiology and Infection 136(6): 761–770.</w:t>
      </w:r>
    </w:p>
    <w:p w14:paraId="317A289F" w14:textId="08DDD7C0" w:rsidR="007E114D" w:rsidRPr="006015CF" w:rsidRDefault="007E114D" w:rsidP="007E114D">
      <w:r w:rsidRPr="006015CF">
        <w:t xml:space="preserve">Teunis P, Takumi K and Shinagawa K 2004. Dose-response for infection by </w:t>
      </w:r>
      <w:r w:rsidRPr="006015CF">
        <w:rPr>
          <w:i/>
        </w:rPr>
        <w:t>Escherichia coli</w:t>
      </w:r>
      <w:r w:rsidRPr="006015CF">
        <w:t xml:space="preserve"> O157:H7 from outbreak data. Risk Analysis 24(2): 401–407.</w:t>
      </w:r>
    </w:p>
    <w:p w14:paraId="45C8946F" w14:textId="1F688473" w:rsidR="00FA6D36" w:rsidRPr="006015CF" w:rsidRDefault="00FA6D36" w:rsidP="00FA6D36">
      <w:r w:rsidRPr="006015CF">
        <w:lastRenderedPageBreak/>
        <w:t>US</w:t>
      </w:r>
      <w:r w:rsidR="005B3803" w:rsidRPr="006015CF">
        <w:t xml:space="preserve"> </w:t>
      </w:r>
      <w:r w:rsidRPr="006015CF">
        <w:t>EPA (United States Environmental Protection Agency) 2005. Membrane filtration guidance manual. EPA 815-R-06-009. Washington (DC): United States Environmental Protection Agency.</w:t>
      </w:r>
    </w:p>
    <w:p w14:paraId="464ECC61" w14:textId="7ABFEE8B" w:rsidR="007E114D" w:rsidRPr="006015CF" w:rsidRDefault="007E114D" w:rsidP="007E114D">
      <w:r w:rsidRPr="006015CF">
        <w:t>Van Abel N, Schoen ME, Kissel JC and Meschke JS 2016. Comparison of risk predicted by multiple norovirus dose-response models and implications for quantitative microbial risk assessment. Risk Analysis 37(2): 245–264.</w:t>
      </w:r>
    </w:p>
    <w:p w14:paraId="3F4C726F" w14:textId="7AC8E238" w:rsidR="00FA6D36" w:rsidRPr="006015CF" w:rsidRDefault="00FA6D36" w:rsidP="00FA6D36">
      <w:r w:rsidRPr="006015CF">
        <w:t xml:space="preserve">WaterSecure (2017a). Membrane Bioreactor, WaterVal validation protocol, Australian WaterSecure Innovations Ltd, Brisbane. </w:t>
      </w:r>
      <w:hyperlink r:id="rId77" w:history="1">
        <w:r w:rsidR="00C006CB" w:rsidRPr="006015CF">
          <w:rPr>
            <w:rStyle w:val="Hyperlink"/>
          </w:rPr>
          <w:t>https://www.waterra.com.au/research/waterval/</w:t>
        </w:r>
      </w:hyperlink>
    </w:p>
    <w:p w14:paraId="72CEE410" w14:textId="7518BE2B" w:rsidR="00FA6D36" w:rsidRPr="006015CF" w:rsidRDefault="00FA6D36" w:rsidP="00FA6D36">
      <w:r w:rsidRPr="006015CF">
        <w:t xml:space="preserve">WaterSecure (2017b). Ozone disinfection, WaterVal validation protocol, Australian WaterSecure Innovations Ltd, Brisbane. </w:t>
      </w:r>
      <w:hyperlink r:id="rId78" w:history="1">
        <w:r w:rsidR="00D75B97" w:rsidRPr="006015CF">
          <w:rPr>
            <w:rStyle w:val="Hyperlink"/>
          </w:rPr>
          <w:t>https://www.waterra.com.au/research/waterval/</w:t>
        </w:r>
      </w:hyperlink>
    </w:p>
    <w:p w14:paraId="06102E8E" w14:textId="4BD7FE43" w:rsidR="00FA6D36" w:rsidRPr="006015CF" w:rsidRDefault="00FA6D36" w:rsidP="00FA6D36">
      <w:r w:rsidRPr="006015CF">
        <w:t xml:space="preserve">WaterSecure (2017c). UV disinfection, WaterVal validation protocol, Australian WaterSecure Innovations Ltd, Brisbane. </w:t>
      </w:r>
      <w:hyperlink r:id="rId79" w:history="1">
        <w:r w:rsidR="00D75B97" w:rsidRPr="006015CF">
          <w:rPr>
            <w:rStyle w:val="Hyperlink"/>
          </w:rPr>
          <w:t>https://www.waterra.com.au/research/waterval/</w:t>
        </w:r>
      </w:hyperlink>
    </w:p>
    <w:p w14:paraId="35D6B110" w14:textId="5E250F33" w:rsidR="00FA6D36" w:rsidRPr="006015CF" w:rsidRDefault="00FA6D36" w:rsidP="00FA6D36">
      <w:r w:rsidRPr="006015CF">
        <w:t xml:space="preserve">WaterSecure (2017d). Chlorine disinfection, WaterVal validation protocol, Australian WaterSecure Innovations Ltd, Brisbane. </w:t>
      </w:r>
      <w:hyperlink r:id="rId80" w:history="1">
        <w:r w:rsidR="00D75B97" w:rsidRPr="006015CF">
          <w:rPr>
            <w:rStyle w:val="Hyperlink"/>
          </w:rPr>
          <w:t>https://www.waterra.com.au/research/waterval/</w:t>
        </w:r>
      </w:hyperlink>
    </w:p>
    <w:p w14:paraId="1B3A1C67" w14:textId="77777777" w:rsidR="007E114D" w:rsidRPr="006015CF" w:rsidRDefault="007E114D" w:rsidP="001B3314">
      <w:r w:rsidRPr="006015CF">
        <w:t>Whelan G, Kim K, Pelton MA, Soller JA, Castleton KJ, Molina M, Pachepsky Y and Zepp R 2014. An integrated environmental modelling framework for performing Quantitative Microbial Risk Assessments. Environmental Modelling and Software 55: 77–91.</w:t>
      </w:r>
    </w:p>
    <w:p w14:paraId="7F450574" w14:textId="77777777" w:rsidR="001B3314" w:rsidRPr="006015CF" w:rsidRDefault="001B3314" w:rsidP="001B3314">
      <w:r w:rsidRPr="006015CF">
        <w:t xml:space="preserve">WHO 2011. Guidelines for Drinking Water Quality. Fourth edition, World Health Organization, Geneva, Switzerland. </w:t>
      </w:r>
    </w:p>
    <w:p w14:paraId="11A34A8C" w14:textId="77777777" w:rsidR="001B3314" w:rsidRPr="006015CF" w:rsidRDefault="001B3314" w:rsidP="001B3314">
      <w:r w:rsidRPr="006015CF">
        <w:t>WHO 2016. Quantitative Microbial Risk Assessment: Application for Water Safety Management. World Health Organization, Geneva, Switzerland.</w:t>
      </w:r>
    </w:p>
    <w:p w14:paraId="658454AA" w14:textId="586EB617" w:rsidR="00F57BEF" w:rsidRPr="00716D68" w:rsidRDefault="001B3314" w:rsidP="004B788D">
      <w:r w:rsidRPr="006015CF">
        <w:t>WSAA 2004. Health risk assessment of firefighting from recycled water mains. Occasional paper no. 11, WSAA, Melbourne.</w:t>
      </w:r>
      <w:bookmarkStart w:id="372" w:name="AppendixWIGN"/>
      <w:bookmarkStart w:id="373" w:name="AppendixWAN"/>
      <w:bookmarkEnd w:id="98"/>
      <w:bookmarkEnd w:id="372"/>
      <w:bookmarkEnd w:id="373"/>
    </w:p>
    <w:sectPr w:rsidR="00F57BEF" w:rsidRPr="00716D68" w:rsidSect="00427162">
      <w:headerReference w:type="even" r:id="rId81"/>
      <w:footerReference w:type="even" r:id="rId82"/>
      <w:footerReference w:type="default" r:id="rId83"/>
      <w:type w:val="nextColumn"/>
      <w:pgSz w:w="11906" w:h="16838" w:code="9"/>
      <w:pgMar w:top="1038" w:right="743" w:bottom="1321" w:left="987"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1B72" w14:textId="77777777" w:rsidR="00D417A7" w:rsidRDefault="00D417A7" w:rsidP="00465F93">
      <w:r>
        <w:separator/>
      </w:r>
    </w:p>
    <w:p w14:paraId="2D69C2E6" w14:textId="77777777" w:rsidR="00D417A7" w:rsidRDefault="00D417A7" w:rsidP="00465F93"/>
    <w:p w14:paraId="4D66CD44" w14:textId="77777777" w:rsidR="00D417A7" w:rsidRDefault="00D417A7"/>
    <w:p w14:paraId="7BDD9020" w14:textId="77777777" w:rsidR="00D417A7" w:rsidRDefault="00D417A7"/>
  </w:endnote>
  <w:endnote w:type="continuationSeparator" w:id="0">
    <w:p w14:paraId="5AC8F1CA" w14:textId="77777777" w:rsidR="00D417A7" w:rsidRDefault="00D417A7" w:rsidP="00465F93">
      <w:r>
        <w:continuationSeparator/>
      </w:r>
    </w:p>
    <w:p w14:paraId="69F0C732" w14:textId="77777777" w:rsidR="00D417A7" w:rsidRDefault="00D417A7" w:rsidP="00465F93"/>
    <w:p w14:paraId="5516A9D2" w14:textId="77777777" w:rsidR="00D417A7" w:rsidRDefault="00D417A7"/>
    <w:p w14:paraId="617DC344" w14:textId="77777777" w:rsidR="00D417A7" w:rsidRDefault="00D417A7"/>
  </w:endnote>
  <w:endnote w:type="continuationNotice" w:id="1">
    <w:p w14:paraId="40EAB512" w14:textId="77777777" w:rsidR="00D417A7" w:rsidRDefault="00D417A7" w:rsidP="00465F93"/>
    <w:p w14:paraId="07315819" w14:textId="77777777" w:rsidR="00D417A7" w:rsidRDefault="00D417A7"/>
    <w:p w14:paraId="0B0D616C" w14:textId="77777777" w:rsidR="00D417A7" w:rsidRDefault="00D41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Medium">
    <w:altName w:val="Calibri"/>
    <w:panose1 w:val="00000600000000000000"/>
    <w:charset w:val="00"/>
    <w:family w:val="auto"/>
    <w:pitch w:val="variable"/>
    <w:sig w:usb0="00000007" w:usb1="00000000" w:usb2="00000000" w:usb3="00000000" w:csb0="00000093" w:csb1="00000000"/>
    <w:embedRegular r:id="rId1" w:fontKey="{64307878-03D9-48FD-B7B2-520FC87AF5BE}"/>
  </w:font>
  <w:font w:name="Times New Roman">
    <w:panose1 w:val="02020603050405020304"/>
    <w:charset w:val="00"/>
    <w:family w:val="roman"/>
    <w:pitch w:val="variable"/>
    <w:sig w:usb0="E0002EFF" w:usb1="C000785B" w:usb2="00000009" w:usb3="00000000" w:csb0="000001FF" w:csb1="00000000"/>
    <w:embedRegular r:id="rId2" w:subsetted="1" w:fontKey="{642496BD-8649-4EAF-A198-0667AC8072E5}"/>
  </w:font>
  <w:font w:name="Symbol">
    <w:panose1 w:val="05050102010706020507"/>
    <w:charset w:val="02"/>
    <w:family w:val="roman"/>
    <w:pitch w:val="variable"/>
    <w:sig w:usb0="00000000" w:usb1="10000000" w:usb2="00000000" w:usb3="00000000" w:csb0="80000000" w:csb1="00000000"/>
    <w:embedRegular r:id="rId3" w:fontKey="{C86C6FE9-BF12-47E1-BFEC-C9AFED48B1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auto"/>
    <w:pitch w:val="variable"/>
    <w:sig w:usb0="00000007" w:usb1="00000000" w:usb2="00000000" w:usb3="00000000" w:csb0="00000093" w:csb1="00000000"/>
    <w:embedRegular r:id="rId4" w:fontKey="{7BF403B6-DFF1-416A-B1B1-4493BBEEF038}"/>
    <w:embedBold r:id="rId5" w:fontKey="{1CB6AE34-0AB1-45A2-8C15-76DE95A6795A}"/>
    <w:embedItalic r:id="rId6" w:fontKey="{B10C3310-0E77-4B46-928C-3E4B7D94BE49}"/>
    <w:embedBoldItalic r:id="rId7" w:fontKey="{5246A994-AE6B-4F01-BCF9-C5A8CC2729B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embedBold r:id="rId8" w:subsetted="1" w:fontKey="{F6711E0B-AF04-42BA-990A-08B3B95F93FE}"/>
  </w:font>
  <w:font w:name="Lucida Grande">
    <w:charset w:val="00"/>
    <w:family w:val="swiss"/>
    <w:pitch w:val="variable"/>
    <w:sig w:usb0="E1000AEF" w:usb1="5000A1FF" w:usb2="00000000" w:usb3="00000000" w:csb0="000001BF" w:csb1="00000000"/>
  </w:font>
  <w:font w:name="Light">
    <w:altName w:val="Times New Roman"/>
    <w:charset w:val="4D"/>
    <w:family w:val="auto"/>
    <w:pitch w:val="default"/>
    <w:sig w:usb0="00000003" w:usb1="00000000" w:usb2="00000000" w:usb3="00000000" w:csb0="00000001" w:csb1="00000000"/>
  </w:font>
  <w:font w:name="Interstate-Light">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embedRegular r:id="rId9" w:subsetted="1" w:fontKey="{E32625FD-79FA-4C51-8D7B-2FFBFD2E0EE2}"/>
  </w:font>
  <w:font w:name="MetaBold-Roman">
    <w:altName w:val="Calibri"/>
    <w:charset w:val="00"/>
    <w:family w:val="auto"/>
    <w:pitch w:val="variable"/>
    <w:sig w:usb0="00000003" w:usb1="00000000" w:usb2="00000000" w:usb3="00000000" w:csb0="00000001" w:csb1="00000000"/>
  </w:font>
  <w:font w:name="VIC-Medium">
    <w:altName w:val="VIC"/>
    <w:charset w:val="4D"/>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embedBold r:id="rId10" w:subsetted="1" w:fontKey="{E17FE504-BEE0-4002-B7ED-9889B50CDF69}"/>
  </w:font>
  <w:font w:name="Cambria">
    <w:panose1 w:val="02040503050406030204"/>
    <w:charset w:val="00"/>
    <w:family w:val="roman"/>
    <w:pitch w:val="variable"/>
    <w:sig w:usb0="E00006FF" w:usb1="420024FF" w:usb2="02000000" w:usb3="00000000" w:csb0="0000019F" w:csb1="00000000"/>
    <w:embedRegular r:id="rId11" w:subsetted="1" w:fontKey="{6C00ECD0-413F-4955-B9E0-8909BABB91E5}"/>
  </w:font>
  <w:font w:name="Wingdings 2">
    <w:panose1 w:val="05020102010507070707"/>
    <w:charset w:val="02"/>
    <w:family w:val="roman"/>
    <w:pitch w:val="variable"/>
    <w:sig w:usb0="00000000" w:usb1="10000000" w:usb2="00000000" w:usb3="00000000" w:csb0="80000000" w:csb1="00000000"/>
    <w:embedRegular r:id="rId12" w:fontKey="{EB495695-CA88-4C1D-A2B1-D795F50EBA7F}"/>
  </w:font>
  <w:font w:name="Arial Unicode MS">
    <w:panose1 w:val="020B0604020202020204"/>
    <w:charset w:val="80"/>
    <w:family w:val="swiss"/>
    <w:pitch w:val="variable"/>
    <w:sig w:usb0="F7FFAFFF" w:usb1="E9DFFFFF" w:usb2="0000003F" w:usb3="00000000" w:csb0="003F01FF" w:csb1="00000000"/>
  </w:font>
  <w:font w:name="Garamond-Light">
    <w:charset w:val="00"/>
    <w:family w:val="auto"/>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3" w:fontKey="{AE707CB7-4505-4ED5-A243-04CB81801954}"/>
    <w:embedItalic r:id="rId14" w:fontKey="{E4FC3445-ABE1-48E2-AAE8-C895CE26E5C9}"/>
  </w:font>
  <w:font w:name="Arial Bold">
    <w:altName w:val="Arial"/>
    <w:panose1 w:val="020B07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7A47" w14:textId="464E795C" w:rsidR="002B2A74" w:rsidRDefault="002B2A74">
    <w:pPr>
      <w:pStyle w:val="Footer"/>
      <w:jc w:val="right"/>
    </w:pPr>
  </w:p>
  <w:p w14:paraId="57EF848D" w14:textId="77777777" w:rsidR="00CC0E0B" w:rsidRDefault="00CC0E0B">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1056697280"/>
      <w:docPartObj>
        <w:docPartGallery w:val="Page Numbers (Top of Page)"/>
        <w:docPartUnique/>
      </w:docPartObj>
    </w:sdtPr>
    <w:sdtEndPr>
      <w:rPr>
        <w:b/>
        <w:bCs/>
        <w:sz w:val="16"/>
      </w:rPr>
    </w:sdtEndPr>
    <w:sdtContent>
      <w:p w14:paraId="1F18E366" w14:textId="77777777" w:rsidR="0049391B" w:rsidRPr="002B0D82" w:rsidRDefault="0049391B" w:rsidP="00716FB9">
        <w:pPr>
          <w:pStyle w:val="FooterDocDescription"/>
          <w:rPr>
            <w:rFonts w:eastAsia="VIC" w:cs="VIC"/>
            <w:sz w:val="22"/>
          </w:rPr>
        </w:pPr>
        <w:r>
          <w:rPr>
            <w:noProof/>
          </w:rPr>
          <mc:AlternateContent>
            <mc:Choice Requires="wps">
              <w:drawing>
                <wp:anchor distT="0" distB="0" distL="114300" distR="114300" simplePos="0" relativeHeight="251808811" behindDoc="0" locked="0" layoutInCell="1" allowOverlap="1" wp14:anchorId="7D84A97B" wp14:editId="6566D322">
                  <wp:simplePos x="0" y="0"/>
                  <wp:positionH relativeFrom="column">
                    <wp:posOffset>5229860</wp:posOffset>
                  </wp:positionH>
                  <wp:positionV relativeFrom="paragraph">
                    <wp:posOffset>-116782</wp:posOffset>
                  </wp:positionV>
                  <wp:extent cx="1334135" cy="11099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1A2F2B02" w14:textId="77777777" w:rsidR="0049391B" w:rsidRDefault="0049391B" w:rsidP="003F6D95">
                              <w:pPr>
                                <w:ind w:left="-113"/>
                              </w:pPr>
                              <w:r>
                                <w:rPr>
                                  <w:noProof/>
                                </w:rPr>
                                <w:drawing>
                                  <wp:inline distT="0" distB="0" distL="0" distR="0" wp14:anchorId="551F2DD8" wp14:editId="282E9BB9">
                                    <wp:extent cx="1290939" cy="703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4A97B" id="_x0000_t202" coordsize="21600,21600" o:spt="202" path="m,l,21600r21600,l21600,xe">
                  <v:stroke joinstyle="miter"/>
                  <v:path gradientshapeok="t" o:connecttype="rect"/>
                </v:shapetype>
                <v:shape id="Text Box 25" o:spid="_x0000_s1048" type="#_x0000_t202" style="position:absolute;margin-left:411.8pt;margin-top:-9.2pt;width:105.05pt;height:87.4pt;z-index:251808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MdwJpMbAgAANAQAAA4AAAAAAAAAAAAAAAAALgIAAGRycy9lMm9Eb2MueG1s&#10;UEsBAi0AFAAGAAgAAAAhAFkhQPnkAAAADAEAAA8AAAAAAAAAAAAAAAAAdQQAAGRycy9kb3ducmV2&#10;LnhtbFBLBQYAAAAABAAEAPMAAACGBQAAAAA=&#10;" filled="f" stroked="f" strokeweight=".5pt">
                  <v:textbox>
                    <w:txbxContent>
                      <w:p w14:paraId="1A2F2B02" w14:textId="77777777" w:rsidR="0049391B" w:rsidRDefault="0049391B" w:rsidP="003F6D95">
                        <w:pPr>
                          <w:ind w:left="-113"/>
                        </w:pPr>
                        <w:r>
                          <w:rPr>
                            <w:noProof/>
                          </w:rPr>
                          <w:drawing>
                            <wp:inline distT="0" distB="0" distL="0" distR="0" wp14:anchorId="551F2DD8" wp14:editId="282E9BB9">
                              <wp:extent cx="1290939" cy="703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18D875B5" w14:textId="77777777" w:rsidR="0049391B" w:rsidRDefault="0049391B" w:rsidP="00BD711C">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2</w:t>
        </w:r>
        <w:r w:rsidRPr="00FF6807">
          <w:rPr>
            <w:rFonts w:ascii="VIC SemiBold" w:hAnsi="VIC SemiBold"/>
            <w:b/>
            <w:bCs/>
            <w:szCs w:val="16"/>
          </w:rPr>
          <w:fldChar w:fldCharType="end"/>
        </w:r>
      </w:p>
    </w:sdtContent>
  </w:sdt>
  <w:p w14:paraId="43285654" w14:textId="77777777" w:rsidR="0049391B" w:rsidRPr="00BD711C" w:rsidRDefault="0049391B" w:rsidP="00BD711C">
    <w:pPr>
      <w:pStyle w:val="Footertext"/>
      <w:rPr>
        <w:b/>
        <w:bCs/>
      </w:rPr>
    </w:pPr>
    <w:r>
      <w:rPr>
        <w:noProof/>
      </w:rPr>
      <mc:AlternateContent>
        <mc:Choice Requires="wps">
          <w:drawing>
            <wp:anchor distT="0" distB="0" distL="114300" distR="114300" simplePos="0" relativeHeight="251809835" behindDoc="0" locked="0" layoutInCell="1" allowOverlap="1" wp14:anchorId="34BEBE82" wp14:editId="149F3E12">
              <wp:simplePos x="0" y="0"/>
              <wp:positionH relativeFrom="column">
                <wp:posOffset>-20320</wp:posOffset>
              </wp:positionH>
              <wp:positionV relativeFrom="paragraph">
                <wp:posOffset>228658</wp:posOffset>
              </wp:positionV>
              <wp:extent cx="6492875" cy="0"/>
              <wp:effectExtent l="0" t="0" r="9525" b="12700"/>
              <wp:wrapNone/>
              <wp:docPr id="27" name="Straight Connector 2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67055" id="Straight Connector 27" o:spid="_x0000_s1026" style="position:absolute;z-index:251809835;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6A405DA6" w14:textId="3939E567" w:rsidR="003F6D95" w:rsidRPr="002B0D82" w:rsidRDefault="003F6D95" w:rsidP="00716FB9">
        <w:pPr>
          <w:pStyle w:val="FooterDocDescription"/>
          <w:rPr>
            <w:rFonts w:eastAsia="VIC" w:cs="VIC"/>
            <w:sz w:val="22"/>
          </w:rPr>
        </w:pPr>
        <w:r>
          <w:rPr>
            <w:noProof/>
          </w:rPr>
          <mc:AlternateContent>
            <mc:Choice Requires="wps">
              <w:drawing>
                <wp:anchor distT="0" distB="0" distL="114300" distR="114300" simplePos="0" relativeHeight="251663360" behindDoc="0" locked="0" layoutInCell="1" allowOverlap="1" wp14:anchorId="2990F419" wp14:editId="78BAC178">
                  <wp:simplePos x="0" y="0"/>
                  <wp:positionH relativeFrom="column">
                    <wp:posOffset>5229860</wp:posOffset>
                  </wp:positionH>
                  <wp:positionV relativeFrom="paragraph">
                    <wp:posOffset>-116782</wp:posOffset>
                  </wp:positionV>
                  <wp:extent cx="1334135" cy="110998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054FB038" w14:textId="77777777" w:rsidR="003F6D95" w:rsidRDefault="003F6D95" w:rsidP="003F6D95">
                              <w:pPr>
                                <w:ind w:left="-113"/>
                              </w:pPr>
                              <w:r>
                                <w:rPr>
                                  <w:noProof/>
                                </w:rPr>
                                <w:drawing>
                                  <wp:inline distT="0" distB="0" distL="0" distR="0" wp14:anchorId="645C0DFA" wp14:editId="3A9110DA">
                                    <wp:extent cx="1290939" cy="7033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0F419" id="_x0000_t202" coordsize="21600,21600" o:spt="202" path="m,l,21600r21600,l21600,xe">
                  <v:stroke joinstyle="miter"/>
                  <v:path gradientshapeok="t" o:connecttype="rect"/>
                </v:shapetype>
                <v:shape id="Text Box 455" o:spid="_x0000_s1040" type="#_x0000_t202" style="position:absolute;margin-left:411.8pt;margin-top:-9.2pt;width:105.05pt;height:8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" filled="f" stroked="f" strokeweight=".5pt">
                  <v:textbox>
                    <w:txbxContent>
                      <w:p w14:paraId="054FB038" w14:textId="77777777" w:rsidR="003F6D95" w:rsidRDefault="003F6D95" w:rsidP="003F6D95">
                        <w:pPr>
                          <w:ind w:left="-113"/>
                        </w:pPr>
                        <w:r>
                          <w:rPr>
                            <w:noProof/>
                          </w:rPr>
                          <w:drawing>
                            <wp:inline distT="0" distB="0" distL="0" distR="0" wp14:anchorId="645C0DFA" wp14:editId="3A9110DA">
                              <wp:extent cx="1290939" cy="7033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7958">
          <w:t>Risk assessment of wastewater discharges to surface waters</w:t>
        </w:r>
      </w:p>
      <w:p w14:paraId="14F8CEFB" w14:textId="77777777" w:rsidR="00892F99" w:rsidRDefault="003F6D95" w:rsidP="00BD711C">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2</w:t>
        </w:r>
        <w:r w:rsidRPr="00FF6807">
          <w:rPr>
            <w:rFonts w:ascii="VIC SemiBold" w:hAnsi="VIC SemiBold"/>
            <w:b/>
            <w:bCs/>
            <w:szCs w:val="16"/>
          </w:rPr>
          <w:fldChar w:fldCharType="end"/>
        </w:r>
      </w:p>
    </w:sdtContent>
  </w:sdt>
  <w:p w14:paraId="6133FC0E" w14:textId="099785E8" w:rsidR="00CC0E0B" w:rsidRPr="00BD711C" w:rsidRDefault="003F6D95" w:rsidP="00BD711C">
    <w:pPr>
      <w:pStyle w:val="Footertext"/>
      <w:rPr>
        <w:b/>
        <w:bCs/>
      </w:rPr>
    </w:pPr>
    <w:r>
      <w:rPr>
        <w:noProof/>
      </w:rPr>
      <mc:AlternateContent>
        <mc:Choice Requires="wps">
          <w:drawing>
            <wp:anchor distT="0" distB="0" distL="114300" distR="114300" simplePos="0" relativeHeight="251665408" behindDoc="0" locked="0" layoutInCell="1" allowOverlap="1" wp14:anchorId="146B5895" wp14:editId="7531F7E2">
              <wp:simplePos x="0" y="0"/>
              <wp:positionH relativeFrom="column">
                <wp:posOffset>-20320</wp:posOffset>
              </wp:positionH>
              <wp:positionV relativeFrom="paragraph">
                <wp:posOffset>228658</wp:posOffset>
              </wp:positionV>
              <wp:extent cx="6492875" cy="0"/>
              <wp:effectExtent l="0" t="0" r="9525" b="12700"/>
              <wp:wrapNone/>
              <wp:docPr id="456" name="Straight Connector 45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594F9" id="Straight Connector 45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" strokecolor="#00b4e1"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1511680248"/>
      <w:docPartObj>
        <w:docPartGallery w:val="Page Numbers (Top of Page)"/>
        <w:docPartUnique/>
      </w:docPartObj>
    </w:sdtPr>
    <w:sdtEndPr>
      <w:rPr>
        <w:b/>
        <w:bCs/>
        <w:sz w:val="16"/>
      </w:rPr>
    </w:sdtEndPr>
    <w:sdtContent>
      <w:p w14:paraId="5C5827FC" w14:textId="77777777" w:rsidR="00B57935" w:rsidRPr="002B0D82" w:rsidRDefault="00B57935" w:rsidP="00B57935">
        <w:pPr>
          <w:pStyle w:val="FooterDocDescription"/>
          <w:rPr>
            <w:rFonts w:eastAsia="VIC" w:cs="VIC"/>
            <w:sz w:val="22"/>
          </w:rPr>
        </w:pPr>
        <w:r>
          <w:rPr>
            <w:noProof/>
          </w:rPr>
          <mc:AlternateContent>
            <mc:Choice Requires="wps">
              <w:drawing>
                <wp:anchor distT="0" distB="0" distL="114300" distR="114300" simplePos="0" relativeHeight="251801643" behindDoc="0" locked="0" layoutInCell="1" allowOverlap="1" wp14:anchorId="3365FABE" wp14:editId="6A5126E2">
                  <wp:simplePos x="0" y="0"/>
                  <wp:positionH relativeFrom="column">
                    <wp:posOffset>5229860</wp:posOffset>
                  </wp:positionH>
                  <wp:positionV relativeFrom="paragraph">
                    <wp:posOffset>-116782</wp:posOffset>
                  </wp:positionV>
                  <wp:extent cx="1334135" cy="110998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368F0273" w14:textId="77777777" w:rsidR="00B57935" w:rsidRDefault="00B57935" w:rsidP="00B57935">
                              <w:pPr>
                                <w:ind w:left="-113"/>
                              </w:pPr>
                              <w:r>
                                <w:rPr>
                                  <w:noProof/>
                                </w:rPr>
                                <w:drawing>
                                  <wp:inline distT="0" distB="0" distL="0" distR="0" wp14:anchorId="275DC8BA" wp14:editId="53EA3DF8">
                                    <wp:extent cx="1290939" cy="703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5FABE" id="_x0000_t202" coordsize="21600,21600" o:spt="202" path="m,l,21600r21600,l21600,xe">
                  <v:stroke joinstyle="miter"/>
                  <v:path gradientshapeok="t" o:connecttype="rect"/>
                </v:shapetype>
                <v:shape id="Text Box 42" o:spid="_x0000_s1041" type="#_x0000_t202" style="position:absolute;margin-left:411.8pt;margin-top:-9.2pt;width:105.05pt;height:87.4pt;z-index:251801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FaGQ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" filled="f" stroked="f" strokeweight=".5pt">
                  <v:textbox>
                    <w:txbxContent>
                      <w:p w14:paraId="368F0273" w14:textId="77777777" w:rsidR="00B57935" w:rsidRDefault="00B57935" w:rsidP="00B57935">
                        <w:pPr>
                          <w:ind w:left="-113"/>
                        </w:pPr>
                        <w:r>
                          <w:rPr>
                            <w:noProof/>
                          </w:rPr>
                          <w:drawing>
                            <wp:inline distT="0" distB="0" distL="0" distR="0" wp14:anchorId="275DC8BA" wp14:editId="53EA3DF8">
                              <wp:extent cx="1290939" cy="703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3D02E708" w14:textId="54BFD10C" w:rsidR="00B57935" w:rsidRDefault="00B57935" w:rsidP="00013E28">
        <w:pPr>
          <w:pStyle w:val="Footertext"/>
          <w:tabs>
            <w:tab w:val="clear" w:pos="4680"/>
            <w:tab w:val="clear" w:pos="9360"/>
            <w:tab w:val="left" w:pos="7969"/>
          </w:tabs>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19</w:t>
        </w:r>
        <w:r w:rsidRPr="00FF6807">
          <w:rPr>
            <w:rFonts w:ascii="VIC SemiBold" w:hAnsi="VIC SemiBold"/>
            <w:b/>
            <w:bCs/>
            <w:szCs w:val="16"/>
          </w:rPr>
          <w:fldChar w:fldCharType="end"/>
        </w:r>
        <w:r w:rsidR="00013E28">
          <w:rPr>
            <w:rFonts w:ascii="VIC SemiBold" w:hAnsi="VIC SemiBold"/>
            <w:b/>
            <w:bCs/>
            <w:szCs w:val="16"/>
          </w:rPr>
          <w:tab/>
        </w:r>
      </w:p>
    </w:sdtContent>
  </w:sdt>
  <w:p w14:paraId="5DDFD1BE" w14:textId="5B3A4A04" w:rsidR="00ED7D7F" w:rsidRDefault="00ED7D7F" w:rsidP="00716FB9">
    <w:pPr>
      <w:pStyle w:val="FooterDocDescription"/>
    </w:pPr>
    <w:r>
      <w:rPr>
        <w:noProof/>
      </w:rPr>
      <mc:AlternateContent>
        <mc:Choice Requires="wps">
          <w:drawing>
            <wp:anchor distT="0" distB="0" distL="114300" distR="114300" simplePos="0" relativeHeight="251669504" behindDoc="0" locked="0" layoutInCell="1" allowOverlap="1" wp14:anchorId="7EB90385" wp14:editId="1AC90B71">
              <wp:simplePos x="0" y="0"/>
              <wp:positionH relativeFrom="column">
                <wp:posOffset>-20320</wp:posOffset>
              </wp:positionH>
              <wp:positionV relativeFrom="paragraph">
                <wp:posOffset>228658</wp:posOffset>
              </wp:positionV>
              <wp:extent cx="6492875" cy="0"/>
              <wp:effectExtent l="0" t="0" r="9525" b="12700"/>
              <wp:wrapNone/>
              <wp:docPr id="480" name="Straight Connector 48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84B0F" id="Straight Connector 48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" strokecolor="#00b4e1"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CF98" w14:textId="41D0AAA3" w:rsidR="00013E28" w:rsidRDefault="00013E28" w:rsidP="00716FB9">
    <w:pPr>
      <w:pStyle w:val="FooterDocDescription"/>
    </w:pPr>
    <w:r>
      <w:rPr>
        <w:noProof/>
      </w:rPr>
      <mc:AlternateContent>
        <mc:Choice Requires="wps">
          <w:drawing>
            <wp:anchor distT="0" distB="0" distL="114300" distR="114300" simplePos="0" relativeHeight="251806763" behindDoc="0" locked="0" layoutInCell="1" allowOverlap="1" wp14:anchorId="745DA0D9" wp14:editId="46F08BB5">
              <wp:simplePos x="0" y="0"/>
              <wp:positionH relativeFrom="column">
                <wp:posOffset>-20320</wp:posOffset>
              </wp:positionH>
              <wp:positionV relativeFrom="paragraph">
                <wp:posOffset>228658</wp:posOffset>
              </wp:positionV>
              <wp:extent cx="6492875" cy="0"/>
              <wp:effectExtent l="0" t="0" r="9525" b="12700"/>
              <wp:wrapNone/>
              <wp:docPr id="466" name="Straight Connector 46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FABFD" id="Straight Connector 466" o:spid="_x0000_s1026" style="position:absolute;z-index:251806763;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1836834843"/>
      <w:docPartObj>
        <w:docPartGallery w:val="Page Numbers (Top of Page)"/>
        <w:docPartUnique/>
      </w:docPartObj>
    </w:sdtPr>
    <w:sdtEndPr>
      <w:rPr>
        <w:b/>
        <w:bCs/>
        <w:sz w:val="16"/>
      </w:rPr>
    </w:sdtEndPr>
    <w:sdtContent>
      <w:p w14:paraId="578384B7" w14:textId="77777777" w:rsidR="00013E28" w:rsidRPr="002B0D82" w:rsidRDefault="00013E28" w:rsidP="00B57935">
        <w:pPr>
          <w:pStyle w:val="FooterDocDescription"/>
          <w:rPr>
            <w:rFonts w:eastAsia="VIC" w:cs="VIC"/>
            <w:sz w:val="22"/>
          </w:rPr>
        </w:pPr>
        <w:r>
          <w:rPr>
            <w:noProof/>
          </w:rPr>
          <mc:AlternateContent>
            <mc:Choice Requires="wps">
              <w:drawing>
                <wp:anchor distT="0" distB="0" distL="114300" distR="114300" simplePos="0" relativeHeight="251804715" behindDoc="0" locked="0" layoutInCell="1" allowOverlap="1" wp14:anchorId="6596DA49" wp14:editId="674105DF">
                  <wp:simplePos x="0" y="0"/>
                  <wp:positionH relativeFrom="column">
                    <wp:posOffset>5229860</wp:posOffset>
                  </wp:positionH>
                  <wp:positionV relativeFrom="paragraph">
                    <wp:posOffset>-116782</wp:posOffset>
                  </wp:positionV>
                  <wp:extent cx="1334135" cy="110998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7885FDCD" w14:textId="77777777" w:rsidR="00013E28" w:rsidRDefault="00013E28" w:rsidP="00B57935">
                              <w:pPr>
                                <w:ind w:left="-113"/>
                              </w:pPr>
                              <w:r>
                                <w:rPr>
                                  <w:noProof/>
                                </w:rPr>
                                <w:drawing>
                                  <wp:inline distT="0" distB="0" distL="0" distR="0" wp14:anchorId="476693F7" wp14:editId="45473330">
                                    <wp:extent cx="1290939" cy="703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6DA49" id="_x0000_t202" coordsize="21600,21600" o:spt="202" path="m,l,21600r21600,l21600,xe">
                  <v:stroke joinstyle="miter"/>
                  <v:path gradientshapeok="t" o:connecttype="rect"/>
                </v:shapetype>
                <v:shape id="Text Box 452" o:spid="_x0000_s1042" type="#_x0000_t202" style="position:absolute;margin-left:411.8pt;margin-top:-9.2pt;width:105.05pt;height:87.4pt;z-index:251804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D+Gw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4LOjwtsoHygPtZ6Kl3hi9rnGHF&#10;nH9lFrnGlVC//gUPqQB7wdGipAL762//QzxSgF5KWtROQd3PHbOCEvVDIznTbDwOYouX8eTbEC/2&#10;2rO59uhd8wgozwxfiuHRDPFenUxpoflAmS9CV3QxzbF3Qf3JfPS9ovGZcLFYxCCUl2F+pdeGh9IB&#10;1YDwW/fBrDnS4JHBZzipjOWf2Ohjez4WOw+yjlQFnHtUj/CjNCODx2cUtH99j1GXxz7/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MWeAP4bAgAANAQAAA4AAAAAAAAAAAAAAAAALgIAAGRycy9lMm9Eb2MueG1s&#10;UEsBAi0AFAAGAAgAAAAhAFkhQPnkAAAADAEAAA8AAAAAAAAAAAAAAAAAdQQAAGRycy9kb3ducmV2&#10;LnhtbFBLBQYAAAAABAAEAPMAAACGBQAAAAA=&#10;" filled="f" stroked="f" strokeweight=".5pt">
                  <v:textbox>
                    <w:txbxContent>
                      <w:p w14:paraId="7885FDCD" w14:textId="77777777" w:rsidR="00013E28" w:rsidRDefault="00013E28" w:rsidP="00B57935">
                        <w:pPr>
                          <w:ind w:left="-113"/>
                        </w:pPr>
                        <w:r>
                          <w:rPr>
                            <w:noProof/>
                          </w:rPr>
                          <w:drawing>
                            <wp:inline distT="0" distB="0" distL="0" distR="0" wp14:anchorId="476693F7" wp14:editId="45473330">
                              <wp:extent cx="1290939" cy="703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6B8736DF" w14:textId="77777777" w:rsidR="00013E28" w:rsidRDefault="00013E28" w:rsidP="00013E28">
        <w:pPr>
          <w:pStyle w:val="Footertext"/>
          <w:tabs>
            <w:tab w:val="clear" w:pos="4680"/>
            <w:tab w:val="clear" w:pos="9360"/>
            <w:tab w:val="left" w:pos="7969"/>
          </w:tabs>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19</w:t>
        </w:r>
        <w:r w:rsidRPr="00FF6807">
          <w:rPr>
            <w:rFonts w:ascii="VIC SemiBold" w:hAnsi="VIC SemiBold"/>
            <w:b/>
            <w:bCs/>
            <w:szCs w:val="16"/>
          </w:rPr>
          <w:fldChar w:fldCharType="end"/>
        </w:r>
        <w:r>
          <w:rPr>
            <w:rFonts w:ascii="VIC SemiBold" w:hAnsi="VIC SemiBold"/>
            <w:b/>
            <w:bCs/>
            <w:szCs w:val="16"/>
          </w:rPr>
          <w:tab/>
        </w:r>
      </w:p>
    </w:sdtContent>
  </w:sdt>
  <w:p w14:paraId="3D50F369" w14:textId="77777777" w:rsidR="00013E28" w:rsidRDefault="00013E28" w:rsidP="00716FB9">
    <w:pPr>
      <w:pStyle w:val="FooterDocDescription"/>
    </w:pPr>
    <w:r>
      <w:rPr>
        <w:noProof/>
      </w:rPr>
      <mc:AlternateContent>
        <mc:Choice Requires="wps">
          <w:drawing>
            <wp:anchor distT="0" distB="0" distL="114300" distR="114300" simplePos="0" relativeHeight="251803691" behindDoc="0" locked="0" layoutInCell="1" allowOverlap="1" wp14:anchorId="448B36AB" wp14:editId="2BBD2539">
              <wp:simplePos x="0" y="0"/>
              <wp:positionH relativeFrom="column">
                <wp:posOffset>-20320</wp:posOffset>
              </wp:positionH>
              <wp:positionV relativeFrom="paragraph">
                <wp:posOffset>228658</wp:posOffset>
              </wp:positionV>
              <wp:extent cx="6492875" cy="0"/>
              <wp:effectExtent l="0" t="0" r="9525" b="12700"/>
              <wp:wrapNone/>
              <wp:docPr id="453" name="Straight Connector 453"/>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B649A" id="Straight Connector 453" o:spid="_x0000_s1026" style="position:absolute;z-index:251803691;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F9E1" w14:textId="53937279" w:rsidR="00D12099" w:rsidRDefault="00000000" w:rsidP="009C0954">
    <w:pPr>
      <w:pStyle w:val="FooterDocDescription"/>
      <w:tabs>
        <w:tab w:val="clear" w:pos="4680"/>
        <w:tab w:val="clear" w:pos="9360"/>
        <w:tab w:val="left" w:pos="5741"/>
      </w:tabs>
      <w:ind w:left="7939" w:firstLine="5741"/>
    </w:pPr>
    <w:sdt>
      <w:sdtPr>
        <w:rPr>
          <w:rFonts w:eastAsia="VIC" w:cs="VIC"/>
          <w:sz w:val="22"/>
        </w:rPr>
        <w:id w:val="-1865584482"/>
        <w:docPartObj>
          <w:docPartGallery w:val="Page Numbers (Top of Page)"/>
          <w:docPartUnique/>
        </w:docPartObj>
      </w:sdtPr>
      <w:sdtEndPr>
        <w:rPr>
          <w:rFonts w:eastAsia="MS Mincho" w:cs="Times New Roman"/>
          <w:sz w:val="16"/>
        </w:rPr>
      </w:sdtEndPr>
      <w:sdtContent>
        <w:r w:rsidR="00D12099" w:rsidRPr="00F81968">
          <w:rPr>
            <w:b/>
            <w:bCs/>
          </w:rPr>
          <w:t xml:space="preserve">Page </w:t>
        </w:r>
        <w:r w:rsidR="00D12099" w:rsidRPr="00F81968">
          <w:rPr>
            <w:b/>
            <w:bCs/>
          </w:rPr>
          <w:fldChar w:fldCharType="begin"/>
        </w:r>
        <w:r w:rsidR="00D12099" w:rsidRPr="00F81968">
          <w:rPr>
            <w:b/>
            <w:bCs/>
          </w:rPr>
          <w:instrText xml:space="preserve"> PAGE  \* Arabic </w:instrText>
        </w:r>
        <w:r w:rsidR="00D12099" w:rsidRPr="00F81968">
          <w:rPr>
            <w:b/>
            <w:bCs/>
          </w:rPr>
          <w:fldChar w:fldCharType="separate"/>
        </w:r>
        <w:r w:rsidR="00D12099" w:rsidRPr="00F81968">
          <w:rPr>
            <w:b/>
            <w:bCs/>
          </w:rPr>
          <w:t>18</w:t>
        </w:r>
        <w:r w:rsidR="00D12099" w:rsidRPr="00F81968">
          <w:rPr>
            <w:b/>
            <w:bCs/>
          </w:rPr>
          <w:fldChar w:fldCharType="end"/>
        </w:r>
      </w:sdtContent>
    </w:sdt>
    <w:r w:rsidR="00D12099">
      <w:rPr>
        <w:noProof/>
      </w:rPr>
      <mc:AlternateContent>
        <mc:Choice Requires="wps">
          <w:drawing>
            <wp:anchor distT="0" distB="0" distL="114300" distR="114300" simplePos="0" relativeHeight="251796523" behindDoc="0" locked="0" layoutInCell="1" allowOverlap="1" wp14:anchorId="0A08BFB2" wp14:editId="0CAECCBC">
              <wp:simplePos x="0" y="0"/>
              <wp:positionH relativeFrom="column">
                <wp:posOffset>-20320</wp:posOffset>
              </wp:positionH>
              <wp:positionV relativeFrom="paragraph">
                <wp:posOffset>228658</wp:posOffset>
              </wp:positionV>
              <wp:extent cx="6492875" cy="0"/>
              <wp:effectExtent l="0" t="0" r="9525" b="12700"/>
              <wp:wrapNone/>
              <wp:docPr id="499" name="Straight Connector 499"/>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DF423" id="Straight Connector 499" o:spid="_x0000_s1026" style="position:absolute;z-index:251796523;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182411983"/>
      <w:docPartObj>
        <w:docPartGallery w:val="Page Numbers (Top of Page)"/>
        <w:docPartUnique/>
      </w:docPartObj>
    </w:sdtPr>
    <w:sdtEndPr>
      <w:rPr>
        <w:b/>
        <w:bCs/>
        <w:sz w:val="16"/>
      </w:rPr>
    </w:sdtEndPr>
    <w:sdtContent>
      <w:p w14:paraId="7F736F79" w14:textId="77777777" w:rsidR="00D12099" w:rsidRPr="002B0D82" w:rsidRDefault="00D12099" w:rsidP="00D12099">
        <w:pPr>
          <w:pStyle w:val="FooterDocDescription"/>
          <w:rPr>
            <w:rFonts w:eastAsia="VIC" w:cs="VIC"/>
            <w:sz w:val="22"/>
          </w:rPr>
        </w:pPr>
        <w:r>
          <w:rPr>
            <w:noProof/>
          </w:rPr>
          <mc:AlternateContent>
            <mc:Choice Requires="wps">
              <w:drawing>
                <wp:anchor distT="0" distB="0" distL="114300" distR="114300" simplePos="0" relativeHeight="251798571" behindDoc="0" locked="0" layoutInCell="1" allowOverlap="1" wp14:anchorId="1642CF8F" wp14:editId="1C215879">
                  <wp:simplePos x="0" y="0"/>
                  <wp:positionH relativeFrom="column">
                    <wp:posOffset>5229860</wp:posOffset>
                  </wp:positionH>
                  <wp:positionV relativeFrom="paragraph">
                    <wp:posOffset>-116782</wp:posOffset>
                  </wp:positionV>
                  <wp:extent cx="1334135" cy="110998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74D00AEE" w14:textId="77777777" w:rsidR="00D12099" w:rsidRDefault="00D12099" w:rsidP="00D12099">
                              <w:pPr>
                                <w:ind w:left="-113"/>
                              </w:pPr>
                              <w:r>
                                <w:rPr>
                                  <w:noProof/>
                                </w:rPr>
                                <w:drawing>
                                  <wp:inline distT="0" distB="0" distL="0" distR="0" wp14:anchorId="6C403CC7" wp14:editId="776882EB">
                                    <wp:extent cx="1290939" cy="7033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CF8F" id="_x0000_t202" coordsize="21600,21600" o:spt="202" path="m,l,21600r21600,l21600,xe">
                  <v:stroke joinstyle="miter"/>
                  <v:path gradientshapeok="t" o:connecttype="rect"/>
                </v:shapetype>
                <v:shape id="Text Box 501" o:spid="_x0000_s1044" type="#_x0000_t202" style="position:absolute;margin-left:411.8pt;margin-top:-9.2pt;width:105.05pt;height:87.4pt;z-index:25179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JsGw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4LOj4tsoHygPtZ6Kl3hi9rnGHF&#10;nH9lFrnGlVC//gUPqQB7wdGipAL762//QzxSgF5KWtROQd3PHbOCEvVDIznTbDwOYouX8eTbEC/2&#10;2rO59uhd8wgozwxfiuHRDPFenUxpoflAmS9CV3QxzbF3Qf3JfPS9ovGZcLFYxCCUl2F+pdeGh9IB&#10;1YDwW/fBrDnS4JHBZzipjOWf2Ohjez4WOw+yjlQFnHtUj/CjNCODx2cUtH99j1GXxz7/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AQ5MmwbAgAANAQAAA4AAAAAAAAAAAAAAAAALgIAAGRycy9lMm9Eb2MueG1s&#10;UEsBAi0AFAAGAAgAAAAhAFkhQPnkAAAADAEAAA8AAAAAAAAAAAAAAAAAdQQAAGRycy9kb3ducmV2&#10;LnhtbFBLBQYAAAAABAAEAPMAAACGBQAAAAA=&#10;" filled="f" stroked="f" strokeweight=".5pt">
                  <v:textbox>
                    <w:txbxContent>
                      <w:p w14:paraId="74D00AEE" w14:textId="77777777" w:rsidR="00D12099" w:rsidRDefault="00D12099" w:rsidP="00D12099">
                        <w:pPr>
                          <w:ind w:left="-113"/>
                        </w:pPr>
                        <w:r>
                          <w:rPr>
                            <w:noProof/>
                          </w:rPr>
                          <w:drawing>
                            <wp:inline distT="0" distB="0" distL="0" distR="0" wp14:anchorId="6C403CC7" wp14:editId="776882EB">
                              <wp:extent cx="1290939" cy="7033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0A8869C6" w14:textId="77777777" w:rsidR="00D12099" w:rsidRDefault="00D12099" w:rsidP="00D12099">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45</w:t>
        </w:r>
        <w:r w:rsidRPr="00FF6807">
          <w:rPr>
            <w:rFonts w:ascii="VIC SemiBold" w:hAnsi="VIC SemiBold"/>
            <w:b/>
            <w:bCs/>
            <w:szCs w:val="16"/>
          </w:rPr>
          <w:fldChar w:fldCharType="end"/>
        </w:r>
      </w:p>
    </w:sdtContent>
  </w:sdt>
  <w:p w14:paraId="419C26F6" w14:textId="50B8F4AE" w:rsidR="00D12099" w:rsidRPr="00D12099" w:rsidRDefault="00D12099" w:rsidP="00D12099">
    <w:pPr>
      <w:pStyle w:val="Footertext"/>
      <w:rPr>
        <w:b/>
        <w:bCs/>
      </w:rPr>
    </w:pPr>
    <w:r>
      <w:rPr>
        <w:noProof/>
      </w:rPr>
      <mc:AlternateContent>
        <mc:Choice Requires="wps">
          <w:drawing>
            <wp:anchor distT="0" distB="0" distL="114300" distR="114300" simplePos="0" relativeHeight="251799595" behindDoc="0" locked="0" layoutInCell="1" allowOverlap="1" wp14:anchorId="464BE449" wp14:editId="6881A58D">
              <wp:simplePos x="0" y="0"/>
              <wp:positionH relativeFrom="column">
                <wp:posOffset>-20320</wp:posOffset>
              </wp:positionH>
              <wp:positionV relativeFrom="paragraph">
                <wp:posOffset>228658</wp:posOffset>
              </wp:positionV>
              <wp:extent cx="6492875" cy="0"/>
              <wp:effectExtent l="0" t="0" r="9525" b="12700"/>
              <wp:wrapNone/>
              <wp:docPr id="502" name="Straight Connector 502"/>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64002" id="Straight Connector 502" o:spid="_x0000_s1026" style="position:absolute;z-index:251799595;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8C51" w14:textId="66A3B5AC" w:rsidR="00A53CDD" w:rsidRPr="000D3C11" w:rsidRDefault="00A53CDD" w:rsidP="000D3C11">
    <w:pPr>
      <w:rPr>
        <w:color w:val="003F72"/>
        <w:sz w:val="24"/>
        <w:szCs w:val="24"/>
      </w:rPr>
    </w:pPr>
  </w:p>
  <w:p w14:paraId="7A3CEBFE" w14:textId="77777777" w:rsidR="00A53CDD" w:rsidRDefault="00A53CD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715B" w14:textId="77777777" w:rsidR="007127E9" w:rsidRPr="000D3C11" w:rsidRDefault="007127E9" w:rsidP="000D3C11">
    <w:pPr>
      <w:rPr>
        <w:color w:val="003F72"/>
        <w:sz w:val="24"/>
        <w:szCs w:val="24"/>
      </w:rPr>
    </w:pPr>
  </w:p>
  <w:p w14:paraId="14FB86AE" w14:textId="77777777" w:rsidR="007127E9" w:rsidRDefault="00712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9EB84" w14:textId="77777777" w:rsidR="00D417A7" w:rsidRDefault="00D417A7" w:rsidP="00465F93">
      <w:r>
        <w:separator/>
      </w:r>
    </w:p>
    <w:p w14:paraId="7C2CE91D" w14:textId="77777777" w:rsidR="00D417A7" w:rsidRDefault="00D417A7" w:rsidP="00465F93"/>
    <w:p w14:paraId="61F7E648" w14:textId="77777777" w:rsidR="00D417A7" w:rsidRDefault="00D417A7"/>
    <w:p w14:paraId="7E4A55F5" w14:textId="77777777" w:rsidR="00D417A7" w:rsidRDefault="00D417A7"/>
  </w:footnote>
  <w:footnote w:type="continuationSeparator" w:id="0">
    <w:p w14:paraId="51469CC2" w14:textId="77777777" w:rsidR="00D417A7" w:rsidRDefault="00D417A7" w:rsidP="00465F93">
      <w:r>
        <w:continuationSeparator/>
      </w:r>
    </w:p>
    <w:p w14:paraId="1CF88EA7" w14:textId="77777777" w:rsidR="00D417A7" w:rsidRDefault="00D417A7" w:rsidP="00465F93"/>
    <w:p w14:paraId="06855DC9" w14:textId="77777777" w:rsidR="00D417A7" w:rsidRDefault="00D417A7"/>
    <w:p w14:paraId="456B9593" w14:textId="77777777" w:rsidR="00D417A7" w:rsidRDefault="00D417A7"/>
  </w:footnote>
  <w:footnote w:type="continuationNotice" w:id="1">
    <w:p w14:paraId="4024B93A" w14:textId="77777777" w:rsidR="00D417A7" w:rsidRDefault="00D417A7" w:rsidP="00465F93"/>
    <w:p w14:paraId="5BE2BD10" w14:textId="77777777" w:rsidR="00D417A7" w:rsidRDefault="00D417A7"/>
    <w:p w14:paraId="247BE43C" w14:textId="77777777" w:rsidR="00D417A7" w:rsidRDefault="00D41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9B98" w14:textId="6CCF3D6F" w:rsidR="00E26E17" w:rsidRPr="006F680E" w:rsidRDefault="00E26E17" w:rsidP="00E26E17">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CF24" w14:textId="30895E96" w:rsidR="00155886" w:rsidRDefault="001558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D2DE" w14:textId="1609CA21" w:rsidR="00A53CDD" w:rsidRDefault="00155886"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7216" behindDoc="0" locked="0" layoutInCell="1" allowOverlap="1" wp14:anchorId="5E558A8F" wp14:editId="7F75C739">
              <wp:simplePos x="635" y="635"/>
              <wp:positionH relativeFrom="column">
                <wp:align>center</wp:align>
              </wp:positionH>
              <wp:positionV relativeFrom="paragraph">
                <wp:posOffset>635</wp:posOffset>
              </wp:positionV>
              <wp:extent cx="443865" cy="443865"/>
              <wp:effectExtent l="0" t="0" r="16510" b="16510"/>
              <wp:wrapSquare wrapText="bothSides"/>
              <wp:docPr id="483" name="Text Box 48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54FD9" w14:textId="48A51079"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558A8F" id="_x0000_t202" coordsize="21600,21600" o:spt="202" path="m,l,21600r21600,l21600,xe">
              <v:stroke joinstyle="miter"/>
              <v:path gradientshapeok="t" o:connecttype="rect"/>
            </v:shapetype>
            <v:shape id="Text Box 483" o:spid="_x0000_s1046" type="#_x0000_t202" alt="OFFICIAL "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C154FD9" w14:textId="48A51079"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p w14:paraId="79463801" w14:textId="7DE1FE37" w:rsidR="00A53CDD" w:rsidRPr="006F680E" w:rsidRDefault="00AB1D03" w:rsidP="006F680E">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p w14:paraId="15DF88C2" w14:textId="77777777" w:rsidR="00A53CDD" w:rsidRDefault="00A53CD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8DFB" w14:textId="2B90CC6C" w:rsidR="00155886" w:rsidRDefault="00155886">
    <w:pPr>
      <w:pStyle w:val="Header"/>
    </w:pPr>
    <w:r>
      <w:rPr>
        <w:noProof/>
      </w:rPr>
      <mc:AlternateContent>
        <mc:Choice Requires="wps">
          <w:drawing>
            <wp:anchor distT="0" distB="0" distL="0" distR="0" simplePos="0" relativeHeight="251659264" behindDoc="0" locked="0" layoutInCell="1" allowOverlap="1" wp14:anchorId="399CEE8D" wp14:editId="2873929F">
              <wp:simplePos x="635" y="635"/>
              <wp:positionH relativeFrom="column">
                <wp:align>center</wp:align>
              </wp:positionH>
              <wp:positionV relativeFrom="paragraph">
                <wp:posOffset>635</wp:posOffset>
              </wp:positionV>
              <wp:extent cx="443865" cy="443865"/>
              <wp:effectExtent l="0" t="0" r="16510" b="16510"/>
              <wp:wrapSquare wrapText="bothSides"/>
              <wp:docPr id="486" name="Text Box 48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D50FF" w14:textId="3F2924B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9CEE8D" id="_x0000_t202" coordsize="21600,21600" o:spt="202" path="m,l,21600r21600,l21600,xe">
              <v:stroke joinstyle="miter"/>
              <v:path gradientshapeok="t" o:connecttype="rect"/>
            </v:shapetype>
            <v:shape id="Text Box 486" o:spid="_x0000_s1047" type="#_x0000_t202" alt="OFFICIAL "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664D50FF" w14:textId="3F2924B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098A" w14:textId="20FE5BC3" w:rsidR="00155886" w:rsidRDefault="001558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AD78" w14:textId="24857EFF" w:rsidR="00155886" w:rsidRPr="00E6184A" w:rsidRDefault="00000000" w:rsidP="00E6184A">
    <w:pPr>
      <w:pStyle w:val="Header"/>
      <w:pBdr>
        <w:bottom w:val="single" w:sz="4" w:space="1" w:color="003F72"/>
      </w:pBdr>
      <w:rPr>
        <w:color w:val="003F72"/>
        <w:sz w:val="24"/>
        <w:szCs w:val="24"/>
      </w:rPr>
    </w:pPr>
    <w:r>
      <w:rPr>
        <w:noProof/>
      </w:rPr>
      <w:pict w14:anchorId="702D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81.85pt;height:192.75pt;z-index:-25152405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Pr>
        <w:noProof/>
      </w:rPr>
      <w:pict w14:anchorId="288734AD">
        <v:shape id="_x0000_s1025" type="#_x0000_t136" alt="" style="position:absolute;margin-left:0;margin-top:0;width:481.85pt;height:192.75pt;z-index:-2515230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E6184A">
      <w:rPr>
        <w:color w:val="003F72"/>
        <w:sz w:val="24"/>
        <w:szCs w:val="24"/>
      </w:rPr>
      <w:t>Guidance for environmental and human health risk assessment of wastewater discharges to surface waters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CA6C" w14:textId="77777777" w:rsidR="008B6D18" w:rsidRDefault="008B6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D95A" w14:textId="6574B353" w:rsidR="00155886" w:rsidRPr="00412FE9" w:rsidRDefault="00412FE9" w:rsidP="00412FE9">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6162" w14:textId="1D1CCC72" w:rsidR="00155886" w:rsidRPr="00A96658" w:rsidRDefault="00155886" w:rsidP="00A96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3B85" w14:textId="12AC6A30" w:rsidR="00155886" w:rsidRPr="00664A77" w:rsidRDefault="00664A77" w:rsidP="00664A77">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9295" w14:textId="53AF1A34" w:rsidR="00155886" w:rsidRDefault="00155886">
    <w:pPr>
      <w:pStyle w:val="Header"/>
    </w:pPr>
    <w:r>
      <w:rPr>
        <w:noProof/>
      </w:rPr>
      <mc:AlternateContent>
        <mc:Choice Requires="wps">
          <w:drawing>
            <wp:anchor distT="0" distB="0" distL="0" distR="0" simplePos="0" relativeHeight="251646976" behindDoc="0" locked="0" layoutInCell="1" allowOverlap="1" wp14:anchorId="26047269" wp14:editId="32775875">
              <wp:simplePos x="635" y="635"/>
              <wp:positionH relativeFrom="column">
                <wp:align>center</wp:align>
              </wp:positionH>
              <wp:positionV relativeFrom="paragraph">
                <wp:posOffset>635</wp:posOffset>
              </wp:positionV>
              <wp:extent cx="443865" cy="443865"/>
              <wp:effectExtent l="0" t="0" r="16510" b="16510"/>
              <wp:wrapSquare wrapText="bothSides"/>
              <wp:docPr id="459" name="Text Box 45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5DBA7" w14:textId="4BE8865C"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047269" id="_x0000_t202" coordsize="21600,21600" o:spt="202" path="m,l,21600r21600,l21600,xe">
              <v:stroke joinstyle="miter"/>
              <v:path gradientshapeok="t" o:connecttype="rect"/>
            </v:shapetype>
            <v:shape id="Text Box 459" o:spid="_x0000_s1043" type="#_x0000_t202" alt="OFFICIAL " style="position:absolute;margin-left:0;margin-top:.05pt;width:34.95pt;height:34.95pt;z-index:2516469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EA5DBA7" w14:textId="4BE8865C"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8EB6" w14:textId="143825AC" w:rsidR="00155886" w:rsidRPr="00D5215D" w:rsidRDefault="00000000" w:rsidP="00D5215D">
    <w:pPr>
      <w:pStyle w:val="Header"/>
      <w:pBdr>
        <w:bottom w:val="single" w:sz="4" w:space="1" w:color="003F72"/>
      </w:pBdr>
      <w:rPr>
        <w:color w:val="003F72"/>
        <w:sz w:val="24"/>
        <w:szCs w:val="24"/>
      </w:rPr>
    </w:pPr>
    <w:r>
      <w:rPr>
        <w:noProof/>
      </w:rPr>
      <w:pict w14:anchorId="317E3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81.85pt;height:192.75pt;z-index:-25155784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D5215D">
      <w:rPr>
        <w:color w:val="003F72"/>
        <w:sz w:val="24"/>
        <w:szCs w:val="24"/>
      </w:rPr>
      <w:t>Guidance for environmental and human health risk assessment of wastewater discharges to surface waters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DA51" w14:textId="60118559" w:rsidR="00155886" w:rsidRPr="00A32536" w:rsidRDefault="00000000" w:rsidP="00A32536">
    <w:pPr>
      <w:pStyle w:val="Header"/>
      <w:pBdr>
        <w:bottom w:val="single" w:sz="4" w:space="1" w:color="003F72"/>
      </w:pBdr>
      <w:rPr>
        <w:color w:val="003F72"/>
        <w:sz w:val="24"/>
        <w:szCs w:val="24"/>
      </w:rPr>
    </w:pPr>
    <w:r>
      <w:rPr>
        <w:noProof/>
      </w:rPr>
      <w:pict w14:anchorId="5BCBD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81.85pt;height:192.75pt;z-index:-25154965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A32536">
      <w:rPr>
        <w:color w:val="003F72"/>
        <w:sz w:val="24"/>
        <w:szCs w:val="24"/>
      </w:rPr>
      <w:t>Guidance for environmental and human health risk assessment of wastewater discharges to surface waters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61C8" w14:textId="1BFE14F6" w:rsidR="00155886" w:rsidRDefault="00155886">
    <w:pPr>
      <w:pStyle w:val="Header"/>
    </w:pPr>
    <w:r>
      <w:rPr>
        <w:noProof/>
      </w:rPr>
      <mc:AlternateContent>
        <mc:Choice Requires="wps">
          <w:drawing>
            <wp:anchor distT="0" distB="0" distL="0" distR="0" simplePos="0" relativeHeight="251653120" behindDoc="0" locked="0" layoutInCell="1" allowOverlap="1" wp14:anchorId="391ED8F5" wp14:editId="2F2EAB14">
              <wp:simplePos x="635" y="635"/>
              <wp:positionH relativeFrom="column">
                <wp:align>center</wp:align>
              </wp:positionH>
              <wp:positionV relativeFrom="paragraph">
                <wp:posOffset>635</wp:posOffset>
              </wp:positionV>
              <wp:extent cx="443865" cy="443865"/>
              <wp:effectExtent l="0" t="0" r="16510" b="16510"/>
              <wp:wrapSquare wrapText="bothSides"/>
              <wp:docPr id="474" name="Text Box 47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CF0CC" w14:textId="577E9BD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ED8F5" id="_x0000_t202" coordsize="21600,21600" o:spt="202" path="m,l,21600r21600,l21600,xe">
              <v:stroke joinstyle="miter"/>
              <v:path gradientshapeok="t" o:connecttype="rect"/>
            </v:shapetype>
            <v:shape id="Text Box 474" o:spid="_x0000_s1045" type="#_x0000_t202" alt="OFFICIAL " style="position:absolute;margin-left:0;margin-top:.05pt;width:34.95pt;height:34.95pt;z-index:2516531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3C0CF0CC" w14:textId="577E9BD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Xm1U5ErUR09TW" int2:id="/36qoIRP">
      <int2:state int2:value="Rejected" int2:type="LegacyProofing"/>
    </int2:textHash>
    <int2:textHash int2:hashCode="krIvad7k2u8+6w" int2:id="/vprIxMu">
      <int2:state int2:value="Rejected" int2:type="LegacyProofing"/>
    </int2:textHash>
    <int2:textHash int2:hashCode="3G/DyiIC0EqQQ8" int2:id="/xvjApVW">
      <int2:state int2:value="Rejected" int2:type="AugLoop_Text_Critique"/>
    </int2:textHash>
    <int2:textHash int2:hashCode="B3Z0F7HET/EMgg" int2:id="0CjPk67E">
      <int2:state int2:value="Rejected" int2:type="LegacyProofing"/>
    </int2:textHash>
    <int2:textHash int2:hashCode="WKhmD5lalA2mZ1" int2:id="0X8a80h8">
      <int2:state int2:value="Rejected" int2:type="LegacyProofing"/>
    </int2:textHash>
    <int2:textHash int2:hashCode="3Yv65kNhq2Hr94" int2:id="1mcBMgFl">
      <int2:state int2:value="Rejected" int2:type="LegacyProofing"/>
    </int2:textHash>
    <int2:textHash int2:hashCode="ihf5lYdn2y0+VX" int2:id="55+eJAE9">
      <int2:state int2:value="Rejected" int2:type="LegacyProofing"/>
    </int2:textHash>
    <int2:textHash int2:hashCode="hN6B5b8f/AaH/i" int2:id="5FcBKi0N">
      <int2:state int2:value="Rejected" int2:type="LegacyProofing"/>
    </int2:textHash>
    <int2:textHash int2:hashCode="QAcorJMAfH7mA5" int2:id="5TdS8Qlz">
      <int2:state int2:value="Rejected" int2:type="LegacyProofing"/>
    </int2:textHash>
    <int2:textHash int2:hashCode="BkEeJIxcwJ8MmK" int2:id="61Djwv4S">
      <int2:state int2:value="Rejected" int2:type="AugLoop_Text_Critique"/>
    </int2:textHash>
    <int2:textHash int2:hashCode="m/C6mGJeQTWOW1" int2:id="6e+KFzQY">
      <int2:state int2:value="Rejected" int2:type="LegacyProofing"/>
    </int2:textHash>
    <int2:textHash int2:hashCode="dQXqG2YD0zDsVn" int2:id="7K/jzuYv">
      <int2:state int2:value="Rejected" int2:type="LegacyProofing"/>
    </int2:textHash>
    <int2:textHash int2:hashCode="xcgb3EeIup7nN2" int2:id="7qvNe0U3">
      <int2:state int2:value="Rejected" int2:type="LegacyProofing"/>
    </int2:textHash>
    <int2:textHash int2:hashCode="yC0bCc8yKRdh1N" int2:id="AQ1Qnrzt">
      <int2:state int2:value="Rejected" int2:type="AugLoop_Acronyms_AcronymsCritique"/>
    </int2:textHash>
    <int2:textHash int2:hashCode="Sq6XPLtfoHWmKr" int2:id="Bg0pcLDI">
      <int2:state int2:value="Rejected" int2:type="AugLoop_Acronyms_AcronymsCritique"/>
    </int2:textHash>
    <int2:textHash int2:hashCode="n2GU0BLjI1Ehk3" int2:id="D2mkYF3+">
      <int2:state int2:value="Rejected" int2:type="LegacyProofing"/>
    </int2:textHash>
    <int2:textHash int2:hashCode="2U5IeZwE3DKJ1v" int2:id="DIFnQZdR">
      <int2:state int2:value="Rejected" int2:type="LegacyProofing"/>
    </int2:textHash>
    <int2:textHash int2:hashCode="wpEpjdUAZybsXd" int2:id="DvIzxwyI">
      <int2:state int2:value="Rejected" int2:type="LegacyProofing"/>
    </int2:textHash>
    <int2:textHash int2:hashCode="ZK0DlmJgo8Jrtt" int2:id="GSmIUD+Y">
      <int2:state int2:value="Rejected" int2:type="LegacyProofing"/>
    </int2:textHash>
    <int2:textHash int2:hashCode="6eTTT+/AcuZjF3" int2:id="Gl1SgNT1">
      <int2:state int2:value="Rejected" int2:type="AugLoop_Text_Critique"/>
    </int2:textHash>
    <int2:textHash int2:hashCode="o4VLJVtGqy0hU8" int2:id="KeUfBF0m">
      <int2:state int2:value="Rejected" int2:type="LegacyProofing"/>
    </int2:textHash>
    <int2:textHash int2:hashCode="7jRrErAuNMPUFS" int2:id="Lr8GTjhy">
      <int2:state int2:value="Rejected" int2:type="LegacyProofing"/>
    </int2:textHash>
    <int2:textHash int2:hashCode="8ZBXv7gbQZ3iRN" int2:id="MQeljz3a">
      <int2:state int2:value="Rejected" int2:type="AugLoop_Acronyms_AcronymsCritique"/>
    </int2:textHash>
    <int2:textHash int2:hashCode="RzP2BBliNPGAVL" int2:id="MSHOviEy">
      <int2:state int2:value="Rejected" int2:type="LegacyProofing"/>
    </int2:textHash>
    <int2:textHash int2:hashCode="D5lXKKx0izVOop" int2:id="OwAHQor/">
      <int2:state int2:value="Rejected" int2:type="LegacyProofing"/>
    </int2:textHash>
    <int2:textHash int2:hashCode="R2LPjaxTt1ZFPq" int2:id="P1HK0tPp">
      <int2:state int2:value="Rejected" int2:type="LegacyProofing"/>
    </int2:textHash>
    <int2:textHash int2:hashCode="/hKwL0Wm8L2Lqz" int2:id="Q+IYuyuM">
      <int2:state int2:value="Rejected" int2:type="AugLoop_Text_Critique"/>
    </int2:textHash>
    <int2:textHash int2:hashCode="a5nQAuEnzbso+g" int2:id="QhejBoYe">
      <int2:state int2:value="Rejected" int2:type="LegacyProofing"/>
    </int2:textHash>
    <int2:textHash int2:hashCode="padbz5NrykzB3g" int2:id="R1Z9EjrA">
      <int2:state int2:value="Rejected" int2:type="AugLoop_Text_Critique"/>
    </int2:textHash>
    <int2:textHash int2:hashCode="uIyUSC9qTHHMPh" int2:id="RxBBklAn">
      <int2:state int2:value="Rejected" int2:type="AugLoop_Text_Critique"/>
    </int2:textHash>
    <int2:textHash int2:hashCode="8n2TAUFNstjr3T" int2:id="SQXycjC9">
      <int2:state int2:value="Rejected" int2:type="LegacyProofing"/>
    </int2:textHash>
    <int2:textHash int2:hashCode="XLpTDkzgmpwU+M" int2:id="Te6R5tpw">
      <int2:state int2:value="Rejected" int2:type="AugLoop_Text_Critique"/>
    </int2:textHash>
    <int2:textHash int2:hashCode="WSTNZjn/fhBYYU" int2:id="UWT7uSu5">
      <int2:state int2:value="Rejected" int2:type="LegacyProofing"/>
    </int2:textHash>
    <int2:textHash int2:hashCode="RzxW3ZYc4sFBt/" int2:id="UjXgJb8F">
      <int2:state int2:value="Rejected" int2:type="LegacyProofing"/>
    </int2:textHash>
    <int2:textHash int2:hashCode="dwf2gSh5hno8IZ" int2:id="X/aXQQ4v">
      <int2:state int2:value="Rejected" int2:type="AugLoop_Acronyms_AcronymsCritique"/>
    </int2:textHash>
    <int2:textHash int2:hashCode="hlexz8SQfyFTvt" int2:id="XjOIIwE/">
      <int2:state int2:value="Rejected" int2:type="LegacyProofing"/>
    </int2:textHash>
    <int2:textHash int2:hashCode="kByidkXaRxGvMx" int2:id="ZGoNDv+t">
      <int2:state int2:value="Rejected" int2:type="LegacyProofing"/>
    </int2:textHash>
    <int2:textHash int2:hashCode="2bL2AtO3paL9rj" int2:id="dIQiMu8e">
      <int2:state int2:value="Rejected" int2:type="LegacyProofing"/>
    </int2:textHash>
    <int2:textHash int2:hashCode="aTHz8nUqIUlKdG" int2:id="dQV5OYYz">
      <int2:state int2:value="Rejected" int2:type="LegacyProofing"/>
    </int2:textHash>
    <int2:textHash int2:hashCode="Z7ddM7GBSvkbaB" int2:id="dy+jhydG">
      <int2:state int2:value="Rejected" int2:type="LegacyProofing"/>
    </int2:textHash>
    <int2:textHash int2:hashCode="wtKSqYmrO8qHMS" int2:id="eoKLqwl+">
      <int2:state int2:value="Rejected" int2:type="LegacyProofing"/>
    </int2:textHash>
    <int2:textHash int2:hashCode="sz4N6mKUgk+7Z/" int2:id="fkyfQXqz">
      <int2:state int2:value="Rejected" int2:type="AugLoop_Text_Critique"/>
    </int2:textHash>
    <int2:textHash int2:hashCode="FhxCN58vOqq4SL" int2:id="gvD2Zlxi">
      <int2:state int2:value="Rejected" int2:type="AugLoop_Text_Critique"/>
    </int2:textHash>
    <int2:textHash int2:hashCode="0WTp8WgsZhQGSb" int2:id="he1puTpu">
      <int2:state int2:value="Rejected" int2:type="LegacyProofing"/>
    </int2:textHash>
    <int2:textHash int2:hashCode="ReV/15Sip0Byuw" int2:id="iQWhfxlQ">
      <int2:state int2:value="Rejected" int2:type="LegacyProofing"/>
    </int2:textHash>
    <int2:textHash int2:hashCode="QWm0yjAOfq7Kwv" int2:id="jN5W5Oui">
      <int2:state int2:value="Rejected" int2:type="LegacyProofing"/>
    </int2:textHash>
    <int2:textHash int2:hashCode="s2kn4L4rOoK0wg" int2:id="k+H+RnWz">
      <int2:state int2:value="Rejected" int2:type="LegacyProofing"/>
    </int2:textHash>
    <int2:textHash int2:hashCode="QJDuXihdWjpbNw" int2:id="lhlIMN8o">
      <int2:state int2:value="Rejected" int2:type="AugLoop_Text_Critique"/>
    </int2:textHash>
    <int2:textHash int2:hashCode="5LwWlcHsauARSn" int2:id="q0Trwcz3">
      <int2:state int2:value="Rejected" int2:type="LegacyProofing"/>
    </int2:textHash>
    <int2:textHash int2:hashCode="xlQsH7DLU/MGPq" int2:id="q88E/AlU">
      <int2:state int2:value="Rejected" int2:type="LegacyProofing"/>
    </int2:textHash>
    <int2:textHash int2:hashCode="kWrc1WS1J9utQe" int2:id="rZ+25cAJ">
      <int2:state int2:value="Rejected" int2:type="LegacyProofing"/>
    </int2:textHash>
    <int2:textHash int2:hashCode="jRWvQ7f6YGXvtM" int2:id="sG4e6Bx6">
      <int2:state int2:value="Rejected" int2:type="LegacyProofing"/>
    </int2:textHash>
    <int2:textHash int2:hashCode="BC3EUS+j05HFFw" int2:id="u1QqyNJb">
      <int2:state int2:value="Rejected" int2:type="LegacyProofing"/>
    </int2:textHash>
    <int2:textHash int2:hashCode="yl7TYsfLveKqaK" int2:id="u8lOOxVC">
      <int2:state int2:value="Rejected" int2:type="LegacyProofing"/>
    </int2:textHash>
    <int2:textHash int2:hashCode="aG+z44WpgrTp0l" int2:id="uMIuvSqD">
      <int2:state int2:value="Rejected" int2:type="LegacyProofing"/>
    </int2:textHash>
    <int2:textHash int2:hashCode="LJmAVFlQX84SOh" int2:id="wjO/8D/d">
      <int2:state int2:value="Rejected" int2:type="LegacyProofing"/>
    </int2:textHash>
    <int2:textHash int2:hashCode="E6DEGq50AVA9hK" int2:id="xSosI0oi">
      <int2:state int2:value="Rejected" int2:type="LegacyProofing"/>
    </int2:textHash>
    <int2:textHash int2:hashCode="VRd/LyDcPFdCnc" int2:id="xywu6824">
      <int2:state int2:value="Rejected" int2:type="AugLoop_Text_Critique"/>
    </int2:textHash>
    <int2:textHash int2:hashCode="k9AWBj5UxxPjPB" int2:id="yUovsuq3">
      <int2:state int2:value="Rejected" int2:type="LegacyProofing"/>
    </int2:textHash>
    <int2:bookmark int2:bookmarkName="_Int_nGuGyfey" int2:invalidationBookmarkName="" int2:hashCode="mbMjsuR+veBgKn" int2:id="+/fqVge9">
      <int2:state int2:value="Rejected" int2:type="LegacyProofing"/>
    </int2:bookmark>
    <int2:bookmark int2:bookmarkName="_Int_0TKghxhw" int2:invalidationBookmarkName="" int2:hashCode="i33lLgnrOq2Y05" int2:id="+iFE64cc">
      <int2:state int2:value="Rejected" int2:type="LegacyProofing"/>
    </int2:bookmark>
    <int2:bookmark int2:bookmarkName="_Int_d/+9KtDo" int2:invalidationBookmarkName="" int2:hashCode="YbXpEgWWiZafnP" int2:id="/j5Ztopm">
      <int2:state int2:value="Rejected" int2:type="LegacyProofing"/>
    </int2:bookmark>
    <int2:bookmark int2:bookmarkName="_Int_7Q4hWvd3" int2:invalidationBookmarkName="" int2:hashCode="6tDG8LuAN6J+mk" int2:id="/yHTs3mE">
      <int2:state int2:value="Rejected" int2:type="LegacyProofing"/>
    </int2:bookmark>
    <int2:bookmark int2:bookmarkName="_Int_WXdszIcM" int2:invalidationBookmarkName="" int2:hashCode="Q3Sq7iR/sjfObJ" int2:id="1OwPOpWK">
      <int2:state int2:value="Rejected" int2:type="LegacyProofing"/>
    </int2:bookmark>
    <int2:bookmark int2:bookmarkName="_Int_b/79Ums9" int2:invalidationBookmarkName="" int2:hashCode="N2ksuQf8biTpdt" int2:id="2yMCWFYS">
      <int2:state int2:value="Rejected" int2:type="LegacyProofing"/>
    </int2:bookmark>
    <int2:bookmark int2:bookmarkName="_Int_6rhcxKPK" int2:invalidationBookmarkName="" int2:hashCode="4PsZQV+UT3S15k" int2:id="3013SvZd">
      <int2:state int2:value="Rejected" int2:type="LegacyProofing"/>
    </int2:bookmark>
    <int2:bookmark int2:bookmarkName="_Int_2bizLSZ+" int2:invalidationBookmarkName="" int2:hashCode="C1me2RWg3+Khym" int2:id="4VTetWMb">
      <int2:state int2:value="Rejected" int2:type="LegacyProofing"/>
    </int2:bookmark>
    <int2:bookmark int2:bookmarkName="_Int_zMqudxKe" int2:invalidationBookmarkName="" int2:hashCode="eG6Xs+6fxLKS1Y" int2:id="6MzmQ2SP">
      <int2:state int2:value="Rejected" int2:type="LegacyProofing"/>
    </int2:bookmark>
    <int2:bookmark int2:bookmarkName="_Int_Z53HV/at" int2:invalidationBookmarkName="" int2:hashCode="5TDK3wSTMc6obP" int2:id="7J0GK4Ha">
      <int2:state int2:value="Rejected" int2:type="LegacyProofing"/>
    </int2:bookmark>
    <int2:bookmark int2:bookmarkName="_Int_azFAV6NY" int2:invalidationBookmarkName="" int2:hashCode="+E9J9y1AYXdJy6" int2:id="7WU8ZRSw">
      <int2:state int2:value="Rejected" int2:type="LegacyProofing"/>
    </int2:bookmark>
    <int2:bookmark int2:bookmarkName="_Int_aOHi6FKN" int2:invalidationBookmarkName="" int2:hashCode="VRyAVr/dM977IK" int2:id="7zCmsaz0">
      <int2:state int2:value="Rejected" int2:type="LegacyProofing"/>
    </int2:bookmark>
    <int2:bookmark int2:bookmarkName="_Int_Id4RO9L0" int2:invalidationBookmarkName="" int2:hashCode="eSjHoFlgH5TD3c" int2:id="rWusO3q9">
      <int2:state int2:value="Rejected" int2:type="LegacyProofing"/>
    </int2:bookmark>
    <int2:bookmark int2:bookmarkName="_Int_NLPqsVi7" int2:invalidationBookmarkName="" int2:hashCode="p+LGSNyZQfOK6k" int2:id="G3wPEMvA">
      <int2:state int2:value="Rejected" int2:type="LegacyProofing"/>
    </int2:bookmark>
    <int2:bookmark int2:bookmarkName="_Int_dkrW1z6s" int2:invalidationBookmarkName="" int2:hashCode="HukPzlJ9fR3LJZ" int2:id="Hc1ohevQ">
      <int2:state int2:value="Rejected" int2:type="LegacyProofing"/>
    </int2:bookmark>
    <int2:bookmark int2:bookmarkName="_Int_J4cvquet" int2:invalidationBookmarkName="" int2:hashCode="5wZPC4D2HbxlkV" int2:id="LIMrSouW">
      <int2:state int2:value="Rejected" int2:type="LegacyProofing"/>
    </int2:bookmark>
    <int2:bookmark int2:bookmarkName="_Int_nLAgxUVx" int2:invalidationBookmarkName="" int2:hashCode="5TDK3wSTMc6obP" int2:id="M+tauaR4">
      <int2:state int2:value="Rejected" int2:type="LegacyProofing"/>
    </int2:bookmark>
    <int2:bookmark int2:bookmarkName="_Int_f5cO7XvR" int2:invalidationBookmarkName="" int2:hashCode="5TDK3wSTMc6obP" int2:id="M5rj5YHl">
      <int2:state int2:value="Rejected" int2:type="LegacyProofing"/>
    </int2:bookmark>
    <int2:bookmark int2:bookmarkName="_Int_w+BEAfRH" int2:invalidationBookmarkName="" int2:hashCode="i33lLgnrOq2Y05" int2:id="MQb2c4Oa">
      <int2:state int2:value="Rejected" int2:type="LegacyProofing"/>
    </int2:bookmark>
    <int2:bookmark int2:bookmarkName="_Int_NUVRx5rr" int2:invalidationBookmarkName="" int2:hashCode="Isi6cQgeyGc+/M" int2:id="NxKolabN">
      <int2:state int2:value="Rejected" int2:type="LegacyProofing"/>
    </int2:bookmark>
    <int2:bookmark int2:bookmarkName="_Int_2Ykg2b7r" int2:invalidationBookmarkName="" int2:hashCode="weF1PMjUS/U3OP" int2:id="QcsERwnU">
      <int2:state int2:value="Rejected" int2:type="LegacyProofing"/>
    </int2:bookmark>
    <int2:bookmark int2:bookmarkName="_Int_8gP+LSSt" int2:invalidationBookmarkName="" int2:hashCode="5TDK3wSTMc6obP" int2:id="RIEk40Lf">
      <int2:state int2:value="Rejected" int2:type="LegacyProofing"/>
    </int2:bookmark>
    <int2:bookmark int2:bookmarkName="_Int_v8jQJVDs" int2:invalidationBookmarkName="" int2:hashCode="5TDK3wSTMc6obP" int2:id="zdIu1i7M">
      <int2:state int2:value="Rejected" int2:type="LegacyProofing"/>
    </int2:bookmark>
    <int2:bookmark int2:bookmarkName="_Int_Wz+zT4yJ" int2:invalidationBookmarkName="" int2:hashCode="g0s08W9FHgDyaN" int2:id="T0vOAdIq">
      <int2:state int2:value="Rejected" int2:type="LegacyProofing"/>
    </int2:bookmark>
    <int2:bookmark int2:bookmarkName="_Int_nXjNTxFS" int2:invalidationBookmarkName="" int2:hashCode="unqCqYGcWhwZqP" int2:id="TUbd60wN">
      <int2:state int2:value="Rejected" int2:type="LegacyProofing"/>
    </int2:bookmark>
    <int2:bookmark int2:bookmarkName="_Int_jvh+gvVA" int2:invalidationBookmarkName="" int2:hashCode="uvQ/j4FWdCvc2I" int2:id="r2mMqF6E">
      <int2:state int2:value="Rejected" int2:type="LegacyProofing"/>
    </int2:bookmark>
    <int2:bookmark int2:bookmarkName="_Int_8rEHBmg/" int2:invalidationBookmarkName="" int2:hashCode="i33lLgnrOq2Y05" int2:id="UDTskeCV">
      <int2:state int2:value="Rejected" int2:type="LegacyProofing"/>
    </int2:bookmark>
    <int2:bookmark int2:bookmarkName="_Int_rHTTCG2m" int2:invalidationBookmarkName="" int2:hashCode="i33lLgnrOq2Y05" int2:id="WWiz44eO">
      <int2:state int2:value="Rejected" int2:type="LegacyProofing"/>
    </int2:bookmark>
    <int2:bookmark int2:bookmarkName="_Int_4aHVUOsl" int2:invalidationBookmarkName="" int2:hashCode="2A2rOR09dHUEeA" int2:id="v7Hdzp9Q">
      <int2:state int2:value="Rejected" int2:type="LegacyProofing"/>
    </int2:bookmark>
    <int2:bookmark int2:bookmarkName="_Int_NDh8sgsv" int2:invalidationBookmarkName="" int2:hashCode="i33lLgnrOq2Y05" int2:id="Xo+p0vCU">
      <int2:state int2:value="Rejected" int2:type="LegacyProofing"/>
    </int2:bookmark>
    <int2:bookmark int2:bookmarkName="_Int_kkkk3Yb/" int2:invalidationBookmarkName="" int2:hashCode="2HxEgETe+3ePMx" int2:id="bjXc3tyh">
      <int2:state int2:value="Rejected" int2:type="LegacyProofing"/>
    </int2:bookmark>
    <int2:bookmark int2:bookmarkName="_Int_ByZe7pCk" int2:invalidationBookmarkName="" int2:hashCode="z/pQoyyxOiQNcF" int2:id="eW8xyog2">
      <int2:state int2:value="Rejected" int2:type="LegacyProofing"/>
    </int2:bookmark>
    <int2:bookmark int2:bookmarkName="_Int_IWWklyqK" int2:invalidationBookmarkName="" int2:hashCode="+WvL9CKvBWZZ0H" int2:id="f385+S+b">
      <int2:state int2:value="Rejected" int2:type="LegacyProofing"/>
    </int2:bookmark>
    <int2:bookmark int2:bookmarkName="_Int_yfycPMKl" int2:invalidationBookmarkName="" int2:hashCode="NOAMtpb+yS0iS8" int2:id="fCXC0ZCt">
      <int2:state int2:value="Rejected" int2:type="LegacyProofing"/>
    </int2:bookmark>
    <int2:bookmark int2:bookmarkName="_Int_SGuGuFq/" int2:invalidationBookmarkName="" int2:hashCode="i33lLgnrOq2Y05" int2:id="fDsOLcQb">
      <int2:state int2:value="Rejected" int2:type="LegacyProofing"/>
    </int2:bookmark>
    <int2:bookmark int2:bookmarkName="_Int_uqTveABJ" int2:invalidationBookmarkName="" int2:hashCode="8L8rEIgb3PCc3R" int2:id="fT+xezSZ">
      <int2:state int2:value="Rejected" int2:type="LegacyProofing"/>
    </int2:bookmark>
    <int2:bookmark int2:bookmarkName="_Int_en9qgA+p" int2:invalidationBookmarkName="" int2:hashCode="u8zfLvsztS5snQ" int2:id="g8wERKE7">
      <int2:state int2:value="Rejected" int2:type="LegacyProofing"/>
    </int2:bookmark>
    <int2:bookmark int2:bookmarkName="_Int_GRtF6DZT" int2:invalidationBookmarkName="" int2:hashCode="qaWBAF6WNNovtB" int2:id="igI8SjKd">
      <int2:state int2:value="Rejected" int2:type="LegacyProofing"/>
    </int2:bookmark>
    <int2:bookmark int2:bookmarkName="_Int_9m7D4Fk0" int2:invalidationBookmarkName="" int2:hashCode="5TDK3wSTMc6obP" int2:id="jWwRwQsW">
      <int2:state int2:value="Rejected" int2:type="LegacyProofing"/>
    </int2:bookmark>
    <int2:bookmark int2:bookmarkName="_Int_6ClSws3/" int2:invalidationBookmarkName="" int2:hashCode="oxXe4L0i9FJl9n" int2:id="t+W5BPpL">
      <int2:state int2:value="Rejected" int2:type="LegacyProofing"/>
    </int2:bookmark>
    <int2:bookmark int2:bookmarkName="_Int_9RvmEjRi" int2:invalidationBookmarkName="" int2:hashCode="1hg99TlJkcrVj/" int2:id="lGuecU2t">
      <int2:state int2:value="Rejected" int2:type="LegacyProofing"/>
    </int2:bookmark>
    <int2:bookmark int2:bookmarkName="_Int_qBy4hDGv" int2:invalidationBookmarkName="" int2:hashCode="TeiupOsOyqpahi" int2:id="rb9QzaYR">
      <int2:state int2:value="Rejected" int2:type="LegacyProofing"/>
    </int2:bookmark>
    <int2:bookmark int2:bookmarkName="_Int_0DEsRIL8" int2:invalidationBookmarkName="" int2:hashCode="mbMjsuR+veBgKn" int2:id="pPQPY43E">
      <int2:state int2:value="Rejected" int2:type="LegacyProofing"/>
    </int2:bookmark>
    <int2:bookmark int2:bookmarkName="_Int_pkZYB1pC" int2:invalidationBookmarkName="" int2:hashCode="td3W+b2HUnJGlr" int2:id="qAKKB7p1">
      <int2:state int2:value="Rejected" int2:type="LegacyProofing"/>
    </int2:bookmark>
    <int2:bookmark int2:bookmarkName="_Int_WopMnhQy" int2:invalidationBookmarkName="" int2:hashCode="6eqe0XVkBObQ+h" int2:id="qS47Hswy">
      <int2:state int2:value="Rejected" int2:type="LegacyProofing"/>
    </int2:bookmark>
    <int2:bookmark int2:bookmarkName="_Int_DY3NVEaU" int2:invalidationBookmarkName="" int2:hashCode="Q3Sq7iR/sjfObJ" int2:id="qs4m4+P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42601B"/>
    <w:multiLevelType w:val="hybridMultilevel"/>
    <w:tmpl w:val="90E2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34737"/>
    <w:multiLevelType w:val="hybridMultilevel"/>
    <w:tmpl w:val="94D6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7F90"/>
    <w:multiLevelType w:val="hybridMultilevel"/>
    <w:tmpl w:val="023C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43575"/>
    <w:multiLevelType w:val="hybridMultilevel"/>
    <w:tmpl w:val="FAC281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AC18A8"/>
    <w:multiLevelType w:val="hybridMultilevel"/>
    <w:tmpl w:val="36526762"/>
    <w:lvl w:ilvl="0" w:tplc="DB947A18">
      <w:start w:val="1"/>
      <w:numFmt w:val="bullet"/>
      <w:lvlText w:val=""/>
      <w:lvlJc w:val="left"/>
      <w:pPr>
        <w:ind w:left="1080" w:hanging="720"/>
      </w:pPr>
      <w:rPr>
        <w:rFonts w:ascii="Symbol" w:hAnsi="Symbol" w:hint="default"/>
      </w:rPr>
    </w:lvl>
    <w:lvl w:ilvl="1" w:tplc="53485EE0" w:tentative="1">
      <w:start w:val="1"/>
      <w:numFmt w:val="lowerLetter"/>
      <w:lvlText w:val="%2."/>
      <w:lvlJc w:val="left"/>
      <w:pPr>
        <w:ind w:left="1440" w:hanging="360"/>
      </w:pPr>
    </w:lvl>
    <w:lvl w:ilvl="2" w:tplc="464E97DC" w:tentative="1">
      <w:start w:val="1"/>
      <w:numFmt w:val="lowerRoman"/>
      <w:lvlText w:val="%3."/>
      <w:lvlJc w:val="right"/>
      <w:pPr>
        <w:ind w:left="2160" w:hanging="180"/>
      </w:pPr>
    </w:lvl>
    <w:lvl w:ilvl="3" w:tplc="6B2CCEDC" w:tentative="1">
      <w:start w:val="1"/>
      <w:numFmt w:val="decimal"/>
      <w:lvlText w:val="%4."/>
      <w:lvlJc w:val="left"/>
      <w:pPr>
        <w:ind w:left="2880" w:hanging="360"/>
      </w:pPr>
    </w:lvl>
    <w:lvl w:ilvl="4" w:tplc="846E0F46" w:tentative="1">
      <w:start w:val="1"/>
      <w:numFmt w:val="lowerLetter"/>
      <w:lvlText w:val="%5."/>
      <w:lvlJc w:val="left"/>
      <w:pPr>
        <w:ind w:left="3600" w:hanging="360"/>
      </w:pPr>
    </w:lvl>
    <w:lvl w:ilvl="5" w:tplc="76169744" w:tentative="1">
      <w:start w:val="1"/>
      <w:numFmt w:val="lowerRoman"/>
      <w:lvlText w:val="%6."/>
      <w:lvlJc w:val="right"/>
      <w:pPr>
        <w:ind w:left="4320" w:hanging="180"/>
      </w:pPr>
    </w:lvl>
    <w:lvl w:ilvl="6" w:tplc="B99410E4" w:tentative="1">
      <w:start w:val="1"/>
      <w:numFmt w:val="decimal"/>
      <w:lvlText w:val="%7."/>
      <w:lvlJc w:val="left"/>
      <w:pPr>
        <w:ind w:left="5040" w:hanging="360"/>
      </w:pPr>
    </w:lvl>
    <w:lvl w:ilvl="7" w:tplc="51D00AAA" w:tentative="1">
      <w:start w:val="1"/>
      <w:numFmt w:val="lowerLetter"/>
      <w:lvlText w:val="%8."/>
      <w:lvlJc w:val="left"/>
      <w:pPr>
        <w:ind w:left="5760" w:hanging="360"/>
      </w:pPr>
    </w:lvl>
    <w:lvl w:ilvl="8" w:tplc="559A787E" w:tentative="1">
      <w:start w:val="1"/>
      <w:numFmt w:val="lowerRoman"/>
      <w:lvlText w:val="%9."/>
      <w:lvlJc w:val="right"/>
      <w:pPr>
        <w:ind w:left="6480" w:hanging="180"/>
      </w:pPr>
    </w:lvl>
  </w:abstractNum>
  <w:abstractNum w:abstractNumId="7" w15:restartNumberingAfterBreak="0">
    <w:nsid w:val="17235E8B"/>
    <w:multiLevelType w:val="hybridMultilevel"/>
    <w:tmpl w:val="3AB0D486"/>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1D5F69CC"/>
    <w:multiLevelType w:val="multilevel"/>
    <w:tmpl w:val="AAD071A8"/>
    <w:styleLink w:val="Numberedheadinglevel114ptlevel212pt"/>
    <w:lvl w:ilvl="0">
      <w:start w:val="1"/>
      <w:numFmt w:val="decimal"/>
      <w:pStyle w:val="Heading1"/>
      <w:lvlText w:val="%1."/>
      <w:lvlJc w:val="left"/>
      <w:pPr>
        <w:ind w:left="360" w:hanging="360"/>
      </w:pPr>
      <w:rPr>
        <w:rFonts w:ascii="VIC Medium" w:hAnsi="VIC Medium"/>
        <w:color w:val="003F72"/>
        <w:sz w:val="28"/>
      </w:rPr>
    </w:lvl>
    <w:lvl w:ilvl="1">
      <w:start w:val="1"/>
      <w:numFmt w:val="decimal"/>
      <w:pStyle w:val="Heading2"/>
      <w:lvlText w:val="%1.%2."/>
      <w:lvlJc w:val="left"/>
      <w:pPr>
        <w:ind w:left="432" w:hanging="432"/>
      </w:pPr>
      <w:rPr>
        <w:rFonts w:ascii="VIC Medium" w:hAnsi="VIC Medium"/>
        <w:color w:val="003F72"/>
        <w:sz w:val="24"/>
      </w:rPr>
    </w:lvl>
    <w:lvl w:ilvl="2">
      <w:start w:val="1"/>
      <w:numFmt w:val="decimal"/>
      <w:pStyle w:val="Heading3"/>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9" w15:restartNumberingAfterBreak="0">
    <w:nsid w:val="23FB127D"/>
    <w:multiLevelType w:val="hybridMultilevel"/>
    <w:tmpl w:val="FC4C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6F2ABA"/>
    <w:multiLevelType w:val="hybridMultilevel"/>
    <w:tmpl w:val="25FA69A4"/>
    <w:lvl w:ilvl="0" w:tplc="B7D6FAA6">
      <w:start w:val="1"/>
      <w:numFmt w:val="bullet"/>
      <w:pStyle w:val="ListBullet"/>
      <w:lvlText w:val=""/>
      <w:lvlJc w:val="left"/>
      <w:pPr>
        <w:ind w:left="720" w:hanging="360"/>
      </w:pPr>
      <w:rPr>
        <w:rFonts w:ascii="Symbol" w:hAnsi="Symbol" w:hint="default"/>
      </w:rPr>
    </w:lvl>
    <w:lvl w:ilvl="1" w:tplc="99001FCA">
      <w:start w:val="1"/>
      <w:numFmt w:val="bullet"/>
      <w:lvlText w:val="o"/>
      <w:lvlJc w:val="left"/>
      <w:pPr>
        <w:ind w:left="1440" w:hanging="360"/>
      </w:pPr>
      <w:rPr>
        <w:rFonts w:ascii="Courier New" w:hAnsi="Courier New" w:cs="Courier New" w:hint="default"/>
      </w:rPr>
    </w:lvl>
    <w:lvl w:ilvl="2" w:tplc="C8E47946" w:tentative="1">
      <w:start w:val="1"/>
      <w:numFmt w:val="bullet"/>
      <w:lvlText w:val=""/>
      <w:lvlJc w:val="left"/>
      <w:pPr>
        <w:ind w:left="2160" w:hanging="360"/>
      </w:pPr>
      <w:rPr>
        <w:rFonts w:ascii="Wingdings" w:hAnsi="Wingdings" w:hint="default"/>
      </w:rPr>
    </w:lvl>
    <w:lvl w:ilvl="3" w:tplc="F9D4EA92" w:tentative="1">
      <w:start w:val="1"/>
      <w:numFmt w:val="bullet"/>
      <w:lvlText w:val=""/>
      <w:lvlJc w:val="left"/>
      <w:pPr>
        <w:ind w:left="2880" w:hanging="360"/>
      </w:pPr>
      <w:rPr>
        <w:rFonts w:ascii="Symbol" w:hAnsi="Symbol" w:hint="default"/>
      </w:rPr>
    </w:lvl>
    <w:lvl w:ilvl="4" w:tplc="AAF6453C" w:tentative="1">
      <w:start w:val="1"/>
      <w:numFmt w:val="bullet"/>
      <w:lvlText w:val="o"/>
      <w:lvlJc w:val="left"/>
      <w:pPr>
        <w:ind w:left="3600" w:hanging="360"/>
      </w:pPr>
      <w:rPr>
        <w:rFonts w:ascii="Courier New" w:hAnsi="Courier New" w:cs="Courier New" w:hint="default"/>
      </w:rPr>
    </w:lvl>
    <w:lvl w:ilvl="5" w:tplc="89A87316" w:tentative="1">
      <w:start w:val="1"/>
      <w:numFmt w:val="bullet"/>
      <w:lvlText w:val=""/>
      <w:lvlJc w:val="left"/>
      <w:pPr>
        <w:ind w:left="4320" w:hanging="360"/>
      </w:pPr>
      <w:rPr>
        <w:rFonts w:ascii="Wingdings" w:hAnsi="Wingdings" w:hint="default"/>
      </w:rPr>
    </w:lvl>
    <w:lvl w:ilvl="6" w:tplc="9AF084C0" w:tentative="1">
      <w:start w:val="1"/>
      <w:numFmt w:val="bullet"/>
      <w:lvlText w:val=""/>
      <w:lvlJc w:val="left"/>
      <w:pPr>
        <w:ind w:left="5040" w:hanging="360"/>
      </w:pPr>
      <w:rPr>
        <w:rFonts w:ascii="Symbol" w:hAnsi="Symbol" w:hint="default"/>
      </w:rPr>
    </w:lvl>
    <w:lvl w:ilvl="7" w:tplc="4A42286A" w:tentative="1">
      <w:start w:val="1"/>
      <w:numFmt w:val="bullet"/>
      <w:lvlText w:val="o"/>
      <w:lvlJc w:val="left"/>
      <w:pPr>
        <w:ind w:left="5760" w:hanging="360"/>
      </w:pPr>
      <w:rPr>
        <w:rFonts w:ascii="Courier New" w:hAnsi="Courier New" w:cs="Courier New" w:hint="default"/>
      </w:rPr>
    </w:lvl>
    <w:lvl w:ilvl="8" w:tplc="C8B41F68" w:tentative="1">
      <w:start w:val="1"/>
      <w:numFmt w:val="bullet"/>
      <w:lvlText w:val=""/>
      <w:lvlJc w:val="left"/>
      <w:pPr>
        <w:ind w:left="6480" w:hanging="360"/>
      </w:pPr>
      <w:rPr>
        <w:rFonts w:ascii="Wingdings" w:hAnsi="Wingdings" w:hint="default"/>
      </w:rPr>
    </w:lvl>
  </w:abstractNum>
  <w:abstractNum w:abstractNumId="11" w15:restartNumberingAfterBreak="0">
    <w:nsid w:val="2970656D"/>
    <w:multiLevelType w:val="hybridMultilevel"/>
    <w:tmpl w:val="9D6C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52F5A"/>
    <w:multiLevelType w:val="multilevel"/>
    <w:tmpl w:val="79FE7F98"/>
    <w:styleLink w:val="Style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1F0591"/>
    <w:multiLevelType w:val="hybridMultilevel"/>
    <w:tmpl w:val="55B2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5312"/>
    <w:multiLevelType w:val="hybridMultilevel"/>
    <w:tmpl w:val="5CC8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A12877"/>
    <w:multiLevelType w:val="hybridMultilevel"/>
    <w:tmpl w:val="3DAC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25CD8"/>
    <w:multiLevelType w:val="hybridMultilevel"/>
    <w:tmpl w:val="1DFE0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631F3B"/>
    <w:multiLevelType w:val="multilevel"/>
    <w:tmpl w:val="55F89080"/>
    <w:styleLink w:val="CurrentList1"/>
    <w:lvl w:ilvl="0">
      <w:start w:val="1"/>
      <w:numFmt w:val="upperLetter"/>
      <w:lvlText w:val="Appendix %1: "/>
      <w:lvlJc w:val="left"/>
      <w:pPr>
        <w:tabs>
          <w:tab w:val="num" w:pos="1277"/>
        </w:tabs>
        <w:ind w:left="1277" w:firstLine="0"/>
      </w:pPr>
      <w:rPr>
        <w:rFonts w:hint="default"/>
      </w:rPr>
    </w:lvl>
    <w:lvl w:ilvl="1">
      <w:start w:val="1"/>
      <w:numFmt w:val="decimal"/>
      <w:lvlText w:val="%1.%2."/>
      <w:lvlJc w:val="left"/>
      <w:pPr>
        <w:ind w:left="1495" w:hanging="360"/>
      </w:pPr>
      <w:rPr>
        <w:rFonts w:hint="default"/>
        <w:color w:val="003F72"/>
        <w:sz w:val="24"/>
      </w:rPr>
    </w:lvl>
    <w:lvl w:ilvl="2">
      <w:start w:val="1"/>
      <w:numFmt w:val="decimal"/>
      <w:lvlText w:val="%1.%2.%3"/>
      <w:lvlJc w:val="left"/>
      <w:pPr>
        <w:ind w:left="1855" w:hanging="720"/>
      </w:pPr>
      <w:rPr>
        <w:rFonts w:hint="default"/>
        <w:color w:val="003F72"/>
        <w:sz w:val="24"/>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18" w15:restartNumberingAfterBreak="0">
    <w:nsid w:val="39EF4A31"/>
    <w:multiLevelType w:val="hybridMultilevel"/>
    <w:tmpl w:val="BF2EF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9F6B89"/>
    <w:multiLevelType w:val="hybridMultilevel"/>
    <w:tmpl w:val="098EEC92"/>
    <w:lvl w:ilvl="0" w:tplc="0C090001">
      <w:start w:val="1"/>
      <w:numFmt w:val="decimal"/>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902CC"/>
    <w:multiLevelType w:val="hybridMultilevel"/>
    <w:tmpl w:val="E6D4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6255CA"/>
    <w:multiLevelType w:val="hybridMultilevel"/>
    <w:tmpl w:val="D860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0596A"/>
    <w:multiLevelType w:val="hybridMultilevel"/>
    <w:tmpl w:val="E7A0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E2E"/>
    <w:multiLevelType w:val="hybridMultilevel"/>
    <w:tmpl w:val="8CC4DC28"/>
    <w:lvl w:ilvl="0" w:tplc="0C090001">
      <w:start w:val="1"/>
      <w:numFmt w:val="decimal"/>
      <w:lvlText w:val="%1."/>
      <w:lvlJc w:val="left"/>
      <w:pPr>
        <w:ind w:left="1080" w:hanging="72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15:restartNumberingAfterBreak="0">
    <w:nsid w:val="494B178B"/>
    <w:multiLevelType w:val="hybridMultilevel"/>
    <w:tmpl w:val="04B037EA"/>
    <w:lvl w:ilvl="0" w:tplc="0C265094">
      <w:start w:val="1"/>
      <w:numFmt w:val="bullet"/>
      <w:pStyle w:val="Bullet1"/>
      <w:lvlText w:val=""/>
      <w:lvlJc w:val="left"/>
      <w:pPr>
        <w:tabs>
          <w:tab w:val="num" w:pos="284"/>
        </w:tabs>
        <w:ind w:left="284" w:hanging="284"/>
      </w:pPr>
      <w:rPr>
        <w:rFonts w:ascii="Symbol" w:hAnsi="Symbol" w:hint="default"/>
        <w:color w:val="464749"/>
      </w:rPr>
    </w:lvl>
    <w:lvl w:ilvl="1" w:tplc="D0EA5056">
      <w:start w:val="1"/>
      <w:numFmt w:val="bullet"/>
      <w:lvlText w:val=""/>
      <w:lvlJc w:val="left"/>
      <w:pPr>
        <w:tabs>
          <w:tab w:val="num" w:pos="567"/>
        </w:tabs>
        <w:ind w:left="567" w:hanging="283"/>
      </w:pPr>
      <w:rPr>
        <w:rFonts w:ascii="Symbol" w:hAnsi="Symbol" w:hint="default"/>
        <w:color w:val="44546A"/>
      </w:rPr>
    </w:lvl>
    <w:lvl w:ilvl="2" w:tplc="787A5E68">
      <w:start w:val="1"/>
      <w:numFmt w:val="bullet"/>
      <w:lvlText w:val=""/>
      <w:lvlJc w:val="left"/>
      <w:pPr>
        <w:tabs>
          <w:tab w:val="num" w:pos="851"/>
        </w:tabs>
        <w:ind w:left="851" w:hanging="284"/>
      </w:pPr>
      <w:rPr>
        <w:rFonts w:ascii="Symbol" w:hAnsi="Symbol" w:hint="default"/>
        <w:color w:val="44546A"/>
      </w:rPr>
    </w:lvl>
    <w:lvl w:ilvl="3" w:tplc="35EC18D6">
      <w:start w:val="1"/>
      <w:numFmt w:val="bullet"/>
      <w:lvlText w:val=""/>
      <w:lvlJc w:val="left"/>
      <w:pPr>
        <w:tabs>
          <w:tab w:val="num" w:pos="2880"/>
        </w:tabs>
        <w:ind w:left="2880" w:hanging="360"/>
      </w:pPr>
      <w:rPr>
        <w:rFonts w:ascii="Symbol" w:hAnsi="Symbol" w:hint="default"/>
      </w:rPr>
    </w:lvl>
    <w:lvl w:ilvl="4" w:tplc="30F0B5DA">
      <w:start w:val="1"/>
      <w:numFmt w:val="bullet"/>
      <w:lvlText w:val=""/>
      <w:lvlJc w:val="left"/>
      <w:pPr>
        <w:tabs>
          <w:tab w:val="num" w:pos="3600"/>
        </w:tabs>
        <w:ind w:left="3600" w:hanging="360"/>
      </w:pPr>
      <w:rPr>
        <w:rFonts w:ascii="Symbol" w:hAnsi="Symbol" w:hint="default"/>
      </w:rPr>
    </w:lvl>
    <w:lvl w:ilvl="5" w:tplc="E7C624EA">
      <w:start w:val="1"/>
      <w:numFmt w:val="bullet"/>
      <w:lvlText w:val=""/>
      <w:lvlJc w:val="left"/>
      <w:pPr>
        <w:tabs>
          <w:tab w:val="num" w:pos="4320"/>
        </w:tabs>
        <w:ind w:left="4320" w:hanging="360"/>
      </w:pPr>
      <w:rPr>
        <w:rFonts w:ascii="Wingdings" w:hAnsi="Wingdings" w:hint="default"/>
      </w:rPr>
    </w:lvl>
    <w:lvl w:ilvl="6" w:tplc="B038F226">
      <w:start w:val="1"/>
      <w:numFmt w:val="bullet"/>
      <w:lvlText w:val=""/>
      <w:lvlJc w:val="left"/>
      <w:pPr>
        <w:tabs>
          <w:tab w:val="num" w:pos="5040"/>
        </w:tabs>
        <w:ind w:left="5040" w:hanging="360"/>
      </w:pPr>
      <w:rPr>
        <w:rFonts w:ascii="Symbol" w:hAnsi="Symbol" w:hint="default"/>
      </w:rPr>
    </w:lvl>
    <w:lvl w:ilvl="7" w:tplc="5AFE3526">
      <w:start w:val="1"/>
      <w:numFmt w:val="bullet"/>
      <w:lvlText w:val="o"/>
      <w:lvlJc w:val="left"/>
      <w:pPr>
        <w:tabs>
          <w:tab w:val="num" w:pos="5760"/>
        </w:tabs>
        <w:ind w:left="5760" w:hanging="360"/>
      </w:pPr>
      <w:rPr>
        <w:rFonts w:ascii="Courier New" w:hAnsi="Courier New" w:cs="Courier New" w:hint="default"/>
      </w:rPr>
    </w:lvl>
    <w:lvl w:ilvl="8" w:tplc="4BE63DD4">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9189F"/>
    <w:multiLevelType w:val="multilevel"/>
    <w:tmpl w:val="AAD071A8"/>
    <w:numStyleLink w:val="Numberedheadinglevel114ptlevel212pt"/>
  </w:abstractNum>
  <w:abstractNum w:abstractNumId="26" w15:restartNumberingAfterBreak="0">
    <w:nsid w:val="4E9033F9"/>
    <w:multiLevelType w:val="hybridMultilevel"/>
    <w:tmpl w:val="3D904390"/>
    <w:lvl w:ilvl="0" w:tplc="932A324A">
      <w:start w:val="1"/>
      <w:numFmt w:val="bullet"/>
      <w:lvlText w:val=""/>
      <w:lvlJc w:val="left"/>
      <w:pPr>
        <w:ind w:left="720" w:hanging="360"/>
      </w:pPr>
      <w:rPr>
        <w:rFonts w:ascii="Symbol" w:hAnsi="Symbol" w:hint="default"/>
      </w:rPr>
    </w:lvl>
    <w:lvl w:ilvl="1" w:tplc="AED6F1E2" w:tentative="1">
      <w:start w:val="1"/>
      <w:numFmt w:val="bullet"/>
      <w:lvlText w:val="o"/>
      <w:lvlJc w:val="left"/>
      <w:pPr>
        <w:ind w:left="1440" w:hanging="360"/>
      </w:pPr>
      <w:rPr>
        <w:rFonts w:ascii="Courier New" w:hAnsi="Courier New" w:cs="Courier New" w:hint="default"/>
      </w:rPr>
    </w:lvl>
    <w:lvl w:ilvl="2" w:tplc="26748574" w:tentative="1">
      <w:start w:val="1"/>
      <w:numFmt w:val="bullet"/>
      <w:lvlText w:val=""/>
      <w:lvlJc w:val="left"/>
      <w:pPr>
        <w:ind w:left="2160" w:hanging="360"/>
      </w:pPr>
      <w:rPr>
        <w:rFonts w:ascii="Wingdings" w:hAnsi="Wingdings" w:hint="default"/>
      </w:rPr>
    </w:lvl>
    <w:lvl w:ilvl="3" w:tplc="32E62C64" w:tentative="1">
      <w:start w:val="1"/>
      <w:numFmt w:val="bullet"/>
      <w:lvlText w:val=""/>
      <w:lvlJc w:val="left"/>
      <w:pPr>
        <w:ind w:left="2880" w:hanging="360"/>
      </w:pPr>
      <w:rPr>
        <w:rFonts w:ascii="Symbol" w:hAnsi="Symbol" w:hint="default"/>
      </w:rPr>
    </w:lvl>
    <w:lvl w:ilvl="4" w:tplc="867CB1AA" w:tentative="1">
      <w:start w:val="1"/>
      <w:numFmt w:val="bullet"/>
      <w:lvlText w:val="o"/>
      <w:lvlJc w:val="left"/>
      <w:pPr>
        <w:ind w:left="3600" w:hanging="360"/>
      </w:pPr>
      <w:rPr>
        <w:rFonts w:ascii="Courier New" w:hAnsi="Courier New" w:cs="Courier New" w:hint="default"/>
      </w:rPr>
    </w:lvl>
    <w:lvl w:ilvl="5" w:tplc="71B6E036" w:tentative="1">
      <w:start w:val="1"/>
      <w:numFmt w:val="bullet"/>
      <w:lvlText w:val=""/>
      <w:lvlJc w:val="left"/>
      <w:pPr>
        <w:ind w:left="4320" w:hanging="360"/>
      </w:pPr>
      <w:rPr>
        <w:rFonts w:ascii="Wingdings" w:hAnsi="Wingdings" w:hint="default"/>
      </w:rPr>
    </w:lvl>
    <w:lvl w:ilvl="6" w:tplc="261438DE" w:tentative="1">
      <w:start w:val="1"/>
      <w:numFmt w:val="bullet"/>
      <w:lvlText w:val=""/>
      <w:lvlJc w:val="left"/>
      <w:pPr>
        <w:ind w:left="5040" w:hanging="360"/>
      </w:pPr>
      <w:rPr>
        <w:rFonts w:ascii="Symbol" w:hAnsi="Symbol" w:hint="default"/>
      </w:rPr>
    </w:lvl>
    <w:lvl w:ilvl="7" w:tplc="272C26F2" w:tentative="1">
      <w:start w:val="1"/>
      <w:numFmt w:val="bullet"/>
      <w:lvlText w:val="o"/>
      <w:lvlJc w:val="left"/>
      <w:pPr>
        <w:ind w:left="5760" w:hanging="360"/>
      </w:pPr>
      <w:rPr>
        <w:rFonts w:ascii="Courier New" w:hAnsi="Courier New" w:cs="Courier New" w:hint="default"/>
      </w:rPr>
    </w:lvl>
    <w:lvl w:ilvl="8" w:tplc="761A582E" w:tentative="1">
      <w:start w:val="1"/>
      <w:numFmt w:val="bullet"/>
      <w:lvlText w:val=""/>
      <w:lvlJc w:val="left"/>
      <w:pPr>
        <w:ind w:left="6480" w:hanging="360"/>
      </w:pPr>
      <w:rPr>
        <w:rFonts w:ascii="Wingdings" w:hAnsi="Wingdings" w:hint="default"/>
      </w:rPr>
    </w:lvl>
  </w:abstractNum>
  <w:abstractNum w:abstractNumId="27" w15:restartNumberingAfterBreak="0">
    <w:nsid w:val="4F7C178C"/>
    <w:multiLevelType w:val="hybridMultilevel"/>
    <w:tmpl w:val="D86077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0272994"/>
    <w:multiLevelType w:val="hybridMultilevel"/>
    <w:tmpl w:val="B2FC16A0"/>
    <w:lvl w:ilvl="0" w:tplc="DAD262AE">
      <w:start w:val="1"/>
      <w:numFmt w:val="bullet"/>
      <w:lvlText w:val=""/>
      <w:lvlJc w:val="left"/>
      <w:pPr>
        <w:ind w:left="720" w:hanging="360"/>
      </w:pPr>
      <w:rPr>
        <w:rFonts w:ascii="Symbol" w:hAnsi="Symbol" w:hint="default"/>
      </w:rPr>
    </w:lvl>
    <w:lvl w:ilvl="1" w:tplc="2FE60ACA" w:tentative="1">
      <w:start w:val="1"/>
      <w:numFmt w:val="bullet"/>
      <w:lvlText w:val="o"/>
      <w:lvlJc w:val="left"/>
      <w:pPr>
        <w:ind w:left="1440" w:hanging="360"/>
      </w:pPr>
      <w:rPr>
        <w:rFonts w:ascii="Courier New" w:hAnsi="Courier New" w:cs="Courier New" w:hint="default"/>
      </w:rPr>
    </w:lvl>
    <w:lvl w:ilvl="2" w:tplc="6B3407E2" w:tentative="1">
      <w:start w:val="1"/>
      <w:numFmt w:val="bullet"/>
      <w:lvlText w:val=""/>
      <w:lvlJc w:val="left"/>
      <w:pPr>
        <w:ind w:left="2160" w:hanging="360"/>
      </w:pPr>
      <w:rPr>
        <w:rFonts w:ascii="Wingdings" w:hAnsi="Wingdings" w:hint="default"/>
      </w:rPr>
    </w:lvl>
    <w:lvl w:ilvl="3" w:tplc="B3741A00" w:tentative="1">
      <w:start w:val="1"/>
      <w:numFmt w:val="bullet"/>
      <w:lvlText w:val=""/>
      <w:lvlJc w:val="left"/>
      <w:pPr>
        <w:ind w:left="2880" w:hanging="360"/>
      </w:pPr>
      <w:rPr>
        <w:rFonts w:ascii="Symbol" w:hAnsi="Symbol" w:hint="default"/>
      </w:rPr>
    </w:lvl>
    <w:lvl w:ilvl="4" w:tplc="D3F02F60" w:tentative="1">
      <w:start w:val="1"/>
      <w:numFmt w:val="bullet"/>
      <w:lvlText w:val="o"/>
      <w:lvlJc w:val="left"/>
      <w:pPr>
        <w:ind w:left="3600" w:hanging="360"/>
      </w:pPr>
      <w:rPr>
        <w:rFonts w:ascii="Courier New" w:hAnsi="Courier New" w:cs="Courier New" w:hint="default"/>
      </w:rPr>
    </w:lvl>
    <w:lvl w:ilvl="5" w:tplc="BF76C816" w:tentative="1">
      <w:start w:val="1"/>
      <w:numFmt w:val="bullet"/>
      <w:lvlText w:val=""/>
      <w:lvlJc w:val="left"/>
      <w:pPr>
        <w:ind w:left="4320" w:hanging="360"/>
      </w:pPr>
      <w:rPr>
        <w:rFonts w:ascii="Wingdings" w:hAnsi="Wingdings" w:hint="default"/>
      </w:rPr>
    </w:lvl>
    <w:lvl w:ilvl="6" w:tplc="7E5CFEAC" w:tentative="1">
      <w:start w:val="1"/>
      <w:numFmt w:val="bullet"/>
      <w:lvlText w:val=""/>
      <w:lvlJc w:val="left"/>
      <w:pPr>
        <w:ind w:left="5040" w:hanging="360"/>
      </w:pPr>
      <w:rPr>
        <w:rFonts w:ascii="Symbol" w:hAnsi="Symbol" w:hint="default"/>
      </w:rPr>
    </w:lvl>
    <w:lvl w:ilvl="7" w:tplc="B506176A" w:tentative="1">
      <w:start w:val="1"/>
      <w:numFmt w:val="bullet"/>
      <w:lvlText w:val="o"/>
      <w:lvlJc w:val="left"/>
      <w:pPr>
        <w:ind w:left="5760" w:hanging="360"/>
      </w:pPr>
      <w:rPr>
        <w:rFonts w:ascii="Courier New" w:hAnsi="Courier New" w:cs="Courier New" w:hint="default"/>
      </w:rPr>
    </w:lvl>
    <w:lvl w:ilvl="8" w:tplc="944A4A40" w:tentative="1">
      <w:start w:val="1"/>
      <w:numFmt w:val="bullet"/>
      <w:lvlText w:val=""/>
      <w:lvlJc w:val="left"/>
      <w:pPr>
        <w:ind w:left="6480" w:hanging="360"/>
      </w:pPr>
      <w:rPr>
        <w:rFonts w:ascii="Wingdings" w:hAnsi="Wingdings" w:hint="default"/>
      </w:rPr>
    </w:lvl>
  </w:abstractNum>
  <w:abstractNum w:abstractNumId="29" w15:restartNumberingAfterBreak="0">
    <w:nsid w:val="56525BF7"/>
    <w:multiLevelType w:val="hybridMultilevel"/>
    <w:tmpl w:val="793EAC0C"/>
    <w:lvl w:ilvl="0" w:tplc="0C090001">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F773CF"/>
    <w:multiLevelType w:val="hybridMultilevel"/>
    <w:tmpl w:val="44E0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716C45"/>
    <w:multiLevelType w:val="singleLevel"/>
    <w:tmpl w:val="0F047682"/>
    <w:lvl w:ilvl="0">
      <w:start w:val="1"/>
      <w:numFmt w:val="decimal"/>
      <w:lvlText w:val="%1."/>
      <w:lvlJc w:val="left"/>
      <w:pPr>
        <w:ind w:left="360" w:hanging="360"/>
      </w:pPr>
      <w:rPr>
        <w:rFonts w:ascii="VIC" w:hAnsi="VIC" w:hint="default"/>
        <w:b w:val="0"/>
        <w:i w:val="0"/>
        <w:color w:val="auto"/>
        <w:sz w:val="22"/>
      </w:rPr>
    </w:lvl>
  </w:abstractNum>
  <w:abstractNum w:abstractNumId="32" w15:restartNumberingAfterBreak="0">
    <w:nsid w:val="65CF7D9F"/>
    <w:multiLevelType w:val="multilevel"/>
    <w:tmpl w:val="E1D44664"/>
    <w:lvl w:ilvl="0">
      <w:start w:val="1"/>
      <w:numFmt w:val="upperLetter"/>
      <w:pStyle w:val="AppendixA"/>
      <w:lvlText w:val="Appendix %1:"/>
      <w:lvlJc w:val="left"/>
      <w:pPr>
        <w:tabs>
          <w:tab w:val="num" w:pos="1276"/>
        </w:tabs>
        <w:ind w:left="1277" w:firstLine="0"/>
      </w:pPr>
      <w:rPr>
        <w:rFonts w:hint="default"/>
      </w:rPr>
    </w:lvl>
    <w:lvl w:ilvl="1">
      <w:start w:val="1"/>
      <w:numFmt w:val="decimal"/>
      <w:pStyle w:val="AppendixA1"/>
      <w:lvlText w:val="%1.%2."/>
      <w:lvlJc w:val="left"/>
      <w:pPr>
        <w:ind w:left="1495" w:hanging="360"/>
      </w:pPr>
      <w:rPr>
        <w:rFonts w:hint="default"/>
        <w:color w:val="003F72"/>
        <w:sz w:val="24"/>
      </w:rPr>
    </w:lvl>
    <w:lvl w:ilvl="2">
      <w:start w:val="1"/>
      <w:numFmt w:val="decimal"/>
      <w:pStyle w:val="AppendixA11"/>
      <w:lvlText w:val="%1.%2.%3"/>
      <w:lvlJc w:val="left"/>
      <w:pPr>
        <w:ind w:left="1855" w:hanging="720"/>
      </w:pPr>
      <w:rPr>
        <w:rFonts w:hint="default"/>
        <w:color w:val="003F72"/>
        <w:sz w:val="24"/>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33" w15:restartNumberingAfterBreak="0">
    <w:nsid w:val="661506C1"/>
    <w:multiLevelType w:val="hybridMultilevel"/>
    <w:tmpl w:val="7C36A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691618"/>
    <w:multiLevelType w:val="hybridMultilevel"/>
    <w:tmpl w:val="8B908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224E8D"/>
    <w:multiLevelType w:val="hybridMultilevel"/>
    <w:tmpl w:val="72DCFD5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16cid:durableId="1318848938">
    <w:abstractNumId w:val="24"/>
  </w:num>
  <w:num w:numId="2" w16cid:durableId="482428587">
    <w:abstractNumId w:val="29"/>
  </w:num>
  <w:num w:numId="3" w16cid:durableId="1641837794">
    <w:abstractNumId w:val="19"/>
  </w:num>
  <w:num w:numId="4" w16cid:durableId="1710258411">
    <w:abstractNumId w:val="8"/>
  </w:num>
  <w:num w:numId="5" w16cid:durableId="964693971">
    <w:abstractNumId w:val="0"/>
  </w:num>
  <w:num w:numId="6" w16cid:durableId="2057704432">
    <w:abstractNumId w:val="5"/>
  </w:num>
  <w:num w:numId="7" w16cid:durableId="286351259">
    <w:abstractNumId w:val="25"/>
  </w:num>
  <w:num w:numId="8" w16cid:durableId="1028994102">
    <w:abstractNumId w:val="14"/>
  </w:num>
  <w:num w:numId="9" w16cid:durableId="927814193">
    <w:abstractNumId w:val="10"/>
  </w:num>
  <w:num w:numId="10" w16cid:durableId="1137380323">
    <w:abstractNumId w:val="28"/>
  </w:num>
  <w:num w:numId="11" w16cid:durableId="1155023589">
    <w:abstractNumId w:val="3"/>
  </w:num>
  <w:num w:numId="12" w16cid:durableId="1517766354">
    <w:abstractNumId w:val="35"/>
  </w:num>
  <w:num w:numId="13" w16cid:durableId="1453211601">
    <w:abstractNumId w:val="26"/>
  </w:num>
  <w:num w:numId="14" w16cid:durableId="145245406">
    <w:abstractNumId w:val="16"/>
  </w:num>
  <w:num w:numId="15" w16cid:durableId="2006545163">
    <w:abstractNumId w:val="23"/>
  </w:num>
  <w:num w:numId="16" w16cid:durableId="2003849864">
    <w:abstractNumId w:val="6"/>
  </w:num>
  <w:num w:numId="17" w16cid:durableId="293604638">
    <w:abstractNumId w:val="12"/>
  </w:num>
  <w:num w:numId="18" w16cid:durableId="337654468">
    <w:abstractNumId w:val="7"/>
  </w:num>
  <w:num w:numId="19" w16cid:durableId="1666589351">
    <w:abstractNumId w:val="31"/>
  </w:num>
  <w:num w:numId="20" w16cid:durableId="1311709287">
    <w:abstractNumId w:val="9"/>
  </w:num>
  <w:num w:numId="21" w16cid:durableId="1938128124">
    <w:abstractNumId w:val="15"/>
  </w:num>
  <w:num w:numId="22" w16cid:durableId="1971861241">
    <w:abstractNumId w:val="20"/>
  </w:num>
  <w:num w:numId="23" w16cid:durableId="1684435574">
    <w:abstractNumId w:val="33"/>
  </w:num>
  <w:num w:numId="24" w16cid:durableId="58990372">
    <w:abstractNumId w:val="30"/>
  </w:num>
  <w:num w:numId="25" w16cid:durableId="315300360">
    <w:abstractNumId w:val="32"/>
  </w:num>
  <w:num w:numId="26" w16cid:durableId="922951837">
    <w:abstractNumId w:val="18"/>
  </w:num>
  <w:num w:numId="27" w16cid:durableId="1428964716">
    <w:abstractNumId w:val="17"/>
  </w:num>
  <w:num w:numId="28" w16cid:durableId="1963228862">
    <w:abstractNumId w:val="4"/>
  </w:num>
  <w:num w:numId="29" w16cid:durableId="2081898658">
    <w:abstractNumId w:val="27"/>
  </w:num>
  <w:num w:numId="30" w16cid:durableId="1666585926">
    <w:abstractNumId w:val="19"/>
    <w:lvlOverride w:ilvl="0">
      <w:startOverride w:val="1"/>
    </w:lvlOverride>
  </w:num>
  <w:num w:numId="31" w16cid:durableId="1598489674">
    <w:abstractNumId w:val="22"/>
  </w:num>
  <w:num w:numId="32" w16cid:durableId="1142305889">
    <w:abstractNumId w:val="13"/>
  </w:num>
  <w:num w:numId="33" w16cid:durableId="505442425">
    <w:abstractNumId w:val="11"/>
  </w:num>
  <w:num w:numId="34" w16cid:durableId="2023971748">
    <w:abstractNumId w:val="34"/>
  </w:num>
  <w:num w:numId="35" w16cid:durableId="555705640">
    <w:abstractNumId w:val="2"/>
  </w:num>
  <w:num w:numId="36" w16cid:durableId="341081137">
    <w:abstractNumId w:val="21"/>
  </w:num>
  <w:num w:numId="37" w16cid:durableId="2106533073">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embedSystemFonts/>
  <w:saveSubsetFonts/>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A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03"/>
    <w:rsid w:val="0000074E"/>
    <w:rsid w:val="000007DD"/>
    <w:rsid w:val="00000CEE"/>
    <w:rsid w:val="0000151D"/>
    <w:rsid w:val="0000173A"/>
    <w:rsid w:val="000018D1"/>
    <w:rsid w:val="00001B7D"/>
    <w:rsid w:val="00002020"/>
    <w:rsid w:val="0000236A"/>
    <w:rsid w:val="000023F4"/>
    <w:rsid w:val="000025C8"/>
    <w:rsid w:val="00002895"/>
    <w:rsid w:val="00002FE8"/>
    <w:rsid w:val="00003166"/>
    <w:rsid w:val="00003601"/>
    <w:rsid w:val="000039C0"/>
    <w:rsid w:val="00003D53"/>
    <w:rsid w:val="00003DF5"/>
    <w:rsid w:val="00003F61"/>
    <w:rsid w:val="000044F2"/>
    <w:rsid w:val="000048D2"/>
    <w:rsid w:val="00004EF6"/>
    <w:rsid w:val="00004FAA"/>
    <w:rsid w:val="00005765"/>
    <w:rsid w:val="00005A36"/>
    <w:rsid w:val="000061C8"/>
    <w:rsid w:val="000063EA"/>
    <w:rsid w:val="000066C2"/>
    <w:rsid w:val="000068A3"/>
    <w:rsid w:val="00006CCF"/>
    <w:rsid w:val="00006DBE"/>
    <w:rsid w:val="00007958"/>
    <w:rsid w:val="00007D39"/>
    <w:rsid w:val="00007FAC"/>
    <w:rsid w:val="000101AE"/>
    <w:rsid w:val="000101D7"/>
    <w:rsid w:val="00010B5F"/>
    <w:rsid w:val="00010D54"/>
    <w:rsid w:val="00010D71"/>
    <w:rsid w:val="00010DB1"/>
    <w:rsid w:val="00010ECE"/>
    <w:rsid w:val="000110FA"/>
    <w:rsid w:val="000115AF"/>
    <w:rsid w:val="000115D4"/>
    <w:rsid w:val="000117EA"/>
    <w:rsid w:val="000119E9"/>
    <w:rsid w:val="00011E47"/>
    <w:rsid w:val="000121B8"/>
    <w:rsid w:val="0001293F"/>
    <w:rsid w:val="00012C66"/>
    <w:rsid w:val="00012EF3"/>
    <w:rsid w:val="00012F9C"/>
    <w:rsid w:val="000130CB"/>
    <w:rsid w:val="00013110"/>
    <w:rsid w:val="0001357E"/>
    <w:rsid w:val="000136C2"/>
    <w:rsid w:val="000136E8"/>
    <w:rsid w:val="0001389C"/>
    <w:rsid w:val="00013A57"/>
    <w:rsid w:val="00013E28"/>
    <w:rsid w:val="00014077"/>
    <w:rsid w:val="00014402"/>
    <w:rsid w:val="000144E4"/>
    <w:rsid w:val="000146FE"/>
    <w:rsid w:val="00014C28"/>
    <w:rsid w:val="00014D41"/>
    <w:rsid w:val="00014FC3"/>
    <w:rsid w:val="00015721"/>
    <w:rsid w:val="00015BC4"/>
    <w:rsid w:val="00015F57"/>
    <w:rsid w:val="0001643A"/>
    <w:rsid w:val="0001661B"/>
    <w:rsid w:val="000168E9"/>
    <w:rsid w:val="000169F8"/>
    <w:rsid w:val="00016BB4"/>
    <w:rsid w:val="000175BC"/>
    <w:rsid w:val="0001780E"/>
    <w:rsid w:val="00017A89"/>
    <w:rsid w:val="00017C5A"/>
    <w:rsid w:val="00017D00"/>
    <w:rsid w:val="00017DCE"/>
    <w:rsid w:val="0002000B"/>
    <w:rsid w:val="000206AC"/>
    <w:rsid w:val="00020BF9"/>
    <w:rsid w:val="00020C7C"/>
    <w:rsid w:val="000213EA"/>
    <w:rsid w:val="0002187A"/>
    <w:rsid w:val="00021894"/>
    <w:rsid w:val="000218EA"/>
    <w:rsid w:val="00021DB9"/>
    <w:rsid w:val="00021F22"/>
    <w:rsid w:val="00022D26"/>
    <w:rsid w:val="00022EBC"/>
    <w:rsid w:val="000231A6"/>
    <w:rsid w:val="000239AC"/>
    <w:rsid w:val="00023B05"/>
    <w:rsid w:val="00023B4D"/>
    <w:rsid w:val="00023D8A"/>
    <w:rsid w:val="00023F5B"/>
    <w:rsid w:val="000240CD"/>
    <w:rsid w:val="00024150"/>
    <w:rsid w:val="000241DA"/>
    <w:rsid w:val="0002458B"/>
    <w:rsid w:val="000249F7"/>
    <w:rsid w:val="00024F24"/>
    <w:rsid w:val="000258BB"/>
    <w:rsid w:val="00025B9F"/>
    <w:rsid w:val="00025F5A"/>
    <w:rsid w:val="000261F9"/>
    <w:rsid w:val="000263D5"/>
    <w:rsid w:val="00026696"/>
    <w:rsid w:val="000279F2"/>
    <w:rsid w:val="00027D3A"/>
    <w:rsid w:val="00030252"/>
    <w:rsid w:val="0003099F"/>
    <w:rsid w:val="000313AE"/>
    <w:rsid w:val="000313B3"/>
    <w:rsid w:val="0003164F"/>
    <w:rsid w:val="00031BF1"/>
    <w:rsid w:val="00031C1D"/>
    <w:rsid w:val="00031CE7"/>
    <w:rsid w:val="000322DD"/>
    <w:rsid w:val="00032539"/>
    <w:rsid w:val="00032F9F"/>
    <w:rsid w:val="0003365A"/>
    <w:rsid w:val="00033689"/>
    <w:rsid w:val="0003371E"/>
    <w:rsid w:val="00033AB1"/>
    <w:rsid w:val="000354A7"/>
    <w:rsid w:val="000355A7"/>
    <w:rsid w:val="00035C4E"/>
    <w:rsid w:val="000365B8"/>
    <w:rsid w:val="00036D11"/>
    <w:rsid w:val="0003746A"/>
    <w:rsid w:val="000374DB"/>
    <w:rsid w:val="000376F9"/>
    <w:rsid w:val="00040650"/>
    <w:rsid w:val="00041364"/>
    <w:rsid w:val="00041CB4"/>
    <w:rsid w:val="0004256C"/>
    <w:rsid w:val="00042584"/>
    <w:rsid w:val="00042B6C"/>
    <w:rsid w:val="00042B8A"/>
    <w:rsid w:val="00042F5D"/>
    <w:rsid w:val="00042FB8"/>
    <w:rsid w:val="000430BB"/>
    <w:rsid w:val="00043401"/>
    <w:rsid w:val="0004366C"/>
    <w:rsid w:val="00043711"/>
    <w:rsid w:val="000441F9"/>
    <w:rsid w:val="000445B1"/>
    <w:rsid w:val="000447EA"/>
    <w:rsid w:val="00044FFB"/>
    <w:rsid w:val="000456FA"/>
    <w:rsid w:val="000459A7"/>
    <w:rsid w:val="00045BA5"/>
    <w:rsid w:val="00045C67"/>
    <w:rsid w:val="000466D6"/>
    <w:rsid w:val="00046A36"/>
    <w:rsid w:val="00046DFC"/>
    <w:rsid w:val="0004730D"/>
    <w:rsid w:val="00047E7C"/>
    <w:rsid w:val="00050724"/>
    <w:rsid w:val="00050735"/>
    <w:rsid w:val="00050BDB"/>
    <w:rsid w:val="000510BD"/>
    <w:rsid w:val="000510F5"/>
    <w:rsid w:val="00051362"/>
    <w:rsid w:val="00051632"/>
    <w:rsid w:val="000521CF"/>
    <w:rsid w:val="00052CEA"/>
    <w:rsid w:val="0005315D"/>
    <w:rsid w:val="00053180"/>
    <w:rsid w:val="000532D2"/>
    <w:rsid w:val="00053EA6"/>
    <w:rsid w:val="00054519"/>
    <w:rsid w:val="00054D99"/>
    <w:rsid w:val="00055110"/>
    <w:rsid w:val="00055219"/>
    <w:rsid w:val="00055981"/>
    <w:rsid w:val="00055BEB"/>
    <w:rsid w:val="00055D76"/>
    <w:rsid w:val="00055EED"/>
    <w:rsid w:val="00056095"/>
    <w:rsid w:val="0005614A"/>
    <w:rsid w:val="00056487"/>
    <w:rsid w:val="000566B3"/>
    <w:rsid w:val="000567D9"/>
    <w:rsid w:val="0005695B"/>
    <w:rsid w:val="00056DC1"/>
    <w:rsid w:val="00057289"/>
    <w:rsid w:val="00057BD4"/>
    <w:rsid w:val="00057D59"/>
    <w:rsid w:val="000600FB"/>
    <w:rsid w:val="00060144"/>
    <w:rsid w:val="00060873"/>
    <w:rsid w:val="00060B3D"/>
    <w:rsid w:val="000610E3"/>
    <w:rsid w:val="000614EA"/>
    <w:rsid w:val="00061514"/>
    <w:rsid w:val="00061831"/>
    <w:rsid w:val="00061CCB"/>
    <w:rsid w:val="00061D30"/>
    <w:rsid w:val="00061E79"/>
    <w:rsid w:val="0006220F"/>
    <w:rsid w:val="000622F7"/>
    <w:rsid w:val="0006232A"/>
    <w:rsid w:val="00062D89"/>
    <w:rsid w:val="00063435"/>
    <w:rsid w:val="00063793"/>
    <w:rsid w:val="00063BBC"/>
    <w:rsid w:val="00063F58"/>
    <w:rsid w:val="00064013"/>
    <w:rsid w:val="00065502"/>
    <w:rsid w:val="00065508"/>
    <w:rsid w:val="00065998"/>
    <w:rsid w:val="00065FFC"/>
    <w:rsid w:val="00066030"/>
    <w:rsid w:val="00066436"/>
    <w:rsid w:val="00067268"/>
    <w:rsid w:val="00067563"/>
    <w:rsid w:val="00067932"/>
    <w:rsid w:val="00070474"/>
    <w:rsid w:val="00071112"/>
    <w:rsid w:val="000714F5"/>
    <w:rsid w:val="0007173A"/>
    <w:rsid w:val="00071B14"/>
    <w:rsid w:val="00071B66"/>
    <w:rsid w:val="00072928"/>
    <w:rsid w:val="00072A11"/>
    <w:rsid w:val="00072D23"/>
    <w:rsid w:val="00073310"/>
    <w:rsid w:val="00073730"/>
    <w:rsid w:val="00073767"/>
    <w:rsid w:val="00073B99"/>
    <w:rsid w:val="00073C26"/>
    <w:rsid w:val="00073D97"/>
    <w:rsid w:val="00073E35"/>
    <w:rsid w:val="0007486C"/>
    <w:rsid w:val="00074AB5"/>
    <w:rsid w:val="00075048"/>
    <w:rsid w:val="000751AC"/>
    <w:rsid w:val="000755BB"/>
    <w:rsid w:val="00075A7F"/>
    <w:rsid w:val="00075EEF"/>
    <w:rsid w:val="0007610A"/>
    <w:rsid w:val="000762BA"/>
    <w:rsid w:val="000768C6"/>
    <w:rsid w:val="00076E5B"/>
    <w:rsid w:val="00076FB5"/>
    <w:rsid w:val="0007711D"/>
    <w:rsid w:val="0007735B"/>
    <w:rsid w:val="000801AD"/>
    <w:rsid w:val="0008037A"/>
    <w:rsid w:val="000805F4"/>
    <w:rsid w:val="0008083C"/>
    <w:rsid w:val="000809F2"/>
    <w:rsid w:val="00080BD5"/>
    <w:rsid w:val="00080C01"/>
    <w:rsid w:val="00080DB7"/>
    <w:rsid w:val="000811B9"/>
    <w:rsid w:val="00081240"/>
    <w:rsid w:val="000813A1"/>
    <w:rsid w:val="000813E7"/>
    <w:rsid w:val="0008159F"/>
    <w:rsid w:val="0008241E"/>
    <w:rsid w:val="000825B2"/>
    <w:rsid w:val="00082787"/>
    <w:rsid w:val="000827DA"/>
    <w:rsid w:val="00083511"/>
    <w:rsid w:val="00083808"/>
    <w:rsid w:val="00083B0A"/>
    <w:rsid w:val="00083C6D"/>
    <w:rsid w:val="00084217"/>
    <w:rsid w:val="00084848"/>
    <w:rsid w:val="0008485E"/>
    <w:rsid w:val="000848F2"/>
    <w:rsid w:val="00084B12"/>
    <w:rsid w:val="00084D20"/>
    <w:rsid w:val="00084F14"/>
    <w:rsid w:val="00085067"/>
    <w:rsid w:val="00085225"/>
    <w:rsid w:val="00085244"/>
    <w:rsid w:val="000854D7"/>
    <w:rsid w:val="00085983"/>
    <w:rsid w:val="0008623F"/>
    <w:rsid w:val="00086627"/>
    <w:rsid w:val="000869A2"/>
    <w:rsid w:val="00086A98"/>
    <w:rsid w:val="00086B95"/>
    <w:rsid w:val="0008749F"/>
    <w:rsid w:val="00087B45"/>
    <w:rsid w:val="000910B3"/>
    <w:rsid w:val="00091134"/>
    <w:rsid w:val="0009135D"/>
    <w:rsid w:val="00091507"/>
    <w:rsid w:val="000918D7"/>
    <w:rsid w:val="00091985"/>
    <w:rsid w:val="00092155"/>
    <w:rsid w:val="000922B4"/>
    <w:rsid w:val="000926DF"/>
    <w:rsid w:val="00092752"/>
    <w:rsid w:val="00092946"/>
    <w:rsid w:val="00092AA9"/>
    <w:rsid w:val="00092CA2"/>
    <w:rsid w:val="00093594"/>
    <w:rsid w:val="00093665"/>
    <w:rsid w:val="0009379A"/>
    <w:rsid w:val="00093C84"/>
    <w:rsid w:val="00094046"/>
    <w:rsid w:val="0009440E"/>
    <w:rsid w:val="00094740"/>
    <w:rsid w:val="000948E0"/>
    <w:rsid w:val="00094D1D"/>
    <w:rsid w:val="00094F47"/>
    <w:rsid w:val="00095303"/>
    <w:rsid w:val="000958BA"/>
    <w:rsid w:val="00095D5A"/>
    <w:rsid w:val="00095EF0"/>
    <w:rsid w:val="000969B1"/>
    <w:rsid w:val="00096A14"/>
    <w:rsid w:val="000A1465"/>
    <w:rsid w:val="000A149E"/>
    <w:rsid w:val="000A16AA"/>
    <w:rsid w:val="000A1D2D"/>
    <w:rsid w:val="000A21E5"/>
    <w:rsid w:val="000A239D"/>
    <w:rsid w:val="000A27C9"/>
    <w:rsid w:val="000A2D06"/>
    <w:rsid w:val="000A333A"/>
    <w:rsid w:val="000A36CB"/>
    <w:rsid w:val="000A38E3"/>
    <w:rsid w:val="000A41EF"/>
    <w:rsid w:val="000A4451"/>
    <w:rsid w:val="000A4C16"/>
    <w:rsid w:val="000A4FB0"/>
    <w:rsid w:val="000A514A"/>
    <w:rsid w:val="000A5167"/>
    <w:rsid w:val="000A5E27"/>
    <w:rsid w:val="000A5F06"/>
    <w:rsid w:val="000A5F23"/>
    <w:rsid w:val="000A64E4"/>
    <w:rsid w:val="000A65D2"/>
    <w:rsid w:val="000A6AC9"/>
    <w:rsid w:val="000A6B88"/>
    <w:rsid w:val="000A6BE3"/>
    <w:rsid w:val="000A6F3C"/>
    <w:rsid w:val="000A7B35"/>
    <w:rsid w:val="000B0501"/>
    <w:rsid w:val="000B05BC"/>
    <w:rsid w:val="000B060F"/>
    <w:rsid w:val="000B083A"/>
    <w:rsid w:val="000B0CD4"/>
    <w:rsid w:val="000B0EBE"/>
    <w:rsid w:val="000B0F12"/>
    <w:rsid w:val="000B1359"/>
    <w:rsid w:val="000B17DD"/>
    <w:rsid w:val="000B1A7B"/>
    <w:rsid w:val="000B1BF3"/>
    <w:rsid w:val="000B1C51"/>
    <w:rsid w:val="000B1D3F"/>
    <w:rsid w:val="000B30A5"/>
    <w:rsid w:val="000B3698"/>
    <w:rsid w:val="000B38D1"/>
    <w:rsid w:val="000B3904"/>
    <w:rsid w:val="000B3BE2"/>
    <w:rsid w:val="000B3DCA"/>
    <w:rsid w:val="000B4364"/>
    <w:rsid w:val="000B44BA"/>
    <w:rsid w:val="000B4B3B"/>
    <w:rsid w:val="000B52F9"/>
    <w:rsid w:val="000B544F"/>
    <w:rsid w:val="000B5A28"/>
    <w:rsid w:val="000B61CD"/>
    <w:rsid w:val="000B641F"/>
    <w:rsid w:val="000B6719"/>
    <w:rsid w:val="000B6956"/>
    <w:rsid w:val="000B6A43"/>
    <w:rsid w:val="000B6C63"/>
    <w:rsid w:val="000B6CB1"/>
    <w:rsid w:val="000B7190"/>
    <w:rsid w:val="000B73DE"/>
    <w:rsid w:val="000C056E"/>
    <w:rsid w:val="000C0A09"/>
    <w:rsid w:val="000C1032"/>
    <w:rsid w:val="000C2319"/>
    <w:rsid w:val="000C2386"/>
    <w:rsid w:val="000C2531"/>
    <w:rsid w:val="000C264C"/>
    <w:rsid w:val="000C2D3C"/>
    <w:rsid w:val="000C2FD9"/>
    <w:rsid w:val="000C337E"/>
    <w:rsid w:val="000C3400"/>
    <w:rsid w:val="000C388B"/>
    <w:rsid w:val="000C39AA"/>
    <w:rsid w:val="000C414A"/>
    <w:rsid w:val="000C476E"/>
    <w:rsid w:val="000C559A"/>
    <w:rsid w:val="000C59C1"/>
    <w:rsid w:val="000C5F68"/>
    <w:rsid w:val="000C68C9"/>
    <w:rsid w:val="000C6CC4"/>
    <w:rsid w:val="000C7F86"/>
    <w:rsid w:val="000C7FE3"/>
    <w:rsid w:val="000D013F"/>
    <w:rsid w:val="000D05CA"/>
    <w:rsid w:val="000D0739"/>
    <w:rsid w:val="000D0C54"/>
    <w:rsid w:val="000D16B3"/>
    <w:rsid w:val="000D19FD"/>
    <w:rsid w:val="000D2217"/>
    <w:rsid w:val="000D256C"/>
    <w:rsid w:val="000D2DA7"/>
    <w:rsid w:val="000D2F5E"/>
    <w:rsid w:val="000D3341"/>
    <w:rsid w:val="000D34CA"/>
    <w:rsid w:val="000D353C"/>
    <w:rsid w:val="000D35F9"/>
    <w:rsid w:val="000D3980"/>
    <w:rsid w:val="000D3A0C"/>
    <w:rsid w:val="000D3B46"/>
    <w:rsid w:val="000D3C11"/>
    <w:rsid w:val="000D3C3F"/>
    <w:rsid w:val="000D3E66"/>
    <w:rsid w:val="000D412E"/>
    <w:rsid w:val="000D445C"/>
    <w:rsid w:val="000D4781"/>
    <w:rsid w:val="000D47E0"/>
    <w:rsid w:val="000D484C"/>
    <w:rsid w:val="000D4BD8"/>
    <w:rsid w:val="000D4E15"/>
    <w:rsid w:val="000D4E8E"/>
    <w:rsid w:val="000D5E17"/>
    <w:rsid w:val="000D6284"/>
    <w:rsid w:val="000D681C"/>
    <w:rsid w:val="000D69DF"/>
    <w:rsid w:val="000D6D03"/>
    <w:rsid w:val="000D6F79"/>
    <w:rsid w:val="000D740D"/>
    <w:rsid w:val="000D7475"/>
    <w:rsid w:val="000D75B8"/>
    <w:rsid w:val="000D7890"/>
    <w:rsid w:val="000D7901"/>
    <w:rsid w:val="000D7C60"/>
    <w:rsid w:val="000E035A"/>
    <w:rsid w:val="000E03B9"/>
    <w:rsid w:val="000E043F"/>
    <w:rsid w:val="000E0EA6"/>
    <w:rsid w:val="000E1281"/>
    <w:rsid w:val="000E1591"/>
    <w:rsid w:val="000E165B"/>
    <w:rsid w:val="000E1970"/>
    <w:rsid w:val="000E19CC"/>
    <w:rsid w:val="000E1A82"/>
    <w:rsid w:val="000E1BCE"/>
    <w:rsid w:val="000E21DF"/>
    <w:rsid w:val="000E2320"/>
    <w:rsid w:val="000E2394"/>
    <w:rsid w:val="000E2487"/>
    <w:rsid w:val="000E299B"/>
    <w:rsid w:val="000E29AB"/>
    <w:rsid w:val="000E30DA"/>
    <w:rsid w:val="000E3219"/>
    <w:rsid w:val="000E3893"/>
    <w:rsid w:val="000E3B9D"/>
    <w:rsid w:val="000E40F3"/>
    <w:rsid w:val="000E43DB"/>
    <w:rsid w:val="000E4433"/>
    <w:rsid w:val="000E46F7"/>
    <w:rsid w:val="000E4834"/>
    <w:rsid w:val="000E6147"/>
    <w:rsid w:val="000E6255"/>
    <w:rsid w:val="000E6627"/>
    <w:rsid w:val="000E6804"/>
    <w:rsid w:val="000E6FFC"/>
    <w:rsid w:val="000E70A3"/>
    <w:rsid w:val="000E70C1"/>
    <w:rsid w:val="000E726A"/>
    <w:rsid w:val="000E75B4"/>
    <w:rsid w:val="000E7840"/>
    <w:rsid w:val="000E7901"/>
    <w:rsid w:val="000F0403"/>
    <w:rsid w:val="000F0A2F"/>
    <w:rsid w:val="000F1206"/>
    <w:rsid w:val="000F15D0"/>
    <w:rsid w:val="000F18EB"/>
    <w:rsid w:val="000F1981"/>
    <w:rsid w:val="000F25A1"/>
    <w:rsid w:val="000F2E23"/>
    <w:rsid w:val="000F2EE8"/>
    <w:rsid w:val="000F307E"/>
    <w:rsid w:val="000F31A6"/>
    <w:rsid w:val="000F3588"/>
    <w:rsid w:val="000F38FD"/>
    <w:rsid w:val="000F3D18"/>
    <w:rsid w:val="000F3FC3"/>
    <w:rsid w:val="000F4048"/>
    <w:rsid w:val="000F4BCD"/>
    <w:rsid w:val="000F4BD4"/>
    <w:rsid w:val="000F4C69"/>
    <w:rsid w:val="000F4C7C"/>
    <w:rsid w:val="000F4E51"/>
    <w:rsid w:val="000F5346"/>
    <w:rsid w:val="000F5705"/>
    <w:rsid w:val="000F58B6"/>
    <w:rsid w:val="000F66E4"/>
    <w:rsid w:val="000F694F"/>
    <w:rsid w:val="000F6AA3"/>
    <w:rsid w:val="000F6B37"/>
    <w:rsid w:val="000F6BFE"/>
    <w:rsid w:val="000F6CF6"/>
    <w:rsid w:val="000F6D46"/>
    <w:rsid w:val="000F748D"/>
    <w:rsid w:val="000F793F"/>
    <w:rsid w:val="000F796E"/>
    <w:rsid w:val="000F7A87"/>
    <w:rsid w:val="000F7C6A"/>
    <w:rsid w:val="000F7F69"/>
    <w:rsid w:val="000F7FA7"/>
    <w:rsid w:val="001003C4"/>
    <w:rsid w:val="00100630"/>
    <w:rsid w:val="001007E4"/>
    <w:rsid w:val="001008F9"/>
    <w:rsid w:val="00100AEC"/>
    <w:rsid w:val="00101377"/>
    <w:rsid w:val="00101457"/>
    <w:rsid w:val="00101574"/>
    <w:rsid w:val="0010177A"/>
    <w:rsid w:val="00101BFB"/>
    <w:rsid w:val="00101E86"/>
    <w:rsid w:val="0010204B"/>
    <w:rsid w:val="00102476"/>
    <w:rsid w:val="001029AB"/>
    <w:rsid w:val="00102A79"/>
    <w:rsid w:val="00102C62"/>
    <w:rsid w:val="0010318D"/>
    <w:rsid w:val="00103381"/>
    <w:rsid w:val="001033CC"/>
    <w:rsid w:val="0010347A"/>
    <w:rsid w:val="0010357B"/>
    <w:rsid w:val="001049D4"/>
    <w:rsid w:val="00104F40"/>
    <w:rsid w:val="0010511C"/>
    <w:rsid w:val="00105436"/>
    <w:rsid w:val="00105BA4"/>
    <w:rsid w:val="0010635E"/>
    <w:rsid w:val="001064CD"/>
    <w:rsid w:val="00106A25"/>
    <w:rsid w:val="00106AAB"/>
    <w:rsid w:val="001070B0"/>
    <w:rsid w:val="0010721A"/>
    <w:rsid w:val="001077F9"/>
    <w:rsid w:val="00107E7F"/>
    <w:rsid w:val="00107EA8"/>
    <w:rsid w:val="00107EE8"/>
    <w:rsid w:val="00110953"/>
    <w:rsid w:val="00110BD3"/>
    <w:rsid w:val="00111671"/>
    <w:rsid w:val="00111676"/>
    <w:rsid w:val="00111BAA"/>
    <w:rsid w:val="00111DF6"/>
    <w:rsid w:val="00112222"/>
    <w:rsid w:val="00112A0C"/>
    <w:rsid w:val="00112A43"/>
    <w:rsid w:val="00112E86"/>
    <w:rsid w:val="001130DE"/>
    <w:rsid w:val="00113343"/>
    <w:rsid w:val="00113733"/>
    <w:rsid w:val="00113C3D"/>
    <w:rsid w:val="001144F1"/>
    <w:rsid w:val="001144F9"/>
    <w:rsid w:val="00114765"/>
    <w:rsid w:val="001148AD"/>
    <w:rsid w:val="00114D3A"/>
    <w:rsid w:val="00114F32"/>
    <w:rsid w:val="00115392"/>
    <w:rsid w:val="001153B0"/>
    <w:rsid w:val="0011555D"/>
    <w:rsid w:val="00115730"/>
    <w:rsid w:val="001157FC"/>
    <w:rsid w:val="001159A5"/>
    <w:rsid w:val="001159DF"/>
    <w:rsid w:val="00115F50"/>
    <w:rsid w:val="00116315"/>
    <w:rsid w:val="00116731"/>
    <w:rsid w:val="00116A7E"/>
    <w:rsid w:val="00116CAC"/>
    <w:rsid w:val="0011745F"/>
    <w:rsid w:val="00117484"/>
    <w:rsid w:val="001177A8"/>
    <w:rsid w:val="00117907"/>
    <w:rsid w:val="0011794E"/>
    <w:rsid w:val="00120270"/>
    <w:rsid w:val="00120A42"/>
    <w:rsid w:val="00121357"/>
    <w:rsid w:val="001218AB"/>
    <w:rsid w:val="00121B34"/>
    <w:rsid w:val="00121DA4"/>
    <w:rsid w:val="00121DAA"/>
    <w:rsid w:val="00121F71"/>
    <w:rsid w:val="0012212D"/>
    <w:rsid w:val="0012215A"/>
    <w:rsid w:val="00122652"/>
    <w:rsid w:val="00122AF8"/>
    <w:rsid w:val="0012308B"/>
    <w:rsid w:val="001234D9"/>
    <w:rsid w:val="001236CE"/>
    <w:rsid w:val="00123876"/>
    <w:rsid w:val="00123C47"/>
    <w:rsid w:val="00123EED"/>
    <w:rsid w:val="001242FA"/>
    <w:rsid w:val="00124947"/>
    <w:rsid w:val="00124D03"/>
    <w:rsid w:val="00124D2C"/>
    <w:rsid w:val="00124FF6"/>
    <w:rsid w:val="00125198"/>
    <w:rsid w:val="00125215"/>
    <w:rsid w:val="0012569C"/>
    <w:rsid w:val="001265FB"/>
    <w:rsid w:val="00126FCF"/>
    <w:rsid w:val="001272A7"/>
    <w:rsid w:val="001277C5"/>
    <w:rsid w:val="00127FD9"/>
    <w:rsid w:val="001304EE"/>
    <w:rsid w:val="001305AF"/>
    <w:rsid w:val="00130882"/>
    <w:rsid w:val="00130C85"/>
    <w:rsid w:val="00130D14"/>
    <w:rsid w:val="00131173"/>
    <w:rsid w:val="001313F3"/>
    <w:rsid w:val="001317B6"/>
    <w:rsid w:val="00131F19"/>
    <w:rsid w:val="0013329E"/>
    <w:rsid w:val="001333E2"/>
    <w:rsid w:val="0013459F"/>
    <w:rsid w:val="00135936"/>
    <w:rsid w:val="00135BA1"/>
    <w:rsid w:val="00135E5F"/>
    <w:rsid w:val="001362D3"/>
    <w:rsid w:val="0013648F"/>
    <w:rsid w:val="0013682F"/>
    <w:rsid w:val="00136DAA"/>
    <w:rsid w:val="001371E9"/>
    <w:rsid w:val="001372C0"/>
    <w:rsid w:val="00137C9E"/>
    <w:rsid w:val="00137D99"/>
    <w:rsid w:val="00137F11"/>
    <w:rsid w:val="0014064F"/>
    <w:rsid w:val="00140664"/>
    <w:rsid w:val="001408BA"/>
    <w:rsid w:val="00140A98"/>
    <w:rsid w:val="00140BBE"/>
    <w:rsid w:val="00141667"/>
    <w:rsid w:val="001416AF"/>
    <w:rsid w:val="00141AB2"/>
    <w:rsid w:val="00141C19"/>
    <w:rsid w:val="00141CCE"/>
    <w:rsid w:val="00141E29"/>
    <w:rsid w:val="00143031"/>
    <w:rsid w:val="00143734"/>
    <w:rsid w:val="0014388F"/>
    <w:rsid w:val="00143A27"/>
    <w:rsid w:val="00143C03"/>
    <w:rsid w:val="001441E8"/>
    <w:rsid w:val="001446A0"/>
    <w:rsid w:val="00144DD7"/>
    <w:rsid w:val="00144EAB"/>
    <w:rsid w:val="0014504D"/>
    <w:rsid w:val="00146027"/>
    <w:rsid w:val="00146522"/>
    <w:rsid w:val="001465A6"/>
    <w:rsid w:val="001467C4"/>
    <w:rsid w:val="00146880"/>
    <w:rsid w:val="001468FB"/>
    <w:rsid w:val="001469A2"/>
    <w:rsid w:val="00146AB9"/>
    <w:rsid w:val="00146AE0"/>
    <w:rsid w:val="00146E4C"/>
    <w:rsid w:val="00147222"/>
    <w:rsid w:val="00147240"/>
    <w:rsid w:val="00147468"/>
    <w:rsid w:val="001474ED"/>
    <w:rsid w:val="00147CFD"/>
    <w:rsid w:val="00150640"/>
    <w:rsid w:val="001507B2"/>
    <w:rsid w:val="001507C7"/>
    <w:rsid w:val="00150AED"/>
    <w:rsid w:val="00150FA9"/>
    <w:rsid w:val="00151059"/>
    <w:rsid w:val="00151F35"/>
    <w:rsid w:val="00151F68"/>
    <w:rsid w:val="00151FEA"/>
    <w:rsid w:val="001523A4"/>
    <w:rsid w:val="00152CB8"/>
    <w:rsid w:val="00152D6B"/>
    <w:rsid w:val="00152E8D"/>
    <w:rsid w:val="00153155"/>
    <w:rsid w:val="00153156"/>
    <w:rsid w:val="00153829"/>
    <w:rsid w:val="00153A14"/>
    <w:rsid w:val="00155177"/>
    <w:rsid w:val="00155277"/>
    <w:rsid w:val="00155886"/>
    <w:rsid w:val="00155983"/>
    <w:rsid w:val="00155AD6"/>
    <w:rsid w:val="00155D39"/>
    <w:rsid w:val="001561A6"/>
    <w:rsid w:val="001566A6"/>
    <w:rsid w:val="0015688F"/>
    <w:rsid w:val="00157B22"/>
    <w:rsid w:val="001602C8"/>
    <w:rsid w:val="0016052F"/>
    <w:rsid w:val="00160718"/>
    <w:rsid w:val="00160854"/>
    <w:rsid w:val="00160881"/>
    <w:rsid w:val="00160C21"/>
    <w:rsid w:val="0016106D"/>
    <w:rsid w:val="0016107F"/>
    <w:rsid w:val="00161827"/>
    <w:rsid w:val="00161988"/>
    <w:rsid w:val="00162359"/>
    <w:rsid w:val="00162643"/>
    <w:rsid w:val="0016265C"/>
    <w:rsid w:val="00162764"/>
    <w:rsid w:val="00162B6A"/>
    <w:rsid w:val="00162DB5"/>
    <w:rsid w:val="00162E27"/>
    <w:rsid w:val="001631B3"/>
    <w:rsid w:val="00163496"/>
    <w:rsid w:val="001640CC"/>
    <w:rsid w:val="001640D8"/>
    <w:rsid w:val="001642C5"/>
    <w:rsid w:val="001642FF"/>
    <w:rsid w:val="00164E99"/>
    <w:rsid w:val="001651FA"/>
    <w:rsid w:val="001655D7"/>
    <w:rsid w:val="001656C7"/>
    <w:rsid w:val="001659CF"/>
    <w:rsid w:val="001661AF"/>
    <w:rsid w:val="001663BF"/>
    <w:rsid w:val="00167384"/>
    <w:rsid w:val="00167401"/>
    <w:rsid w:val="00167540"/>
    <w:rsid w:val="00170053"/>
    <w:rsid w:val="0017114F"/>
    <w:rsid w:val="00171473"/>
    <w:rsid w:val="00171AD3"/>
    <w:rsid w:val="00171F83"/>
    <w:rsid w:val="0017228A"/>
    <w:rsid w:val="0017238B"/>
    <w:rsid w:val="001727FC"/>
    <w:rsid w:val="00172C81"/>
    <w:rsid w:val="00172F9E"/>
    <w:rsid w:val="001733B9"/>
    <w:rsid w:val="0017359D"/>
    <w:rsid w:val="001736C9"/>
    <w:rsid w:val="001737E6"/>
    <w:rsid w:val="001741D6"/>
    <w:rsid w:val="00174520"/>
    <w:rsid w:val="00174575"/>
    <w:rsid w:val="0017460C"/>
    <w:rsid w:val="00174735"/>
    <w:rsid w:val="0017476A"/>
    <w:rsid w:val="001748B0"/>
    <w:rsid w:val="00176022"/>
    <w:rsid w:val="00176434"/>
    <w:rsid w:val="00176F0A"/>
    <w:rsid w:val="0017754D"/>
    <w:rsid w:val="00180C20"/>
    <w:rsid w:val="001818AF"/>
    <w:rsid w:val="00181929"/>
    <w:rsid w:val="00181CAE"/>
    <w:rsid w:val="00181D51"/>
    <w:rsid w:val="00181F1B"/>
    <w:rsid w:val="0018296B"/>
    <w:rsid w:val="001830C1"/>
    <w:rsid w:val="0018393C"/>
    <w:rsid w:val="00183CA2"/>
    <w:rsid w:val="00183E7D"/>
    <w:rsid w:val="00184295"/>
    <w:rsid w:val="00184404"/>
    <w:rsid w:val="001846CA"/>
    <w:rsid w:val="00184993"/>
    <w:rsid w:val="00184C13"/>
    <w:rsid w:val="00184D96"/>
    <w:rsid w:val="00184D97"/>
    <w:rsid w:val="00184DEF"/>
    <w:rsid w:val="00184E56"/>
    <w:rsid w:val="00184F88"/>
    <w:rsid w:val="00184FD9"/>
    <w:rsid w:val="0018596F"/>
    <w:rsid w:val="00185B96"/>
    <w:rsid w:val="00185E56"/>
    <w:rsid w:val="00185ECE"/>
    <w:rsid w:val="00185FC6"/>
    <w:rsid w:val="00186396"/>
    <w:rsid w:val="00186B77"/>
    <w:rsid w:val="00186C59"/>
    <w:rsid w:val="001871C4"/>
    <w:rsid w:val="001872DE"/>
    <w:rsid w:val="0018730A"/>
    <w:rsid w:val="001876D6"/>
    <w:rsid w:val="00187802"/>
    <w:rsid w:val="00187AEA"/>
    <w:rsid w:val="00187BB1"/>
    <w:rsid w:val="00187E24"/>
    <w:rsid w:val="00190236"/>
    <w:rsid w:val="00190555"/>
    <w:rsid w:val="001905C3"/>
    <w:rsid w:val="001906AB"/>
    <w:rsid w:val="00191756"/>
    <w:rsid w:val="00192542"/>
    <w:rsid w:val="001926A7"/>
    <w:rsid w:val="00192A3D"/>
    <w:rsid w:val="00193226"/>
    <w:rsid w:val="00193460"/>
    <w:rsid w:val="00193D66"/>
    <w:rsid w:val="00195146"/>
    <w:rsid w:val="00195631"/>
    <w:rsid w:val="001956C2"/>
    <w:rsid w:val="0019590D"/>
    <w:rsid w:val="001962BD"/>
    <w:rsid w:val="0019682C"/>
    <w:rsid w:val="00196C2F"/>
    <w:rsid w:val="00197CB5"/>
    <w:rsid w:val="00197EC8"/>
    <w:rsid w:val="001A006A"/>
    <w:rsid w:val="001A0585"/>
    <w:rsid w:val="001A08B0"/>
    <w:rsid w:val="001A0FFD"/>
    <w:rsid w:val="001A1098"/>
    <w:rsid w:val="001A12BF"/>
    <w:rsid w:val="001A2427"/>
    <w:rsid w:val="001A25FD"/>
    <w:rsid w:val="001A2A05"/>
    <w:rsid w:val="001A2AD1"/>
    <w:rsid w:val="001A2B1F"/>
    <w:rsid w:val="001A2C7F"/>
    <w:rsid w:val="001A3228"/>
    <w:rsid w:val="001A39D3"/>
    <w:rsid w:val="001A4392"/>
    <w:rsid w:val="001A4655"/>
    <w:rsid w:val="001A4C12"/>
    <w:rsid w:val="001A4DA6"/>
    <w:rsid w:val="001A5330"/>
    <w:rsid w:val="001A5693"/>
    <w:rsid w:val="001A57BA"/>
    <w:rsid w:val="001A597B"/>
    <w:rsid w:val="001A5E79"/>
    <w:rsid w:val="001A67B3"/>
    <w:rsid w:val="001A75E4"/>
    <w:rsid w:val="001A7B6A"/>
    <w:rsid w:val="001B021B"/>
    <w:rsid w:val="001B055A"/>
    <w:rsid w:val="001B0717"/>
    <w:rsid w:val="001B0CBB"/>
    <w:rsid w:val="001B1978"/>
    <w:rsid w:val="001B1C51"/>
    <w:rsid w:val="001B1D5A"/>
    <w:rsid w:val="001B31E6"/>
    <w:rsid w:val="001B3278"/>
    <w:rsid w:val="001B3314"/>
    <w:rsid w:val="001B3F4E"/>
    <w:rsid w:val="001B41E5"/>
    <w:rsid w:val="001B4C7F"/>
    <w:rsid w:val="001B4EB1"/>
    <w:rsid w:val="001B59FE"/>
    <w:rsid w:val="001B5AFC"/>
    <w:rsid w:val="001B5DB5"/>
    <w:rsid w:val="001B6777"/>
    <w:rsid w:val="001B6E57"/>
    <w:rsid w:val="001B766E"/>
    <w:rsid w:val="001B7DB3"/>
    <w:rsid w:val="001C0579"/>
    <w:rsid w:val="001C06DC"/>
    <w:rsid w:val="001C086C"/>
    <w:rsid w:val="001C0998"/>
    <w:rsid w:val="001C0ABF"/>
    <w:rsid w:val="001C0B92"/>
    <w:rsid w:val="001C11BA"/>
    <w:rsid w:val="001C13A5"/>
    <w:rsid w:val="001C174F"/>
    <w:rsid w:val="001C1E11"/>
    <w:rsid w:val="001C24CE"/>
    <w:rsid w:val="001C25DA"/>
    <w:rsid w:val="001C28A1"/>
    <w:rsid w:val="001C2F74"/>
    <w:rsid w:val="001C314D"/>
    <w:rsid w:val="001C36DB"/>
    <w:rsid w:val="001C3786"/>
    <w:rsid w:val="001C3E73"/>
    <w:rsid w:val="001C502E"/>
    <w:rsid w:val="001C52E2"/>
    <w:rsid w:val="001C5F57"/>
    <w:rsid w:val="001C6360"/>
    <w:rsid w:val="001C6919"/>
    <w:rsid w:val="001C6F78"/>
    <w:rsid w:val="001C77B3"/>
    <w:rsid w:val="001C78DE"/>
    <w:rsid w:val="001C7C61"/>
    <w:rsid w:val="001D03F2"/>
    <w:rsid w:val="001D06C9"/>
    <w:rsid w:val="001D0A19"/>
    <w:rsid w:val="001D0C5C"/>
    <w:rsid w:val="001D0C62"/>
    <w:rsid w:val="001D0CE7"/>
    <w:rsid w:val="001D0D65"/>
    <w:rsid w:val="001D15B9"/>
    <w:rsid w:val="001D17D7"/>
    <w:rsid w:val="001D2390"/>
    <w:rsid w:val="001D23C4"/>
    <w:rsid w:val="001D29E4"/>
    <w:rsid w:val="001D2A61"/>
    <w:rsid w:val="001D2A65"/>
    <w:rsid w:val="001D2B72"/>
    <w:rsid w:val="001D3121"/>
    <w:rsid w:val="001D34F1"/>
    <w:rsid w:val="001D3821"/>
    <w:rsid w:val="001D3FCA"/>
    <w:rsid w:val="001D41D6"/>
    <w:rsid w:val="001D468B"/>
    <w:rsid w:val="001D4999"/>
    <w:rsid w:val="001D4FE5"/>
    <w:rsid w:val="001D570B"/>
    <w:rsid w:val="001D59EB"/>
    <w:rsid w:val="001D5DE0"/>
    <w:rsid w:val="001D617E"/>
    <w:rsid w:val="001D631D"/>
    <w:rsid w:val="001D6350"/>
    <w:rsid w:val="001D68FF"/>
    <w:rsid w:val="001D6F8C"/>
    <w:rsid w:val="001D7050"/>
    <w:rsid w:val="001D7496"/>
    <w:rsid w:val="001E04DC"/>
    <w:rsid w:val="001E056F"/>
    <w:rsid w:val="001E05E1"/>
    <w:rsid w:val="001E094C"/>
    <w:rsid w:val="001E09CD"/>
    <w:rsid w:val="001E0A6F"/>
    <w:rsid w:val="001E10AE"/>
    <w:rsid w:val="001E2306"/>
    <w:rsid w:val="001E2480"/>
    <w:rsid w:val="001E28B6"/>
    <w:rsid w:val="001E2D34"/>
    <w:rsid w:val="001E2D6F"/>
    <w:rsid w:val="001E2F6D"/>
    <w:rsid w:val="001E33AD"/>
    <w:rsid w:val="001E3409"/>
    <w:rsid w:val="001E3C0A"/>
    <w:rsid w:val="001E3E27"/>
    <w:rsid w:val="001E4052"/>
    <w:rsid w:val="001E4594"/>
    <w:rsid w:val="001E462C"/>
    <w:rsid w:val="001E4725"/>
    <w:rsid w:val="001E4778"/>
    <w:rsid w:val="001E4D1A"/>
    <w:rsid w:val="001E4DB8"/>
    <w:rsid w:val="001E4E88"/>
    <w:rsid w:val="001E4F79"/>
    <w:rsid w:val="001E4F9F"/>
    <w:rsid w:val="001E524C"/>
    <w:rsid w:val="001E549D"/>
    <w:rsid w:val="001E57F2"/>
    <w:rsid w:val="001E5CD7"/>
    <w:rsid w:val="001E5DAE"/>
    <w:rsid w:val="001E66C3"/>
    <w:rsid w:val="001E6A21"/>
    <w:rsid w:val="001E6B78"/>
    <w:rsid w:val="001E776C"/>
    <w:rsid w:val="001F0207"/>
    <w:rsid w:val="001F055B"/>
    <w:rsid w:val="001F150F"/>
    <w:rsid w:val="001F16DD"/>
    <w:rsid w:val="001F1E68"/>
    <w:rsid w:val="001F1E8E"/>
    <w:rsid w:val="001F1F31"/>
    <w:rsid w:val="001F2395"/>
    <w:rsid w:val="001F2B01"/>
    <w:rsid w:val="001F2B6E"/>
    <w:rsid w:val="001F2F54"/>
    <w:rsid w:val="001F3202"/>
    <w:rsid w:val="001F33FB"/>
    <w:rsid w:val="001F413C"/>
    <w:rsid w:val="001F4241"/>
    <w:rsid w:val="001F513C"/>
    <w:rsid w:val="001F52C4"/>
    <w:rsid w:val="001F545D"/>
    <w:rsid w:val="001F55E3"/>
    <w:rsid w:val="001F5834"/>
    <w:rsid w:val="001F5AF5"/>
    <w:rsid w:val="001F5D88"/>
    <w:rsid w:val="001F5F17"/>
    <w:rsid w:val="001F6338"/>
    <w:rsid w:val="001F688D"/>
    <w:rsid w:val="001F6F8A"/>
    <w:rsid w:val="001F7698"/>
    <w:rsid w:val="001F76AC"/>
    <w:rsid w:val="001F7EB4"/>
    <w:rsid w:val="002005FE"/>
    <w:rsid w:val="0020085D"/>
    <w:rsid w:val="00201832"/>
    <w:rsid w:val="00201C17"/>
    <w:rsid w:val="00202256"/>
    <w:rsid w:val="002026B7"/>
    <w:rsid w:val="00202915"/>
    <w:rsid w:val="00202EFA"/>
    <w:rsid w:val="00202F0B"/>
    <w:rsid w:val="002031CA"/>
    <w:rsid w:val="0020378C"/>
    <w:rsid w:val="002037A1"/>
    <w:rsid w:val="00203AA8"/>
    <w:rsid w:val="00203EAD"/>
    <w:rsid w:val="00204589"/>
    <w:rsid w:val="00204C2D"/>
    <w:rsid w:val="00204D50"/>
    <w:rsid w:val="00204E8C"/>
    <w:rsid w:val="00204FF0"/>
    <w:rsid w:val="00205039"/>
    <w:rsid w:val="002061D4"/>
    <w:rsid w:val="002068D4"/>
    <w:rsid w:val="00206995"/>
    <w:rsid w:val="00206CA5"/>
    <w:rsid w:val="002070A6"/>
    <w:rsid w:val="002072D5"/>
    <w:rsid w:val="00207D15"/>
    <w:rsid w:val="00207ECC"/>
    <w:rsid w:val="00207FA7"/>
    <w:rsid w:val="00210699"/>
    <w:rsid w:val="00210968"/>
    <w:rsid w:val="00210DC2"/>
    <w:rsid w:val="00211029"/>
    <w:rsid w:val="00211654"/>
    <w:rsid w:val="00211755"/>
    <w:rsid w:val="00211AA2"/>
    <w:rsid w:val="00211B87"/>
    <w:rsid w:val="00211F18"/>
    <w:rsid w:val="0021229D"/>
    <w:rsid w:val="002122EC"/>
    <w:rsid w:val="00212538"/>
    <w:rsid w:val="0021279B"/>
    <w:rsid w:val="00212AE2"/>
    <w:rsid w:val="00212B9A"/>
    <w:rsid w:val="0021313E"/>
    <w:rsid w:val="0021363A"/>
    <w:rsid w:val="0021366D"/>
    <w:rsid w:val="002141CB"/>
    <w:rsid w:val="00215053"/>
    <w:rsid w:val="0021511B"/>
    <w:rsid w:val="0021555D"/>
    <w:rsid w:val="00215F86"/>
    <w:rsid w:val="00216A49"/>
    <w:rsid w:val="00216FB4"/>
    <w:rsid w:val="002170CD"/>
    <w:rsid w:val="002171C8"/>
    <w:rsid w:val="002177DC"/>
    <w:rsid w:val="002200A5"/>
    <w:rsid w:val="00220680"/>
    <w:rsid w:val="00220804"/>
    <w:rsid w:val="00220878"/>
    <w:rsid w:val="00221BF5"/>
    <w:rsid w:val="00222236"/>
    <w:rsid w:val="00222303"/>
    <w:rsid w:val="002225D3"/>
    <w:rsid w:val="00222645"/>
    <w:rsid w:val="00222CF4"/>
    <w:rsid w:val="00222CFD"/>
    <w:rsid w:val="00222DFA"/>
    <w:rsid w:val="002230F6"/>
    <w:rsid w:val="00223118"/>
    <w:rsid w:val="002232EA"/>
    <w:rsid w:val="00223B20"/>
    <w:rsid w:val="0022440B"/>
    <w:rsid w:val="002246F8"/>
    <w:rsid w:val="0022471B"/>
    <w:rsid w:val="00224AFE"/>
    <w:rsid w:val="0022570C"/>
    <w:rsid w:val="0022586E"/>
    <w:rsid w:val="00225A57"/>
    <w:rsid w:val="00226A93"/>
    <w:rsid w:val="00227791"/>
    <w:rsid w:val="0022795B"/>
    <w:rsid w:val="002279A8"/>
    <w:rsid w:val="00227D6D"/>
    <w:rsid w:val="00230438"/>
    <w:rsid w:val="002304A1"/>
    <w:rsid w:val="0023073A"/>
    <w:rsid w:val="00230758"/>
    <w:rsid w:val="0023078F"/>
    <w:rsid w:val="00230A50"/>
    <w:rsid w:val="00230A98"/>
    <w:rsid w:val="0023176B"/>
    <w:rsid w:val="00231921"/>
    <w:rsid w:val="00231B4F"/>
    <w:rsid w:val="00231F0E"/>
    <w:rsid w:val="00233256"/>
    <w:rsid w:val="00233B33"/>
    <w:rsid w:val="00233D70"/>
    <w:rsid w:val="00233F1D"/>
    <w:rsid w:val="00234C48"/>
    <w:rsid w:val="00235142"/>
    <w:rsid w:val="00235304"/>
    <w:rsid w:val="0023535F"/>
    <w:rsid w:val="00235A6D"/>
    <w:rsid w:val="00235C2E"/>
    <w:rsid w:val="00235CBB"/>
    <w:rsid w:val="00236E31"/>
    <w:rsid w:val="00237013"/>
    <w:rsid w:val="0023794C"/>
    <w:rsid w:val="002379A1"/>
    <w:rsid w:val="00237C92"/>
    <w:rsid w:val="00240452"/>
    <w:rsid w:val="002418FC"/>
    <w:rsid w:val="002419AA"/>
    <w:rsid w:val="00241F5D"/>
    <w:rsid w:val="002424B9"/>
    <w:rsid w:val="00242759"/>
    <w:rsid w:val="00242A54"/>
    <w:rsid w:val="00242A98"/>
    <w:rsid w:val="0024343E"/>
    <w:rsid w:val="00244283"/>
    <w:rsid w:val="0024483D"/>
    <w:rsid w:val="00244853"/>
    <w:rsid w:val="00244D18"/>
    <w:rsid w:val="00244DBD"/>
    <w:rsid w:val="00244FC1"/>
    <w:rsid w:val="00245810"/>
    <w:rsid w:val="00245A26"/>
    <w:rsid w:val="00245BA8"/>
    <w:rsid w:val="00245E17"/>
    <w:rsid w:val="002472B7"/>
    <w:rsid w:val="002477B5"/>
    <w:rsid w:val="00247907"/>
    <w:rsid w:val="00247AA3"/>
    <w:rsid w:val="00247C4B"/>
    <w:rsid w:val="00247E0F"/>
    <w:rsid w:val="00250535"/>
    <w:rsid w:val="00250A0B"/>
    <w:rsid w:val="00251157"/>
    <w:rsid w:val="00251200"/>
    <w:rsid w:val="002522A2"/>
    <w:rsid w:val="002526EE"/>
    <w:rsid w:val="002528FD"/>
    <w:rsid w:val="00252A81"/>
    <w:rsid w:val="00252B3F"/>
    <w:rsid w:val="00252DF0"/>
    <w:rsid w:val="002534AB"/>
    <w:rsid w:val="00253721"/>
    <w:rsid w:val="0025374A"/>
    <w:rsid w:val="002539EF"/>
    <w:rsid w:val="00253BC6"/>
    <w:rsid w:val="00253C8D"/>
    <w:rsid w:val="00253D8D"/>
    <w:rsid w:val="00253F43"/>
    <w:rsid w:val="002542D7"/>
    <w:rsid w:val="00254C98"/>
    <w:rsid w:val="00254ECF"/>
    <w:rsid w:val="00254F24"/>
    <w:rsid w:val="00255D78"/>
    <w:rsid w:val="002560C0"/>
    <w:rsid w:val="00256298"/>
    <w:rsid w:val="00256404"/>
    <w:rsid w:val="0025696D"/>
    <w:rsid w:val="00256AA1"/>
    <w:rsid w:val="00256C54"/>
    <w:rsid w:val="00256DC8"/>
    <w:rsid w:val="002575F3"/>
    <w:rsid w:val="00257917"/>
    <w:rsid w:val="00257F1E"/>
    <w:rsid w:val="00260DC7"/>
    <w:rsid w:val="0026101B"/>
    <w:rsid w:val="0026136A"/>
    <w:rsid w:val="00261BD8"/>
    <w:rsid w:val="00261C26"/>
    <w:rsid w:val="002625C5"/>
    <w:rsid w:val="00262694"/>
    <w:rsid w:val="002635D2"/>
    <w:rsid w:val="00263603"/>
    <w:rsid w:val="0026378A"/>
    <w:rsid w:val="00263A96"/>
    <w:rsid w:val="00263CEA"/>
    <w:rsid w:val="00263D4F"/>
    <w:rsid w:val="00263EEF"/>
    <w:rsid w:val="00265012"/>
    <w:rsid w:val="00265083"/>
    <w:rsid w:val="002652B7"/>
    <w:rsid w:val="002652BB"/>
    <w:rsid w:val="00265512"/>
    <w:rsid w:val="0026556C"/>
    <w:rsid w:val="002655AE"/>
    <w:rsid w:val="00265DEB"/>
    <w:rsid w:val="002662D6"/>
    <w:rsid w:val="002662DD"/>
    <w:rsid w:val="00266C2B"/>
    <w:rsid w:val="0026703F"/>
    <w:rsid w:val="00267244"/>
    <w:rsid w:val="002675A6"/>
    <w:rsid w:val="002679EF"/>
    <w:rsid w:val="0027008B"/>
    <w:rsid w:val="002700BF"/>
    <w:rsid w:val="002703D6"/>
    <w:rsid w:val="0027046B"/>
    <w:rsid w:val="00270486"/>
    <w:rsid w:val="002707AF"/>
    <w:rsid w:val="002709BC"/>
    <w:rsid w:val="00271922"/>
    <w:rsid w:val="00271A0E"/>
    <w:rsid w:val="00272272"/>
    <w:rsid w:val="00272307"/>
    <w:rsid w:val="002723E4"/>
    <w:rsid w:val="00272774"/>
    <w:rsid w:val="00272B14"/>
    <w:rsid w:val="00272C0C"/>
    <w:rsid w:val="00272DC6"/>
    <w:rsid w:val="00274463"/>
    <w:rsid w:val="00274606"/>
    <w:rsid w:val="00274FBD"/>
    <w:rsid w:val="0027511C"/>
    <w:rsid w:val="00275EFF"/>
    <w:rsid w:val="002761C0"/>
    <w:rsid w:val="0027626B"/>
    <w:rsid w:val="0027634F"/>
    <w:rsid w:val="00276417"/>
    <w:rsid w:val="002764E4"/>
    <w:rsid w:val="00276B34"/>
    <w:rsid w:val="00276D70"/>
    <w:rsid w:val="00277819"/>
    <w:rsid w:val="00277828"/>
    <w:rsid w:val="002779C9"/>
    <w:rsid w:val="00277E63"/>
    <w:rsid w:val="00280E81"/>
    <w:rsid w:val="0028139E"/>
    <w:rsid w:val="0028142C"/>
    <w:rsid w:val="00281A41"/>
    <w:rsid w:val="002824C1"/>
    <w:rsid w:val="002825A5"/>
    <w:rsid w:val="00282A41"/>
    <w:rsid w:val="00282ACA"/>
    <w:rsid w:val="00282EEF"/>
    <w:rsid w:val="00283285"/>
    <w:rsid w:val="00283C89"/>
    <w:rsid w:val="00284685"/>
    <w:rsid w:val="00284D0B"/>
    <w:rsid w:val="00284DCB"/>
    <w:rsid w:val="002855F8"/>
    <w:rsid w:val="00285826"/>
    <w:rsid w:val="00285922"/>
    <w:rsid w:val="00285C75"/>
    <w:rsid w:val="00285EEC"/>
    <w:rsid w:val="0028631F"/>
    <w:rsid w:val="002863A4"/>
    <w:rsid w:val="00286C4F"/>
    <w:rsid w:val="00286DE3"/>
    <w:rsid w:val="0028712C"/>
    <w:rsid w:val="00287183"/>
    <w:rsid w:val="002871CD"/>
    <w:rsid w:val="002873E0"/>
    <w:rsid w:val="00287DE5"/>
    <w:rsid w:val="00287FAB"/>
    <w:rsid w:val="00290468"/>
    <w:rsid w:val="00290AA4"/>
    <w:rsid w:val="00290B96"/>
    <w:rsid w:val="00290C86"/>
    <w:rsid w:val="00291163"/>
    <w:rsid w:val="002913CD"/>
    <w:rsid w:val="00291522"/>
    <w:rsid w:val="002916D1"/>
    <w:rsid w:val="00291C6B"/>
    <w:rsid w:val="00291E4F"/>
    <w:rsid w:val="00291E94"/>
    <w:rsid w:val="002920E5"/>
    <w:rsid w:val="002922B9"/>
    <w:rsid w:val="0029237D"/>
    <w:rsid w:val="00292530"/>
    <w:rsid w:val="0029285E"/>
    <w:rsid w:val="0029288B"/>
    <w:rsid w:val="00292C86"/>
    <w:rsid w:val="00293264"/>
    <w:rsid w:val="002932F5"/>
    <w:rsid w:val="00293588"/>
    <w:rsid w:val="00293959"/>
    <w:rsid w:val="002940CF"/>
    <w:rsid w:val="0029449F"/>
    <w:rsid w:val="00294A01"/>
    <w:rsid w:val="00294B29"/>
    <w:rsid w:val="00294BDE"/>
    <w:rsid w:val="00294E1B"/>
    <w:rsid w:val="0029561E"/>
    <w:rsid w:val="00295744"/>
    <w:rsid w:val="00295F2A"/>
    <w:rsid w:val="002960AF"/>
    <w:rsid w:val="0029614C"/>
    <w:rsid w:val="002964AD"/>
    <w:rsid w:val="00296E38"/>
    <w:rsid w:val="002970BB"/>
    <w:rsid w:val="002970D7"/>
    <w:rsid w:val="00297131"/>
    <w:rsid w:val="002972D6"/>
    <w:rsid w:val="002976D8"/>
    <w:rsid w:val="00297C63"/>
    <w:rsid w:val="00297D75"/>
    <w:rsid w:val="00297D90"/>
    <w:rsid w:val="002A00ED"/>
    <w:rsid w:val="002A0A4C"/>
    <w:rsid w:val="002A10EC"/>
    <w:rsid w:val="002A142E"/>
    <w:rsid w:val="002A1887"/>
    <w:rsid w:val="002A1962"/>
    <w:rsid w:val="002A1CB5"/>
    <w:rsid w:val="002A1D0F"/>
    <w:rsid w:val="002A1D71"/>
    <w:rsid w:val="002A1E68"/>
    <w:rsid w:val="002A213A"/>
    <w:rsid w:val="002A2C12"/>
    <w:rsid w:val="002A2F2D"/>
    <w:rsid w:val="002A317E"/>
    <w:rsid w:val="002A382E"/>
    <w:rsid w:val="002A3C75"/>
    <w:rsid w:val="002A4746"/>
    <w:rsid w:val="002A47FB"/>
    <w:rsid w:val="002A48CE"/>
    <w:rsid w:val="002A4FC4"/>
    <w:rsid w:val="002A5B69"/>
    <w:rsid w:val="002A5F59"/>
    <w:rsid w:val="002A6347"/>
    <w:rsid w:val="002A6539"/>
    <w:rsid w:val="002A6565"/>
    <w:rsid w:val="002A6E94"/>
    <w:rsid w:val="002A7122"/>
    <w:rsid w:val="002A71BB"/>
    <w:rsid w:val="002A7B05"/>
    <w:rsid w:val="002B024B"/>
    <w:rsid w:val="002B0403"/>
    <w:rsid w:val="002B0859"/>
    <w:rsid w:val="002B0AA3"/>
    <w:rsid w:val="002B0B89"/>
    <w:rsid w:val="002B0CA9"/>
    <w:rsid w:val="002B0D82"/>
    <w:rsid w:val="002B0F23"/>
    <w:rsid w:val="002B12A4"/>
    <w:rsid w:val="002B166C"/>
    <w:rsid w:val="002B1C5B"/>
    <w:rsid w:val="002B1D93"/>
    <w:rsid w:val="002B2177"/>
    <w:rsid w:val="002B2711"/>
    <w:rsid w:val="002B2A74"/>
    <w:rsid w:val="002B3F51"/>
    <w:rsid w:val="002B466D"/>
    <w:rsid w:val="002B46E5"/>
    <w:rsid w:val="002B49F9"/>
    <w:rsid w:val="002B50AC"/>
    <w:rsid w:val="002B5AE3"/>
    <w:rsid w:val="002B619E"/>
    <w:rsid w:val="002B63B2"/>
    <w:rsid w:val="002B6950"/>
    <w:rsid w:val="002B6E76"/>
    <w:rsid w:val="002B6F50"/>
    <w:rsid w:val="002B7178"/>
    <w:rsid w:val="002B7293"/>
    <w:rsid w:val="002B7746"/>
    <w:rsid w:val="002B7D18"/>
    <w:rsid w:val="002C0963"/>
    <w:rsid w:val="002C0FA0"/>
    <w:rsid w:val="002C1205"/>
    <w:rsid w:val="002C1248"/>
    <w:rsid w:val="002C1273"/>
    <w:rsid w:val="002C160A"/>
    <w:rsid w:val="002C16D2"/>
    <w:rsid w:val="002C17D4"/>
    <w:rsid w:val="002C18CA"/>
    <w:rsid w:val="002C1DA9"/>
    <w:rsid w:val="002C20AF"/>
    <w:rsid w:val="002C20C6"/>
    <w:rsid w:val="002C31AB"/>
    <w:rsid w:val="002C3714"/>
    <w:rsid w:val="002C4A68"/>
    <w:rsid w:val="002C4E82"/>
    <w:rsid w:val="002C4F0B"/>
    <w:rsid w:val="002C50D9"/>
    <w:rsid w:val="002C514D"/>
    <w:rsid w:val="002C5172"/>
    <w:rsid w:val="002C53B0"/>
    <w:rsid w:val="002C548A"/>
    <w:rsid w:val="002C54E5"/>
    <w:rsid w:val="002C58BF"/>
    <w:rsid w:val="002C62D3"/>
    <w:rsid w:val="002C654D"/>
    <w:rsid w:val="002C6AFF"/>
    <w:rsid w:val="002C70DC"/>
    <w:rsid w:val="002C74C0"/>
    <w:rsid w:val="002D0046"/>
    <w:rsid w:val="002D0475"/>
    <w:rsid w:val="002D070A"/>
    <w:rsid w:val="002D0716"/>
    <w:rsid w:val="002D09B3"/>
    <w:rsid w:val="002D0F65"/>
    <w:rsid w:val="002D1F77"/>
    <w:rsid w:val="002D231B"/>
    <w:rsid w:val="002D2DE0"/>
    <w:rsid w:val="002D2FFF"/>
    <w:rsid w:val="002D3D43"/>
    <w:rsid w:val="002D4088"/>
    <w:rsid w:val="002D45A3"/>
    <w:rsid w:val="002D4865"/>
    <w:rsid w:val="002D5E12"/>
    <w:rsid w:val="002D6D15"/>
    <w:rsid w:val="002D6DD3"/>
    <w:rsid w:val="002D7CE7"/>
    <w:rsid w:val="002E013D"/>
    <w:rsid w:val="002E132A"/>
    <w:rsid w:val="002E153E"/>
    <w:rsid w:val="002E1583"/>
    <w:rsid w:val="002E173C"/>
    <w:rsid w:val="002E17EC"/>
    <w:rsid w:val="002E18A2"/>
    <w:rsid w:val="002E18DA"/>
    <w:rsid w:val="002E1E20"/>
    <w:rsid w:val="002E2C4C"/>
    <w:rsid w:val="002E2E04"/>
    <w:rsid w:val="002E3371"/>
    <w:rsid w:val="002E3787"/>
    <w:rsid w:val="002E394D"/>
    <w:rsid w:val="002E39AB"/>
    <w:rsid w:val="002E3AAC"/>
    <w:rsid w:val="002E3D48"/>
    <w:rsid w:val="002E3EBC"/>
    <w:rsid w:val="002E42E4"/>
    <w:rsid w:val="002E4C69"/>
    <w:rsid w:val="002E4D97"/>
    <w:rsid w:val="002E5003"/>
    <w:rsid w:val="002E5723"/>
    <w:rsid w:val="002E5763"/>
    <w:rsid w:val="002E5927"/>
    <w:rsid w:val="002E7874"/>
    <w:rsid w:val="002E7FDD"/>
    <w:rsid w:val="002F0CAF"/>
    <w:rsid w:val="002F0FD2"/>
    <w:rsid w:val="002F19CB"/>
    <w:rsid w:val="002F21CD"/>
    <w:rsid w:val="002F287A"/>
    <w:rsid w:val="002F2969"/>
    <w:rsid w:val="002F2C16"/>
    <w:rsid w:val="002F3B55"/>
    <w:rsid w:val="002F3CBA"/>
    <w:rsid w:val="002F3EFA"/>
    <w:rsid w:val="002F3FE6"/>
    <w:rsid w:val="002F4463"/>
    <w:rsid w:val="002F4634"/>
    <w:rsid w:val="002F4B34"/>
    <w:rsid w:val="002F504A"/>
    <w:rsid w:val="002F5070"/>
    <w:rsid w:val="002F507A"/>
    <w:rsid w:val="002F5438"/>
    <w:rsid w:val="002F5739"/>
    <w:rsid w:val="002F58E8"/>
    <w:rsid w:val="002F5E73"/>
    <w:rsid w:val="002F60DE"/>
    <w:rsid w:val="002F68B9"/>
    <w:rsid w:val="002F68DF"/>
    <w:rsid w:val="002F6EA6"/>
    <w:rsid w:val="002F6FB8"/>
    <w:rsid w:val="002F75C1"/>
    <w:rsid w:val="002F7826"/>
    <w:rsid w:val="002F7D59"/>
    <w:rsid w:val="002F7D9B"/>
    <w:rsid w:val="0030018E"/>
    <w:rsid w:val="00300D3C"/>
    <w:rsid w:val="00300F7A"/>
    <w:rsid w:val="0030109A"/>
    <w:rsid w:val="003013DB"/>
    <w:rsid w:val="00301E28"/>
    <w:rsid w:val="0030256E"/>
    <w:rsid w:val="0030287F"/>
    <w:rsid w:val="003028D6"/>
    <w:rsid w:val="00302C96"/>
    <w:rsid w:val="00302EF9"/>
    <w:rsid w:val="0030349E"/>
    <w:rsid w:val="003038D9"/>
    <w:rsid w:val="00303B20"/>
    <w:rsid w:val="00303B3E"/>
    <w:rsid w:val="003043FA"/>
    <w:rsid w:val="00304823"/>
    <w:rsid w:val="003048AD"/>
    <w:rsid w:val="00304FF0"/>
    <w:rsid w:val="003057B8"/>
    <w:rsid w:val="00306293"/>
    <w:rsid w:val="003069E3"/>
    <w:rsid w:val="00306F5D"/>
    <w:rsid w:val="0030795E"/>
    <w:rsid w:val="00307A01"/>
    <w:rsid w:val="00307B31"/>
    <w:rsid w:val="00307EFF"/>
    <w:rsid w:val="00307F67"/>
    <w:rsid w:val="0031051B"/>
    <w:rsid w:val="003105A8"/>
    <w:rsid w:val="003106B2"/>
    <w:rsid w:val="0031138F"/>
    <w:rsid w:val="003116EC"/>
    <w:rsid w:val="00311D0E"/>
    <w:rsid w:val="00311F0D"/>
    <w:rsid w:val="00312253"/>
    <w:rsid w:val="00312A6E"/>
    <w:rsid w:val="00312B5E"/>
    <w:rsid w:val="00313022"/>
    <w:rsid w:val="0031389A"/>
    <w:rsid w:val="003139FD"/>
    <w:rsid w:val="003144C7"/>
    <w:rsid w:val="00314FD4"/>
    <w:rsid w:val="00315791"/>
    <w:rsid w:val="00315A07"/>
    <w:rsid w:val="00315A2B"/>
    <w:rsid w:val="00315A47"/>
    <w:rsid w:val="00315D6C"/>
    <w:rsid w:val="00316009"/>
    <w:rsid w:val="0031662D"/>
    <w:rsid w:val="00317073"/>
    <w:rsid w:val="003170F8"/>
    <w:rsid w:val="00317636"/>
    <w:rsid w:val="00317B52"/>
    <w:rsid w:val="00317DEF"/>
    <w:rsid w:val="003200AB"/>
    <w:rsid w:val="003200B8"/>
    <w:rsid w:val="0032028D"/>
    <w:rsid w:val="003205B4"/>
    <w:rsid w:val="003209F6"/>
    <w:rsid w:val="00320BF0"/>
    <w:rsid w:val="00320DB6"/>
    <w:rsid w:val="00321211"/>
    <w:rsid w:val="00321690"/>
    <w:rsid w:val="003217F2"/>
    <w:rsid w:val="00321A93"/>
    <w:rsid w:val="00321E4A"/>
    <w:rsid w:val="00322DA7"/>
    <w:rsid w:val="00322E2E"/>
    <w:rsid w:val="00322F28"/>
    <w:rsid w:val="003230D6"/>
    <w:rsid w:val="00323B3E"/>
    <w:rsid w:val="00323B63"/>
    <w:rsid w:val="00323DF4"/>
    <w:rsid w:val="00324095"/>
    <w:rsid w:val="00324126"/>
    <w:rsid w:val="00324225"/>
    <w:rsid w:val="003243E8"/>
    <w:rsid w:val="00324AF2"/>
    <w:rsid w:val="00324D43"/>
    <w:rsid w:val="0032507F"/>
    <w:rsid w:val="00325397"/>
    <w:rsid w:val="00325882"/>
    <w:rsid w:val="0032597A"/>
    <w:rsid w:val="00325ACE"/>
    <w:rsid w:val="00325AF0"/>
    <w:rsid w:val="00325C99"/>
    <w:rsid w:val="00325FB8"/>
    <w:rsid w:val="00326D0C"/>
    <w:rsid w:val="00326D44"/>
    <w:rsid w:val="00326D8E"/>
    <w:rsid w:val="00326E3C"/>
    <w:rsid w:val="00327EA6"/>
    <w:rsid w:val="00327F68"/>
    <w:rsid w:val="003303D7"/>
    <w:rsid w:val="0033042D"/>
    <w:rsid w:val="003304FC"/>
    <w:rsid w:val="00330529"/>
    <w:rsid w:val="00330836"/>
    <w:rsid w:val="00330FEF"/>
    <w:rsid w:val="00331031"/>
    <w:rsid w:val="0033142C"/>
    <w:rsid w:val="00331EF2"/>
    <w:rsid w:val="00332078"/>
    <w:rsid w:val="003328AE"/>
    <w:rsid w:val="00332B9F"/>
    <w:rsid w:val="00332DAB"/>
    <w:rsid w:val="00333515"/>
    <w:rsid w:val="003336EF"/>
    <w:rsid w:val="0033385D"/>
    <w:rsid w:val="00333F55"/>
    <w:rsid w:val="003341A3"/>
    <w:rsid w:val="003341FB"/>
    <w:rsid w:val="003345FC"/>
    <w:rsid w:val="003348AF"/>
    <w:rsid w:val="00334B0E"/>
    <w:rsid w:val="00334C2B"/>
    <w:rsid w:val="00334DB7"/>
    <w:rsid w:val="00335568"/>
    <w:rsid w:val="00335701"/>
    <w:rsid w:val="00336156"/>
    <w:rsid w:val="00336853"/>
    <w:rsid w:val="00336E4C"/>
    <w:rsid w:val="0033703B"/>
    <w:rsid w:val="003375B9"/>
    <w:rsid w:val="0033763D"/>
    <w:rsid w:val="0033786D"/>
    <w:rsid w:val="00337F38"/>
    <w:rsid w:val="00340532"/>
    <w:rsid w:val="00340778"/>
    <w:rsid w:val="00340909"/>
    <w:rsid w:val="0034155A"/>
    <w:rsid w:val="003416CF"/>
    <w:rsid w:val="00341A4D"/>
    <w:rsid w:val="00341E57"/>
    <w:rsid w:val="0034205F"/>
    <w:rsid w:val="0034290F"/>
    <w:rsid w:val="00342BD7"/>
    <w:rsid w:val="0034318E"/>
    <w:rsid w:val="0034380E"/>
    <w:rsid w:val="00343B03"/>
    <w:rsid w:val="00343F6F"/>
    <w:rsid w:val="003447A0"/>
    <w:rsid w:val="003448C7"/>
    <w:rsid w:val="0034494E"/>
    <w:rsid w:val="00345AC1"/>
    <w:rsid w:val="0034608D"/>
    <w:rsid w:val="003463AD"/>
    <w:rsid w:val="003465DB"/>
    <w:rsid w:val="00346A19"/>
    <w:rsid w:val="00346EC1"/>
    <w:rsid w:val="0034721A"/>
    <w:rsid w:val="003473B3"/>
    <w:rsid w:val="00347AD6"/>
    <w:rsid w:val="00347DC0"/>
    <w:rsid w:val="00347FA6"/>
    <w:rsid w:val="003507CB"/>
    <w:rsid w:val="00350DD4"/>
    <w:rsid w:val="003510F4"/>
    <w:rsid w:val="00351CC0"/>
    <w:rsid w:val="00351D57"/>
    <w:rsid w:val="00352155"/>
    <w:rsid w:val="00352A93"/>
    <w:rsid w:val="00352BCC"/>
    <w:rsid w:val="00352CE0"/>
    <w:rsid w:val="00352D7C"/>
    <w:rsid w:val="00352F43"/>
    <w:rsid w:val="00352FEF"/>
    <w:rsid w:val="003534E6"/>
    <w:rsid w:val="0035354A"/>
    <w:rsid w:val="00353A4D"/>
    <w:rsid w:val="00354360"/>
    <w:rsid w:val="003546AA"/>
    <w:rsid w:val="003550E1"/>
    <w:rsid w:val="003555EF"/>
    <w:rsid w:val="003556A9"/>
    <w:rsid w:val="00355846"/>
    <w:rsid w:val="00355C64"/>
    <w:rsid w:val="003563E8"/>
    <w:rsid w:val="00356636"/>
    <w:rsid w:val="00356A9F"/>
    <w:rsid w:val="00356CBF"/>
    <w:rsid w:val="00356EE6"/>
    <w:rsid w:val="003579C1"/>
    <w:rsid w:val="00357A0E"/>
    <w:rsid w:val="003604F8"/>
    <w:rsid w:val="00360691"/>
    <w:rsid w:val="003608B1"/>
    <w:rsid w:val="00360C86"/>
    <w:rsid w:val="00360D92"/>
    <w:rsid w:val="00361201"/>
    <w:rsid w:val="003617B8"/>
    <w:rsid w:val="00361D35"/>
    <w:rsid w:val="00361E64"/>
    <w:rsid w:val="0036212E"/>
    <w:rsid w:val="00362156"/>
    <w:rsid w:val="003628C4"/>
    <w:rsid w:val="00362B36"/>
    <w:rsid w:val="00362C8E"/>
    <w:rsid w:val="00362EA4"/>
    <w:rsid w:val="00363217"/>
    <w:rsid w:val="00363569"/>
    <w:rsid w:val="003636BF"/>
    <w:rsid w:val="00363E8D"/>
    <w:rsid w:val="00363FC4"/>
    <w:rsid w:val="003643F3"/>
    <w:rsid w:val="00364D34"/>
    <w:rsid w:val="00364D86"/>
    <w:rsid w:val="00365029"/>
    <w:rsid w:val="0036506B"/>
    <w:rsid w:val="0036542E"/>
    <w:rsid w:val="003654F1"/>
    <w:rsid w:val="00365519"/>
    <w:rsid w:val="00365901"/>
    <w:rsid w:val="00365A0C"/>
    <w:rsid w:val="00365F72"/>
    <w:rsid w:val="00366A6B"/>
    <w:rsid w:val="00366B8E"/>
    <w:rsid w:val="00366D6A"/>
    <w:rsid w:val="00366F96"/>
    <w:rsid w:val="00367335"/>
    <w:rsid w:val="003677B3"/>
    <w:rsid w:val="0036787B"/>
    <w:rsid w:val="003679DE"/>
    <w:rsid w:val="00367C7D"/>
    <w:rsid w:val="003706D7"/>
    <w:rsid w:val="00370927"/>
    <w:rsid w:val="00370F9E"/>
    <w:rsid w:val="00371005"/>
    <w:rsid w:val="0037102B"/>
    <w:rsid w:val="00371BBC"/>
    <w:rsid w:val="003722AD"/>
    <w:rsid w:val="003725B6"/>
    <w:rsid w:val="0037316A"/>
    <w:rsid w:val="003733A1"/>
    <w:rsid w:val="0037364B"/>
    <w:rsid w:val="0037393D"/>
    <w:rsid w:val="00374179"/>
    <w:rsid w:val="003742E3"/>
    <w:rsid w:val="0037434D"/>
    <w:rsid w:val="003748AE"/>
    <w:rsid w:val="00374D2E"/>
    <w:rsid w:val="00375013"/>
    <w:rsid w:val="00375606"/>
    <w:rsid w:val="00375933"/>
    <w:rsid w:val="003762F3"/>
    <w:rsid w:val="0037651F"/>
    <w:rsid w:val="00376B20"/>
    <w:rsid w:val="00377105"/>
    <w:rsid w:val="003774E7"/>
    <w:rsid w:val="0037784D"/>
    <w:rsid w:val="00377A74"/>
    <w:rsid w:val="00377A8D"/>
    <w:rsid w:val="00377C80"/>
    <w:rsid w:val="00377DCF"/>
    <w:rsid w:val="00377DF6"/>
    <w:rsid w:val="003803C4"/>
    <w:rsid w:val="003806B2"/>
    <w:rsid w:val="0038143B"/>
    <w:rsid w:val="003819C5"/>
    <w:rsid w:val="00381C32"/>
    <w:rsid w:val="00382330"/>
    <w:rsid w:val="0038239B"/>
    <w:rsid w:val="00382C30"/>
    <w:rsid w:val="00382D2F"/>
    <w:rsid w:val="00383063"/>
    <w:rsid w:val="003837FB"/>
    <w:rsid w:val="00383845"/>
    <w:rsid w:val="00383A2B"/>
    <w:rsid w:val="00383D04"/>
    <w:rsid w:val="00384A4B"/>
    <w:rsid w:val="00384DAA"/>
    <w:rsid w:val="00384F11"/>
    <w:rsid w:val="00385337"/>
    <w:rsid w:val="00385683"/>
    <w:rsid w:val="00385A85"/>
    <w:rsid w:val="00385E23"/>
    <w:rsid w:val="00385F77"/>
    <w:rsid w:val="00386AF3"/>
    <w:rsid w:val="0038735A"/>
    <w:rsid w:val="00387368"/>
    <w:rsid w:val="00387850"/>
    <w:rsid w:val="00387A0B"/>
    <w:rsid w:val="00387AEE"/>
    <w:rsid w:val="00387BC9"/>
    <w:rsid w:val="00390650"/>
    <w:rsid w:val="0039082B"/>
    <w:rsid w:val="0039096F"/>
    <w:rsid w:val="00391070"/>
    <w:rsid w:val="00391225"/>
    <w:rsid w:val="0039143C"/>
    <w:rsid w:val="0039151F"/>
    <w:rsid w:val="00391F7A"/>
    <w:rsid w:val="00391F83"/>
    <w:rsid w:val="003920EE"/>
    <w:rsid w:val="003921CC"/>
    <w:rsid w:val="003923DE"/>
    <w:rsid w:val="0039273E"/>
    <w:rsid w:val="0039289D"/>
    <w:rsid w:val="00392C9C"/>
    <w:rsid w:val="003933EC"/>
    <w:rsid w:val="00393BA4"/>
    <w:rsid w:val="00393C0D"/>
    <w:rsid w:val="0039401C"/>
    <w:rsid w:val="0039406D"/>
    <w:rsid w:val="003946DF"/>
    <w:rsid w:val="003947E5"/>
    <w:rsid w:val="00394AC8"/>
    <w:rsid w:val="00394B57"/>
    <w:rsid w:val="00394CD8"/>
    <w:rsid w:val="00395201"/>
    <w:rsid w:val="00395469"/>
    <w:rsid w:val="0039559F"/>
    <w:rsid w:val="003955B3"/>
    <w:rsid w:val="00395F2E"/>
    <w:rsid w:val="00396769"/>
    <w:rsid w:val="00397127"/>
    <w:rsid w:val="003A001F"/>
    <w:rsid w:val="003A020F"/>
    <w:rsid w:val="003A0723"/>
    <w:rsid w:val="003A0750"/>
    <w:rsid w:val="003A0D22"/>
    <w:rsid w:val="003A0DC5"/>
    <w:rsid w:val="003A14AF"/>
    <w:rsid w:val="003A17F5"/>
    <w:rsid w:val="003A17F7"/>
    <w:rsid w:val="003A1C52"/>
    <w:rsid w:val="003A1FC9"/>
    <w:rsid w:val="003A26C7"/>
    <w:rsid w:val="003A27E2"/>
    <w:rsid w:val="003A28A6"/>
    <w:rsid w:val="003A39FA"/>
    <w:rsid w:val="003A3B5C"/>
    <w:rsid w:val="003A3CF9"/>
    <w:rsid w:val="003A494D"/>
    <w:rsid w:val="003A4BB3"/>
    <w:rsid w:val="003A4CCA"/>
    <w:rsid w:val="003A4D2D"/>
    <w:rsid w:val="003A4EBC"/>
    <w:rsid w:val="003A572B"/>
    <w:rsid w:val="003A5B39"/>
    <w:rsid w:val="003A66C0"/>
    <w:rsid w:val="003A6CCE"/>
    <w:rsid w:val="003A6D9C"/>
    <w:rsid w:val="003A6F2E"/>
    <w:rsid w:val="003A6F9D"/>
    <w:rsid w:val="003A7F35"/>
    <w:rsid w:val="003B00EF"/>
    <w:rsid w:val="003B019C"/>
    <w:rsid w:val="003B0649"/>
    <w:rsid w:val="003B06A4"/>
    <w:rsid w:val="003B08DA"/>
    <w:rsid w:val="003B0BC9"/>
    <w:rsid w:val="003B0CED"/>
    <w:rsid w:val="003B13BA"/>
    <w:rsid w:val="003B18A4"/>
    <w:rsid w:val="003B2B42"/>
    <w:rsid w:val="003B3F40"/>
    <w:rsid w:val="003B4538"/>
    <w:rsid w:val="003B4847"/>
    <w:rsid w:val="003B4E19"/>
    <w:rsid w:val="003B50DC"/>
    <w:rsid w:val="003B5611"/>
    <w:rsid w:val="003B5B69"/>
    <w:rsid w:val="003B5B84"/>
    <w:rsid w:val="003B60C1"/>
    <w:rsid w:val="003B6542"/>
    <w:rsid w:val="003B65F6"/>
    <w:rsid w:val="003B66B7"/>
    <w:rsid w:val="003B68EC"/>
    <w:rsid w:val="003B6AD6"/>
    <w:rsid w:val="003B70AB"/>
    <w:rsid w:val="003B7447"/>
    <w:rsid w:val="003B7572"/>
    <w:rsid w:val="003B79F3"/>
    <w:rsid w:val="003C0967"/>
    <w:rsid w:val="003C0ABD"/>
    <w:rsid w:val="003C0D85"/>
    <w:rsid w:val="003C0E7F"/>
    <w:rsid w:val="003C10A7"/>
    <w:rsid w:val="003C12CA"/>
    <w:rsid w:val="003C17EC"/>
    <w:rsid w:val="003C1BB5"/>
    <w:rsid w:val="003C229B"/>
    <w:rsid w:val="003C27A4"/>
    <w:rsid w:val="003C34FD"/>
    <w:rsid w:val="003C3E69"/>
    <w:rsid w:val="003C4669"/>
    <w:rsid w:val="003C4705"/>
    <w:rsid w:val="003C552E"/>
    <w:rsid w:val="003C57C1"/>
    <w:rsid w:val="003C5915"/>
    <w:rsid w:val="003C5946"/>
    <w:rsid w:val="003C5A44"/>
    <w:rsid w:val="003C615D"/>
    <w:rsid w:val="003C6A2D"/>
    <w:rsid w:val="003C6E6D"/>
    <w:rsid w:val="003C70EC"/>
    <w:rsid w:val="003C75C8"/>
    <w:rsid w:val="003C7AE0"/>
    <w:rsid w:val="003D0A5F"/>
    <w:rsid w:val="003D0BD8"/>
    <w:rsid w:val="003D0CD2"/>
    <w:rsid w:val="003D123B"/>
    <w:rsid w:val="003D1666"/>
    <w:rsid w:val="003D1768"/>
    <w:rsid w:val="003D275D"/>
    <w:rsid w:val="003D27EF"/>
    <w:rsid w:val="003D28F1"/>
    <w:rsid w:val="003D36EA"/>
    <w:rsid w:val="003D3FD0"/>
    <w:rsid w:val="003D41BF"/>
    <w:rsid w:val="003D456B"/>
    <w:rsid w:val="003D4A0E"/>
    <w:rsid w:val="003D4FBD"/>
    <w:rsid w:val="003D50F1"/>
    <w:rsid w:val="003D5121"/>
    <w:rsid w:val="003D5E70"/>
    <w:rsid w:val="003D6588"/>
    <w:rsid w:val="003D658E"/>
    <w:rsid w:val="003D66BB"/>
    <w:rsid w:val="003D6E9F"/>
    <w:rsid w:val="003D7203"/>
    <w:rsid w:val="003D78D1"/>
    <w:rsid w:val="003D7B87"/>
    <w:rsid w:val="003E064B"/>
    <w:rsid w:val="003E0915"/>
    <w:rsid w:val="003E0D91"/>
    <w:rsid w:val="003E0D9E"/>
    <w:rsid w:val="003E16DB"/>
    <w:rsid w:val="003E1C7C"/>
    <w:rsid w:val="003E1ECE"/>
    <w:rsid w:val="003E24E4"/>
    <w:rsid w:val="003E2AB1"/>
    <w:rsid w:val="003E2BE0"/>
    <w:rsid w:val="003E3C1F"/>
    <w:rsid w:val="003E3D9B"/>
    <w:rsid w:val="003E432A"/>
    <w:rsid w:val="003E450F"/>
    <w:rsid w:val="003E5289"/>
    <w:rsid w:val="003E5497"/>
    <w:rsid w:val="003E566E"/>
    <w:rsid w:val="003E56B1"/>
    <w:rsid w:val="003E56C0"/>
    <w:rsid w:val="003E57E4"/>
    <w:rsid w:val="003E5CA2"/>
    <w:rsid w:val="003E5D8A"/>
    <w:rsid w:val="003E6204"/>
    <w:rsid w:val="003E655B"/>
    <w:rsid w:val="003E70BE"/>
    <w:rsid w:val="003E7E4D"/>
    <w:rsid w:val="003F0015"/>
    <w:rsid w:val="003F01C2"/>
    <w:rsid w:val="003F0327"/>
    <w:rsid w:val="003F0B82"/>
    <w:rsid w:val="003F0BB5"/>
    <w:rsid w:val="003F0BE4"/>
    <w:rsid w:val="003F0C44"/>
    <w:rsid w:val="003F0EA5"/>
    <w:rsid w:val="003F0F9F"/>
    <w:rsid w:val="003F1093"/>
    <w:rsid w:val="003F1492"/>
    <w:rsid w:val="003F182E"/>
    <w:rsid w:val="003F18E9"/>
    <w:rsid w:val="003F1974"/>
    <w:rsid w:val="003F1A2D"/>
    <w:rsid w:val="003F1F10"/>
    <w:rsid w:val="003F2451"/>
    <w:rsid w:val="003F2693"/>
    <w:rsid w:val="003F2830"/>
    <w:rsid w:val="003F2B7C"/>
    <w:rsid w:val="003F2DD3"/>
    <w:rsid w:val="003F34D9"/>
    <w:rsid w:val="003F351E"/>
    <w:rsid w:val="003F36DB"/>
    <w:rsid w:val="003F3D86"/>
    <w:rsid w:val="003F40C1"/>
    <w:rsid w:val="003F462A"/>
    <w:rsid w:val="003F4C94"/>
    <w:rsid w:val="003F4CEF"/>
    <w:rsid w:val="003F5BBE"/>
    <w:rsid w:val="003F6016"/>
    <w:rsid w:val="003F6D95"/>
    <w:rsid w:val="003F727F"/>
    <w:rsid w:val="003F72EE"/>
    <w:rsid w:val="003F76C0"/>
    <w:rsid w:val="003F799B"/>
    <w:rsid w:val="003F7AF0"/>
    <w:rsid w:val="003F7F5F"/>
    <w:rsid w:val="00400B0C"/>
    <w:rsid w:val="004011A2"/>
    <w:rsid w:val="00401B38"/>
    <w:rsid w:val="00401DC5"/>
    <w:rsid w:val="004029E4"/>
    <w:rsid w:val="00402EFE"/>
    <w:rsid w:val="004030DB"/>
    <w:rsid w:val="00403204"/>
    <w:rsid w:val="004035E8"/>
    <w:rsid w:val="0040397E"/>
    <w:rsid w:val="00403ABF"/>
    <w:rsid w:val="00403D6E"/>
    <w:rsid w:val="00404376"/>
    <w:rsid w:val="00404D6E"/>
    <w:rsid w:val="00405019"/>
    <w:rsid w:val="0040591C"/>
    <w:rsid w:val="0040600D"/>
    <w:rsid w:val="00406045"/>
    <w:rsid w:val="004061EB"/>
    <w:rsid w:val="0040624E"/>
    <w:rsid w:val="00406634"/>
    <w:rsid w:val="00406958"/>
    <w:rsid w:val="00406C22"/>
    <w:rsid w:val="00406E8C"/>
    <w:rsid w:val="004072E8"/>
    <w:rsid w:val="004072EB"/>
    <w:rsid w:val="00407994"/>
    <w:rsid w:val="00407AEA"/>
    <w:rsid w:val="00407CC0"/>
    <w:rsid w:val="00407CDC"/>
    <w:rsid w:val="00408C39"/>
    <w:rsid w:val="0041009D"/>
    <w:rsid w:val="004106B9"/>
    <w:rsid w:val="00410CB8"/>
    <w:rsid w:val="004115E9"/>
    <w:rsid w:val="00411728"/>
    <w:rsid w:val="00411AF5"/>
    <w:rsid w:val="00411B83"/>
    <w:rsid w:val="00411D0E"/>
    <w:rsid w:val="00412366"/>
    <w:rsid w:val="00412478"/>
    <w:rsid w:val="004128B9"/>
    <w:rsid w:val="004129CD"/>
    <w:rsid w:val="00412A24"/>
    <w:rsid w:val="00412A33"/>
    <w:rsid w:val="00412FE9"/>
    <w:rsid w:val="004132A4"/>
    <w:rsid w:val="004138BA"/>
    <w:rsid w:val="00413AD2"/>
    <w:rsid w:val="00413BF7"/>
    <w:rsid w:val="00414DC8"/>
    <w:rsid w:val="004160C0"/>
    <w:rsid w:val="004162FD"/>
    <w:rsid w:val="00416994"/>
    <w:rsid w:val="00416B3A"/>
    <w:rsid w:val="00416C08"/>
    <w:rsid w:val="00417799"/>
    <w:rsid w:val="00417996"/>
    <w:rsid w:val="00417A88"/>
    <w:rsid w:val="00417DB1"/>
    <w:rsid w:val="00417E4B"/>
    <w:rsid w:val="00417EFE"/>
    <w:rsid w:val="00420DC8"/>
    <w:rsid w:val="004213E7"/>
    <w:rsid w:val="004218B6"/>
    <w:rsid w:val="004219F7"/>
    <w:rsid w:val="00421B66"/>
    <w:rsid w:val="00421E61"/>
    <w:rsid w:val="004224E1"/>
    <w:rsid w:val="00422859"/>
    <w:rsid w:val="00422D41"/>
    <w:rsid w:val="00422E0D"/>
    <w:rsid w:val="00422E70"/>
    <w:rsid w:val="00423038"/>
    <w:rsid w:val="0042326D"/>
    <w:rsid w:val="004232B6"/>
    <w:rsid w:val="0042339B"/>
    <w:rsid w:val="00423671"/>
    <w:rsid w:val="00423F9C"/>
    <w:rsid w:val="004240A5"/>
    <w:rsid w:val="00424BB4"/>
    <w:rsid w:val="00424D11"/>
    <w:rsid w:val="00424F40"/>
    <w:rsid w:val="004252F2"/>
    <w:rsid w:val="00425C92"/>
    <w:rsid w:val="004261CB"/>
    <w:rsid w:val="00426215"/>
    <w:rsid w:val="00426614"/>
    <w:rsid w:val="004267F9"/>
    <w:rsid w:val="00426E96"/>
    <w:rsid w:val="004270A9"/>
    <w:rsid w:val="00427162"/>
    <w:rsid w:val="00427363"/>
    <w:rsid w:val="00427385"/>
    <w:rsid w:val="00427D17"/>
    <w:rsid w:val="004303CD"/>
    <w:rsid w:val="00430604"/>
    <w:rsid w:val="00430995"/>
    <w:rsid w:val="00430FDF"/>
    <w:rsid w:val="004317C9"/>
    <w:rsid w:val="00431EDB"/>
    <w:rsid w:val="0043206B"/>
    <w:rsid w:val="004322FE"/>
    <w:rsid w:val="00432399"/>
    <w:rsid w:val="00432FC6"/>
    <w:rsid w:val="004331F6"/>
    <w:rsid w:val="00434D98"/>
    <w:rsid w:val="00435065"/>
    <w:rsid w:val="00435249"/>
    <w:rsid w:val="0043544D"/>
    <w:rsid w:val="00435692"/>
    <w:rsid w:val="004357F8"/>
    <w:rsid w:val="004358E1"/>
    <w:rsid w:val="00435D4D"/>
    <w:rsid w:val="004366BF"/>
    <w:rsid w:val="00437166"/>
    <w:rsid w:val="004371CF"/>
    <w:rsid w:val="004373EC"/>
    <w:rsid w:val="0043784F"/>
    <w:rsid w:val="00437921"/>
    <w:rsid w:val="00437E9C"/>
    <w:rsid w:val="00437EF8"/>
    <w:rsid w:val="00441363"/>
    <w:rsid w:val="00441704"/>
    <w:rsid w:val="00441740"/>
    <w:rsid w:val="00441DA8"/>
    <w:rsid w:val="00441EDC"/>
    <w:rsid w:val="00441F00"/>
    <w:rsid w:val="00442A76"/>
    <w:rsid w:val="0044450D"/>
    <w:rsid w:val="00444594"/>
    <w:rsid w:val="004448F9"/>
    <w:rsid w:val="00444B0B"/>
    <w:rsid w:val="00444EEC"/>
    <w:rsid w:val="00445299"/>
    <w:rsid w:val="004453A5"/>
    <w:rsid w:val="0044555B"/>
    <w:rsid w:val="00445EF2"/>
    <w:rsid w:val="004460E5"/>
    <w:rsid w:val="00447081"/>
    <w:rsid w:val="004509EC"/>
    <w:rsid w:val="00450B9F"/>
    <w:rsid w:val="004510E3"/>
    <w:rsid w:val="00451212"/>
    <w:rsid w:val="00451632"/>
    <w:rsid w:val="004517BA"/>
    <w:rsid w:val="00451862"/>
    <w:rsid w:val="00452074"/>
    <w:rsid w:val="004521A3"/>
    <w:rsid w:val="00452483"/>
    <w:rsid w:val="004527BC"/>
    <w:rsid w:val="00453606"/>
    <w:rsid w:val="00454583"/>
    <w:rsid w:val="00454982"/>
    <w:rsid w:val="00455255"/>
    <w:rsid w:val="0045546B"/>
    <w:rsid w:val="00455E14"/>
    <w:rsid w:val="00455E60"/>
    <w:rsid w:val="00456ACA"/>
    <w:rsid w:val="00456ACC"/>
    <w:rsid w:val="00456E87"/>
    <w:rsid w:val="00456F15"/>
    <w:rsid w:val="0045716D"/>
    <w:rsid w:val="004571E1"/>
    <w:rsid w:val="004604CA"/>
    <w:rsid w:val="00460596"/>
    <w:rsid w:val="00460A4F"/>
    <w:rsid w:val="00461099"/>
    <w:rsid w:val="004610C9"/>
    <w:rsid w:val="0046160B"/>
    <w:rsid w:val="00461DCB"/>
    <w:rsid w:val="00461E8D"/>
    <w:rsid w:val="004620AA"/>
    <w:rsid w:val="00462567"/>
    <w:rsid w:val="00462C7D"/>
    <w:rsid w:val="00462F56"/>
    <w:rsid w:val="00462FA0"/>
    <w:rsid w:val="0046359B"/>
    <w:rsid w:val="00463750"/>
    <w:rsid w:val="00464335"/>
    <w:rsid w:val="00464604"/>
    <w:rsid w:val="00464682"/>
    <w:rsid w:val="00464CBF"/>
    <w:rsid w:val="00465074"/>
    <w:rsid w:val="004657F4"/>
    <w:rsid w:val="00465F93"/>
    <w:rsid w:val="00466200"/>
    <w:rsid w:val="00466205"/>
    <w:rsid w:val="00466756"/>
    <w:rsid w:val="00466BF6"/>
    <w:rsid w:val="00467284"/>
    <w:rsid w:val="00467B5E"/>
    <w:rsid w:val="0047021E"/>
    <w:rsid w:val="0047122F"/>
    <w:rsid w:val="004712B6"/>
    <w:rsid w:val="00471325"/>
    <w:rsid w:val="00471539"/>
    <w:rsid w:val="0047172F"/>
    <w:rsid w:val="00471EBD"/>
    <w:rsid w:val="00471F93"/>
    <w:rsid w:val="00472758"/>
    <w:rsid w:val="00472E91"/>
    <w:rsid w:val="004732F2"/>
    <w:rsid w:val="0047332F"/>
    <w:rsid w:val="0047361B"/>
    <w:rsid w:val="004736C2"/>
    <w:rsid w:val="0047374E"/>
    <w:rsid w:val="00473B77"/>
    <w:rsid w:val="00473D3B"/>
    <w:rsid w:val="00473D7C"/>
    <w:rsid w:val="00474027"/>
    <w:rsid w:val="004740A2"/>
    <w:rsid w:val="00474A0D"/>
    <w:rsid w:val="00474A2B"/>
    <w:rsid w:val="00475C80"/>
    <w:rsid w:val="00475D10"/>
    <w:rsid w:val="00475E77"/>
    <w:rsid w:val="00475EA3"/>
    <w:rsid w:val="00475F90"/>
    <w:rsid w:val="00477123"/>
    <w:rsid w:val="00477294"/>
    <w:rsid w:val="0047765A"/>
    <w:rsid w:val="004776D0"/>
    <w:rsid w:val="00477A92"/>
    <w:rsid w:val="0048056F"/>
    <w:rsid w:val="00480F39"/>
    <w:rsid w:val="004810A8"/>
    <w:rsid w:val="00481110"/>
    <w:rsid w:val="004815D7"/>
    <w:rsid w:val="004821D9"/>
    <w:rsid w:val="00482368"/>
    <w:rsid w:val="004823D5"/>
    <w:rsid w:val="0048356F"/>
    <w:rsid w:val="00483902"/>
    <w:rsid w:val="00484074"/>
    <w:rsid w:val="00484105"/>
    <w:rsid w:val="0048419C"/>
    <w:rsid w:val="00484554"/>
    <w:rsid w:val="0048498E"/>
    <w:rsid w:val="00484EB5"/>
    <w:rsid w:val="00484EEC"/>
    <w:rsid w:val="004850C0"/>
    <w:rsid w:val="004851E2"/>
    <w:rsid w:val="0048532B"/>
    <w:rsid w:val="0048567B"/>
    <w:rsid w:val="0048569F"/>
    <w:rsid w:val="00485A67"/>
    <w:rsid w:val="00485AA0"/>
    <w:rsid w:val="004861F3"/>
    <w:rsid w:val="0048625D"/>
    <w:rsid w:val="004866AE"/>
    <w:rsid w:val="00486B72"/>
    <w:rsid w:val="00486C63"/>
    <w:rsid w:val="004872D8"/>
    <w:rsid w:val="004907D6"/>
    <w:rsid w:val="00490AE5"/>
    <w:rsid w:val="00490E4A"/>
    <w:rsid w:val="00491703"/>
    <w:rsid w:val="0049190B"/>
    <w:rsid w:val="00491CD4"/>
    <w:rsid w:val="00491DDE"/>
    <w:rsid w:val="00491EE8"/>
    <w:rsid w:val="0049278F"/>
    <w:rsid w:val="00492D45"/>
    <w:rsid w:val="0049373A"/>
    <w:rsid w:val="0049391B"/>
    <w:rsid w:val="0049415B"/>
    <w:rsid w:val="004942F7"/>
    <w:rsid w:val="00494820"/>
    <w:rsid w:val="0049514E"/>
    <w:rsid w:val="00495311"/>
    <w:rsid w:val="0049555A"/>
    <w:rsid w:val="0049565E"/>
    <w:rsid w:val="004957D4"/>
    <w:rsid w:val="00495A45"/>
    <w:rsid w:val="00495E03"/>
    <w:rsid w:val="00495E25"/>
    <w:rsid w:val="00495EB8"/>
    <w:rsid w:val="004967A7"/>
    <w:rsid w:val="0049736C"/>
    <w:rsid w:val="004974A7"/>
    <w:rsid w:val="0049774D"/>
    <w:rsid w:val="00497BB7"/>
    <w:rsid w:val="00497F0A"/>
    <w:rsid w:val="004A0748"/>
    <w:rsid w:val="004A0C13"/>
    <w:rsid w:val="004A1195"/>
    <w:rsid w:val="004A172A"/>
    <w:rsid w:val="004A1928"/>
    <w:rsid w:val="004A1C5C"/>
    <w:rsid w:val="004A2396"/>
    <w:rsid w:val="004A3048"/>
    <w:rsid w:val="004A34F2"/>
    <w:rsid w:val="004A3560"/>
    <w:rsid w:val="004A35D6"/>
    <w:rsid w:val="004A3AF4"/>
    <w:rsid w:val="004A406E"/>
    <w:rsid w:val="004A4326"/>
    <w:rsid w:val="004A447E"/>
    <w:rsid w:val="004A44D8"/>
    <w:rsid w:val="004A45A0"/>
    <w:rsid w:val="004A4927"/>
    <w:rsid w:val="004A4A9F"/>
    <w:rsid w:val="004A4ECA"/>
    <w:rsid w:val="004A54D2"/>
    <w:rsid w:val="004A5630"/>
    <w:rsid w:val="004A5A74"/>
    <w:rsid w:val="004A5B73"/>
    <w:rsid w:val="004A665A"/>
    <w:rsid w:val="004A6856"/>
    <w:rsid w:val="004A6AA7"/>
    <w:rsid w:val="004A6BA8"/>
    <w:rsid w:val="004A6CE2"/>
    <w:rsid w:val="004A6D6C"/>
    <w:rsid w:val="004A6FB5"/>
    <w:rsid w:val="004A6FFA"/>
    <w:rsid w:val="004A739A"/>
    <w:rsid w:val="004A7645"/>
    <w:rsid w:val="004A7F1D"/>
    <w:rsid w:val="004B01C3"/>
    <w:rsid w:val="004B01EA"/>
    <w:rsid w:val="004B06F7"/>
    <w:rsid w:val="004B08AA"/>
    <w:rsid w:val="004B10CA"/>
    <w:rsid w:val="004B1262"/>
    <w:rsid w:val="004B1421"/>
    <w:rsid w:val="004B1AEB"/>
    <w:rsid w:val="004B21A0"/>
    <w:rsid w:val="004B21EE"/>
    <w:rsid w:val="004B22EA"/>
    <w:rsid w:val="004B2442"/>
    <w:rsid w:val="004B2529"/>
    <w:rsid w:val="004B254A"/>
    <w:rsid w:val="004B26B2"/>
    <w:rsid w:val="004B29FE"/>
    <w:rsid w:val="004B2B80"/>
    <w:rsid w:val="004B2FC0"/>
    <w:rsid w:val="004B3273"/>
    <w:rsid w:val="004B3756"/>
    <w:rsid w:val="004B385D"/>
    <w:rsid w:val="004B3B9F"/>
    <w:rsid w:val="004B4046"/>
    <w:rsid w:val="004B405E"/>
    <w:rsid w:val="004B41F2"/>
    <w:rsid w:val="004B468A"/>
    <w:rsid w:val="004B4693"/>
    <w:rsid w:val="004B48DA"/>
    <w:rsid w:val="004B49A0"/>
    <w:rsid w:val="004B51FB"/>
    <w:rsid w:val="004B56EF"/>
    <w:rsid w:val="004B570C"/>
    <w:rsid w:val="004B5E3D"/>
    <w:rsid w:val="004B6151"/>
    <w:rsid w:val="004B6311"/>
    <w:rsid w:val="004B63F2"/>
    <w:rsid w:val="004B6AA8"/>
    <w:rsid w:val="004B6E3D"/>
    <w:rsid w:val="004B701C"/>
    <w:rsid w:val="004B788D"/>
    <w:rsid w:val="004B7B95"/>
    <w:rsid w:val="004C01DF"/>
    <w:rsid w:val="004C0385"/>
    <w:rsid w:val="004C080E"/>
    <w:rsid w:val="004C0D59"/>
    <w:rsid w:val="004C0DA9"/>
    <w:rsid w:val="004C0E3E"/>
    <w:rsid w:val="004C150A"/>
    <w:rsid w:val="004C181C"/>
    <w:rsid w:val="004C1F5B"/>
    <w:rsid w:val="004C2507"/>
    <w:rsid w:val="004C25A2"/>
    <w:rsid w:val="004C274E"/>
    <w:rsid w:val="004C28A6"/>
    <w:rsid w:val="004C29FA"/>
    <w:rsid w:val="004C2E30"/>
    <w:rsid w:val="004C335E"/>
    <w:rsid w:val="004C33B2"/>
    <w:rsid w:val="004C345B"/>
    <w:rsid w:val="004C3B44"/>
    <w:rsid w:val="004C3F03"/>
    <w:rsid w:val="004C3FC0"/>
    <w:rsid w:val="004C5165"/>
    <w:rsid w:val="004C51B9"/>
    <w:rsid w:val="004C52BC"/>
    <w:rsid w:val="004C5323"/>
    <w:rsid w:val="004C54BD"/>
    <w:rsid w:val="004C55C6"/>
    <w:rsid w:val="004C5927"/>
    <w:rsid w:val="004C5E23"/>
    <w:rsid w:val="004C6285"/>
    <w:rsid w:val="004C649A"/>
    <w:rsid w:val="004C65B4"/>
    <w:rsid w:val="004C678F"/>
    <w:rsid w:val="004C6985"/>
    <w:rsid w:val="004C6AB9"/>
    <w:rsid w:val="004C6C62"/>
    <w:rsid w:val="004C7056"/>
    <w:rsid w:val="004C7484"/>
    <w:rsid w:val="004C7815"/>
    <w:rsid w:val="004C7C36"/>
    <w:rsid w:val="004D0109"/>
    <w:rsid w:val="004D01A6"/>
    <w:rsid w:val="004D059E"/>
    <w:rsid w:val="004D0A9D"/>
    <w:rsid w:val="004D0B17"/>
    <w:rsid w:val="004D0DE9"/>
    <w:rsid w:val="004D131C"/>
    <w:rsid w:val="004D13CC"/>
    <w:rsid w:val="004D1754"/>
    <w:rsid w:val="004D18FF"/>
    <w:rsid w:val="004D3357"/>
    <w:rsid w:val="004D36BE"/>
    <w:rsid w:val="004D3A43"/>
    <w:rsid w:val="004D3E03"/>
    <w:rsid w:val="004D3E83"/>
    <w:rsid w:val="004D4816"/>
    <w:rsid w:val="004D4A84"/>
    <w:rsid w:val="004D4ABA"/>
    <w:rsid w:val="004D5EF6"/>
    <w:rsid w:val="004D5F6F"/>
    <w:rsid w:val="004D5FEA"/>
    <w:rsid w:val="004D7170"/>
    <w:rsid w:val="004D7A18"/>
    <w:rsid w:val="004E053B"/>
    <w:rsid w:val="004E0875"/>
    <w:rsid w:val="004E0883"/>
    <w:rsid w:val="004E0E1D"/>
    <w:rsid w:val="004E15B5"/>
    <w:rsid w:val="004E16E8"/>
    <w:rsid w:val="004E1AF0"/>
    <w:rsid w:val="004E1B14"/>
    <w:rsid w:val="004E1EBE"/>
    <w:rsid w:val="004E1EF0"/>
    <w:rsid w:val="004E1EF4"/>
    <w:rsid w:val="004E2001"/>
    <w:rsid w:val="004E220A"/>
    <w:rsid w:val="004E2A0D"/>
    <w:rsid w:val="004E2BD9"/>
    <w:rsid w:val="004E2D7B"/>
    <w:rsid w:val="004E3285"/>
    <w:rsid w:val="004E3426"/>
    <w:rsid w:val="004E3465"/>
    <w:rsid w:val="004E391E"/>
    <w:rsid w:val="004E3B5F"/>
    <w:rsid w:val="004E4082"/>
    <w:rsid w:val="004E43BF"/>
    <w:rsid w:val="004E4441"/>
    <w:rsid w:val="004E45B4"/>
    <w:rsid w:val="004E4B43"/>
    <w:rsid w:val="004E5278"/>
    <w:rsid w:val="004E5E30"/>
    <w:rsid w:val="004E5FEA"/>
    <w:rsid w:val="004E69D4"/>
    <w:rsid w:val="004E6BD5"/>
    <w:rsid w:val="004E6F5F"/>
    <w:rsid w:val="004E6F69"/>
    <w:rsid w:val="004E6FF6"/>
    <w:rsid w:val="004E7071"/>
    <w:rsid w:val="004E76D0"/>
    <w:rsid w:val="004E77B8"/>
    <w:rsid w:val="004F05A6"/>
    <w:rsid w:val="004F093D"/>
    <w:rsid w:val="004F0F19"/>
    <w:rsid w:val="004F10F9"/>
    <w:rsid w:val="004F1145"/>
    <w:rsid w:val="004F13F2"/>
    <w:rsid w:val="004F16FA"/>
    <w:rsid w:val="004F1D8F"/>
    <w:rsid w:val="004F24C5"/>
    <w:rsid w:val="004F2BFA"/>
    <w:rsid w:val="004F2DA5"/>
    <w:rsid w:val="004F343A"/>
    <w:rsid w:val="004F36A8"/>
    <w:rsid w:val="004F376D"/>
    <w:rsid w:val="004F4069"/>
    <w:rsid w:val="004F41C3"/>
    <w:rsid w:val="004F442F"/>
    <w:rsid w:val="004F51E7"/>
    <w:rsid w:val="004F59F1"/>
    <w:rsid w:val="004F5AA3"/>
    <w:rsid w:val="004F5FE7"/>
    <w:rsid w:val="004F653C"/>
    <w:rsid w:val="004F68A0"/>
    <w:rsid w:val="004F6F54"/>
    <w:rsid w:val="004F6FC7"/>
    <w:rsid w:val="004F711C"/>
    <w:rsid w:val="004F7259"/>
    <w:rsid w:val="004F792D"/>
    <w:rsid w:val="004F7B9F"/>
    <w:rsid w:val="00500418"/>
    <w:rsid w:val="00500820"/>
    <w:rsid w:val="0050109C"/>
    <w:rsid w:val="00501382"/>
    <w:rsid w:val="0050138C"/>
    <w:rsid w:val="00501408"/>
    <w:rsid w:val="00501844"/>
    <w:rsid w:val="0050190E"/>
    <w:rsid w:val="00501C10"/>
    <w:rsid w:val="00501D2E"/>
    <w:rsid w:val="0050220C"/>
    <w:rsid w:val="0050227F"/>
    <w:rsid w:val="00502324"/>
    <w:rsid w:val="005028CB"/>
    <w:rsid w:val="00502958"/>
    <w:rsid w:val="00502D5F"/>
    <w:rsid w:val="00502D81"/>
    <w:rsid w:val="00503187"/>
    <w:rsid w:val="005040DC"/>
    <w:rsid w:val="005042A2"/>
    <w:rsid w:val="0050455E"/>
    <w:rsid w:val="00505CFB"/>
    <w:rsid w:val="00506653"/>
    <w:rsid w:val="0050677E"/>
    <w:rsid w:val="00506801"/>
    <w:rsid w:val="0050696E"/>
    <w:rsid w:val="005069C4"/>
    <w:rsid w:val="00506ADE"/>
    <w:rsid w:val="00506E10"/>
    <w:rsid w:val="00507184"/>
    <w:rsid w:val="0050760F"/>
    <w:rsid w:val="0050795F"/>
    <w:rsid w:val="00507BA9"/>
    <w:rsid w:val="00510489"/>
    <w:rsid w:val="00510A4D"/>
    <w:rsid w:val="00510C55"/>
    <w:rsid w:val="00510D6E"/>
    <w:rsid w:val="00510F48"/>
    <w:rsid w:val="00511280"/>
    <w:rsid w:val="005119CD"/>
    <w:rsid w:val="00511DDE"/>
    <w:rsid w:val="00511EAF"/>
    <w:rsid w:val="00511F74"/>
    <w:rsid w:val="00512725"/>
    <w:rsid w:val="0051282E"/>
    <w:rsid w:val="00512EF3"/>
    <w:rsid w:val="00512EFF"/>
    <w:rsid w:val="00513006"/>
    <w:rsid w:val="00513618"/>
    <w:rsid w:val="00514218"/>
    <w:rsid w:val="0051455E"/>
    <w:rsid w:val="005148ED"/>
    <w:rsid w:val="00515B71"/>
    <w:rsid w:val="00515FEC"/>
    <w:rsid w:val="00516094"/>
    <w:rsid w:val="00516189"/>
    <w:rsid w:val="0051622D"/>
    <w:rsid w:val="005162DF"/>
    <w:rsid w:val="00516450"/>
    <w:rsid w:val="005164E3"/>
    <w:rsid w:val="0051694F"/>
    <w:rsid w:val="00517A7C"/>
    <w:rsid w:val="00517B19"/>
    <w:rsid w:val="00520909"/>
    <w:rsid w:val="00520B06"/>
    <w:rsid w:val="005213F5"/>
    <w:rsid w:val="0052158E"/>
    <w:rsid w:val="005219CC"/>
    <w:rsid w:val="00521E60"/>
    <w:rsid w:val="00522277"/>
    <w:rsid w:val="00522744"/>
    <w:rsid w:val="00522C84"/>
    <w:rsid w:val="00522FC0"/>
    <w:rsid w:val="00522FFA"/>
    <w:rsid w:val="00523192"/>
    <w:rsid w:val="0052346A"/>
    <w:rsid w:val="005239A9"/>
    <w:rsid w:val="00523AF5"/>
    <w:rsid w:val="00523B38"/>
    <w:rsid w:val="00524C73"/>
    <w:rsid w:val="00524CA7"/>
    <w:rsid w:val="0052543B"/>
    <w:rsid w:val="00525609"/>
    <w:rsid w:val="00525686"/>
    <w:rsid w:val="005256CD"/>
    <w:rsid w:val="0052591C"/>
    <w:rsid w:val="005259FA"/>
    <w:rsid w:val="00526567"/>
    <w:rsid w:val="00527615"/>
    <w:rsid w:val="00527643"/>
    <w:rsid w:val="0052774A"/>
    <w:rsid w:val="00527BA5"/>
    <w:rsid w:val="00527C95"/>
    <w:rsid w:val="00527CE1"/>
    <w:rsid w:val="005300CB"/>
    <w:rsid w:val="0053011D"/>
    <w:rsid w:val="005303B6"/>
    <w:rsid w:val="0053096E"/>
    <w:rsid w:val="00530A74"/>
    <w:rsid w:val="00530E7C"/>
    <w:rsid w:val="00530EB8"/>
    <w:rsid w:val="0053117B"/>
    <w:rsid w:val="005311A9"/>
    <w:rsid w:val="005316A4"/>
    <w:rsid w:val="00531927"/>
    <w:rsid w:val="00531A79"/>
    <w:rsid w:val="00531AC4"/>
    <w:rsid w:val="00531F49"/>
    <w:rsid w:val="0053222B"/>
    <w:rsid w:val="0053266F"/>
    <w:rsid w:val="00532924"/>
    <w:rsid w:val="00532A9B"/>
    <w:rsid w:val="00532BFD"/>
    <w:rsid w:val="00533334"/>
    <w:rsid w:val="005334DD"/>
    <w:rsid w:val="00533815"/>
    <w:rsid w:val="00533878"/>
    <w:rsid w:val="00534C8C"/>
    <w:rsid w:val="0053508E"/>
    <w:rsid w:val="005350E8"/>
    <w:rsid w:val="00535477"/>
    <w:rsid w:val="0053556E"/>
    <w:rsid w:val="00536234"/>
    <w:rsid w:val="00536987"/>
    <w:rsid w:val="00536A18"/>
    <w:rsid w:val="00536EBF"/>
    <w:rsid w:val="00537070"/>
    <w:rsid w:val="00537267"/>
    <w:rsid w:val="005372E9"/>
    <w:rsid w:val="0053731D"/>
    <w:rsid w:val="005376A7"/>
    <w:rsid w:val="0053796B"/>
    <w:rsid w:val="005379ED"/>
    <w:rsid w:val="00537BC7"/>
    <w:rsid w:val="00540152"/>
    <w:rsid w:val="00540209"/>
    <w:rsid w:val="0054036D"/>
    <w:rsid w:val="0054058C"/>
    <w:rsid w:val="00540979"/>
    <w:rsid w:val="005413A0"/>
    <w:rsid w:val="0054190C"/>
    <w:rsid w:val="00541B68"/>
    <w:rsid w:val="0054202E"/>
    <w:rsid w:val="00542608"/>
    <w:rsid w:val="00542A77"/>
    <w:rsid w:val="00542BC6"/>
    <w:rsid w:val="00543449"/>
    <w:rsid w:val="0054371A"/>
    <w:rsid w:val="00543B62"/>
    <w:rsid w:val="00544207"/>
    <w:rsid w:val="0054444B"/>
    <w:rsid w:val="0054552E"/>
    <w:rsid w:val="005455CC"/>
    <w:rsid w:val="00545909"/>
    <w:rsid w:val="00545A21"/>
    <w:rsid w:val="00545A4C"/>
    <w:rsid w:val="00545BFD"/>
    <w:rsid w:val="00545D7B"/>
    <w:rsid w:val="00546063"/>
    <w:rsid w:val="005460E1"/>
    <w:rsid w:val="005462E7"/>
    <w:rsid w:val="00547A38"/>
    <w:rsid w:val="00547BA0"/>
    <w:rsid w:val="00547BBE"/>
    <w:rsid w:val="00547D92"/>
    <w:rsid w:val="00547DFD"/>
    <w:rsid w:val="00547F9B"/>
    <w:rsid w:val="00550BE8"/>
    <w:rsid w:val="00550FF8"/>
    <w:rsid w:val="00551040"/>
    <w:rsid w:val="00551874"/>
    <w:rsid w:val="00552006"/>
    <w:rsid w:val="00552310"/>
    <w:rsid w:val="00552606"/>
    <w:rsid w:val="00552735"/>
    <w:rsid w:val="005528A7"/>
    <w:rsid w:val="005528E7"/>
    <w:rsid w:val="00552E7C"/>
    <w:rsid w:val="00553298"/>
    <w:rsid w:val="00553525"/>
    <w:rsid w:val="0055383E"/>
    <w:rsid w:val="00553A5F"/>
    <w:rsid w:val="00553ABC"/>
    <w:rsid w:val="00553BC9"/>
    <w:rsid w:val="00554247"/>
    <w:rsid w:val="005555B4"/>
    <w:rsid w:val="005560F6"/>
    <w:rsid w:val="00556493"/>
    <w:rsid w:val="00560017"/>
    <w:rsid w:val="00560238"/>
    <w:rsid w:val="005602C9"/>
    <w:rsid w:val="00560691"/>
    <w:rsid w:val="005606BE"/>
    <w:rsid w:val="00560754"/>
    <w:rsid w:val="005607D3"/>
    <w:rsid w:val="00560A3D"/>
    <w:rsid w:val="00560B3B"/>
    <w:rsid w:val="00561A7B"/>
    <w:rsid w:val="00561A8F"/>
    <w:rsid w:val="00561CE2"/>
    <w:rsid w:val="005620A0"/>
    <w:rsid w:val="0056211F"/>
    <w:rsid w:val="00562245"/>
    <w:rsid w:val="005624E9"/>
    <w:rsid w:val="0056251C"/>
    <w:rsid w:val="00562B84"/>
    <w:rsid w:val="00562F86"/>
    <w:rsid w:val="00563114"/>
    <w:rsid w:val="005635EC"/>
    <w:rsid w:val="00563ED0"/>
    <w:rsid w:val="00563F93"/>
    <w:rsid w:val="00564195"/>
    <w:rsid w:val="0056425C"/>
    <w:rsid w:val="0056455A"/>
    <w:rsid w:val="005657EE"/>
    <w:rsid w:val="00565AF0"/>
    <w:rsid w:val="00565F8B"/>
    <w:rsid w:val="005660B4"/>
    <w:rsid w:val="0056650D"/>
    <w:rsid w:val="00566904"/>
    <w:rsid w:val="0056698A"/>
    <w:rsid w:val="00566CC2"/>
    <w:rsid w:val="00566EF6"/>
    <w:rsid w:val="00567290"/>
    <w:rsid w:val="005672AF"/>
    <w:rsid w:val="00567D90"/>
    <w:rsid w:val="00567E5D"/>
    <w:rsid w:val="0057014E"/>
    <w:rsid w:val="00570783"/>
    <w:rsid w:val="00570AA8"/>
    <w:rsid w:val="005711AA"/>
    <w:rsid w:val="0057120F"/>
    <w:rsid w:val="0057153E"/>
    <w:rsid w:val="00571677"/>
    <w:rsid w:val="00571AA4"/>
    <w:rsid w:val="00571B26"/>
    <w:rsid w:val="0057284F"/>
    <w:rsid w:val="005728AE"/>
    <w:rsid w:val="0057361A"/>
    <w:rsid w:val="00573625"/>
    <w:rsid w:val="005736DC"/>
    <w:rsid w:val="00573705"/>
    <w:rsid w:val="00573972"/>
    <w:rsid w:val="005740F2"/>
    <w:rsid w:val="00574424"/>
    <w:rsid w:val="00574A28"/>
    <w:rsid w:val="005756E0"/>
    <w:rsid w:val="00575D9C"/>
    <w:rsid w:val="00576221"/>
    <w:rsid w:val="0057662B"/>
    <w:rsid w:val="005768F6"/>
    <w:rsid w:val="00577363"/>
    <w:rsid w:val="00577458"/>
    <w:rsid w:val="00577A82"/>
    <w:rsid w:val="00580056"/>
    <w:rsid w:val="0058029B"/>
    <w:rsid w:val="005805D5"/>
    <w:rsid w:val="00580C54"/>
    <w:rsid w:val="00581224"/>
    <w:rsid w:val="00581FEA"/>
    <w:rsid w:val="005828AC"/>
    <w:rsid w:val="00582B2E"/>
    <w:rsid w:val="00582C81"/>
    <w:rsid w:val="0058359B"/>
    <w:rsid w:val="00583791"/>
    <w:rsid w:val="00583AAF"/>
    <w:rsid w:val="00583EFB"/>
    <w:rsid w:val="00583F1C"/>
    <w:rsid w:val="00583FFB"/>
    <w:rsid w:val="0058422E"/>
    <w:rsid w:val="00584972"/>
    <w:rsid w:val="00584E83"/>
    <w:rsid w:val="00585B87"/>
    <w:rsid w:val="00585C6E"/>
    <w:rsid w:val="005864EB"/>
    <w:rsid w:val="00586B11"/>
    <w:rsid w:val="00586C1A"/>
    <w:rsid w:val="00587685"/>
    <w:rsid w:val="00587B90"/>
    <w:rsid w:val="00587E2D"/>
    <w:rsid w:val="00587EE5"/>
    <w:rsid w:val="005900BD"/>
    <w:rsid w:val="00590586"/>
    <w:rsid w:val="00590A58"/>
    <w:rsid w:val="005911A4"/>
    <w:rsid w:val="005914E4"/>
    <w:rsid w:val="00591944"/>
    <w:rsid w:val="00591FD0"/>
    <w:rsid w:val="0059202C"/>
    <w:rsid w:val="00592BC1"/>
    <w:rsid w:val="005930FA"/>
    <w:rsid w:val="0059338E"/>
    <w:rsid w:val="00593857"/>
    <w:rsid w:val="005942E9"/>
    <w:rsid w:val="00594AA8"/>
    <w:rsid w:val="00594BBC"/>
    <w:rsid w:val="00594CC4"/>
    <w:rsid w:val="00594E71"/>
    <w:rsid w:val="00594FE1"/>
    <w:rsid w:val="0059520F"/>
    <w:rsid w:val="005954D8"/>
    <w:rsid w:val="00595513"/>
    <w:rsid w:val="005962AB"/>
    <w:rsid w:val="00596844"/>
    <w:rsid w:val="005A0A59"/>
    <w:rsid w:val="005A0D72"/>
    <w:rsid w:val="005A0E5A"/>
    <w:rsid w:val="005A1606"/>
    <w:rsid w:val="005A16D1"/>
    <w:rsid w:val="005A183C"/>
    <w:rsid w:val="005A2A2B"/>
    <w:rsid w:val="005A30A2"/>
    <w:rsid w:val="005A32CB"/>
    <w:rsid w:val="005A3354"/>
    <w:rsid w:val="005A350E"/>
    <w:rsid w:val="005A3797"/>
    <w:rsid w:val="005A3BA3"/>
    <w:rsid w:val="005A3DDA"/>
    <w:rsid w:val="005A3E65"/>
    <w:rsid w:val="005A4386"/>
    <w:rsid w:val="005A497B"/>
    <w:rsid w:val="005A5BCA"/>
    <w:rsid w:val="005A5FBA"/>
    <w:rsid w:val="005A6038"/>
    <w:rsid w:val="005A608D"/>
    <w:rsid w:val="005A6541"/>
    <w:rsid w:val="005A6612"/>
    <w:rsid w:val="005A6A0E"/>
    <w:rsid w:val="005A6B47"/>
    <w:rsid w:val="005A723E"/>
    <w:rsid w:val="005A77AA"/>
    <w:rsid w:val="005A7820"/>
    <w:rsid w:val="005A7AE3"/>
    <w:rsid w:val="005A7B5D"/>
    <w:rsid w:val="005A7FF2"/>
    <w:rsid w:val="005B0878"/>
    <w:rsid w:val="005B0FD3"/>
    <w:rsid w:val="005B1663"/>
    <w:rsid w:val="005B1CCE"/>
    <w:rsid w:val="005B1F9D"/>
    <w:rsid w:val="005B22EF"/>
    <w:rsid w:val="005B25D9"/>
    <w:rsid w:val="005B2B58"/>
    <w:rsid w:val="005B3803"/>
    <w:rsid w:val="005B3A86"/>
    <w:rsid w:val="005B3D66"/>
    <w:rsid w:val="005B3D88"/>
    <w:rsid w:val="005B3FB8"/>
    <w:rsid w:val="005B430D"/>
    <w:rsid w:val="005B4331"/>
    <w:rsid w:val="005B43EC"/>
    <w:rsid w:val="005B52BA"/>
    <w:rsid w:val="005B572F"/>
    <w:rsid w:val="005B5B8D"/>
    <w:rsid w:val="005B5FB0"/>
    <w:rsid w:val="005B60B8"/>
    <w:rsid w:val="005B63FC"/>
    <w:rsid w:val="005B64EC"/>
    <w:rsid w:val="005B686B"/>
    <w:rsid w:val="005B68F0"/>
    <w:rsid w:val="005B6A40"/>
    <w:rsid w:val="005B7A31"/>
    <w:rsid w:val="005C01F1"/>
    <w:rsid w:val="005C0327"/>
    <w:rsid w:val="005C0358"/>
    <w:rsid w:val="005C1170"/>
    <w:rsid w:val="005C130D"/>
    <w:rsid w:val="005C15F0"/>
    <w:rsid w:val="005C1637"/>
    <w:rsid w:val="005C173B"/>
    <w:rsid w:val="005C17A7"/>
    <w:rsid w:val="005C1B44"/>
    <w:rsid w:val="005C1E20"/>
    <w:rsid w:val="005C1E3E"/>
    <w:rsid w:val="005C2195"/>
    <w:rsid w:val="005C2538"/>
    <w:rsid w:val="005C2A95"/>
    <w:rsid w:val="005C3843"/>
    <w:rsid w:val="005C3FE3"/>
    <w:rsid w:val="005C41E5"/>
    <w:rsid w:val="005C43D1"/>
    <w:rsid w:val="005C543D"/>
    <w:rsid w:val="005C5568"/>
    <w:rsid w:val="005C5C0E"/>
    <w:rsid w:val="005C5C86"/>
    <w:rsid w:val="005C5DC8"/>
    <w:rsid w:val="005C6661"/>
    <w:rsid w:val="005C6918"/>
    <w:rsid w:val="005C6983"/>
    <w:rsid w:val="005C71C3"/>
    <w:rsid w:val="005C7240"/>
    <w:rsid w:val="005C7420"/>
    <w:rsid w:val="005C7AC8"/>
    <w:rsid w:val="005D0127"/>
    <w:rsid w:val="005D01BD"/>
    <w:rsid w:val="005D035F"/>
    <w:rsid w:val="005D075A"/>
    <w:rsid w:val="005D1143"/>
    <w:rsid w:val="005D150D"/>
    <w:rsid w:val="005D15F7"/>
    <w:rsid w:val="005D1637"/>
    <w:rsid w:val="005D1A94"/>
    <w:rsid w:val="005D1B4C"/>
    <w:rsid w:val="005D2058"/>
    <w:rsid w:val="005D236F"/>
    <w:rsid w:val="005D2A22"/>
    <w:rsid w:val="005D2F5B"/>
    <w:rsid w:val="005D2F99"/>
    <w:rsid w:val="005D35F6"/>
    <w:rsid w:val="005D3B9C"/>
    <w:rsid w:val="005D4030"/>
    <w:rsid w:val="005D4A55"/>
    <w:rsid w:val="005D4DF9"/>
    <w:rsid w:val="005D4E33"/>
    <w:rsid w:val="005D50D9"/>
    <w:rsid w:val="005D519D"/>
    <w:rsid w:val="005D5599"/>
    <w:rsid w:val="005D59BC"/>
    <w:rsid w:val="005D5B6F"/>
    <w:rsid w:val="005D6733"/>
    <w:rsid w:val="005D6A16"/>
    <w:rsid w:val="005D6A41"/>
    <w:rsid w:val="005D6ACE"/>
    <w:rsid w:val="005D6CDF"/>
    <w:rsid w:val="005D6CF9"/>
    <w:rsid w:val="005D6EAD"/>
    <w:rsid w:val="005D7455"/>
    <w:rsid w:val="005D7A62"/>
    <w:rsid w:val="005D7FBE"/>
    <w:rsid w:val="005E04A6"/>
    <w:rsid w:val="005E12DB"/>
    <w:rsid w:val="005E1430"/>
    <w:rsid w:val="005E1451"/>
    <w:rsid w:val="005E1938"/>
    <w:rsid w:val="005E1B42"/>
    <w:rsid w:val="005E1D1F"/>
    <w:rsid w:val="005E22C2"/>
    <w:rsid w:val="005E2379"/>
    <w:rsid w:val="005E2540"/>
    <w:rsid w:val="005E2BBD"/>
    <w:rsid w:val="005E31F7"/>
    <w:rsid w:val="005E342A"/>
    <w:rsid w:val="005E3460"/>
    <w:rsid w:val="005E34C6"/>
    <w:rsid w:val="005E39CE"/>
    <w:rsid w:val="005E3F81"/>
    <w:rsid w:val="005E417E"/>
    <w:rsid w:val="005E47E4"/>
    <w:rsid w:val="005E51FF"/>
    <w:rsid w:val="005E552F"/>
    <w:rsid w:val="005E59FF"/>
    <w:rsid w:val="005E5E05"/>
    <w:rsid w:val="005E64D5"/>
    <w:rsid w:val="005E6633"/>
    <w:rsid w:val="005E6638"/>
    <w:rsid w:val="005E6687"/>
    <w:rsid w:val="005E6800"/>
    <w:rsid w:val="005E6D1F"/>
    <w:rsid w:val="005E724F"/>
    <w:rsid w:val="005F0511"/>
    <w:rsid w:val="005F0534"/>
    <w:rsid w:val="005F0F6B"/>
    <w:rsid w:val="005F11A4"/>
    <w:rsid w:val="005F1314"/>
    <w:rsid w:val="005F1CDC"/>
    <w:rsid w:val="005F210C"/>
    <w:rsid w:val="005F231C"/>
    <w:rsid w:val="005F24E2"/>
    <w:rsid w:val="005F277D"/>
    <w:rsid w:val="005F27C7"/>
    <w:rsid w:val="005F28F2"/>
    <w:rsid w:val="005F2AC9"/>
    <w:rsid w:val="005F2CB1"/>
    <w:rsid w:val="005F3247"/>
    <w:rsid w:val="005F38DB"/>
    <w:rsid w:val="005F3AD1"/>
    <w:rsid w:val="005F4530"/>
    <w:rsid w:val="005F480F"/>
    <w:rsid w:val="005F48F4"/>
    <w:rsid w:val="005F4B23"/>
    <w:rsid w:val="005F4C44"/>
    <w:rsid w:val="005F4C67"/>
    <w:rsid w:val="005F50C7"/>
    <w:rsid w:val="005F5337"/>
    <w:rsid w:val="005F5ECF"/>
    <w:rsid w:val="005F6111"/>
    <w:rsid w:val="005F66A8"/>
    <w:rsid w:val="005F6722"/>
    <w:rsid w:val="005F7A89"/>
    <w:rsid w:val="00600062"/>
    <w:rsid w:val="0060087C"/>
    <w:rsid w:val="00600904"/>
    <w:rsid w:val="00600B1C"/>
    <w:rsid w:val="00601302"/>
    <w:rsid w:val="0060146D"/>
    <w:rsid w:val="006015CF"/>
    <w:rsid w:val="00601929"/>
    <w:rsid w:val="00602754"/>
    <w:rsid w:val="00602837"/>
    <w:rsid w:val="006029F1"/>
    <w:rsid w:val="00602FAC"/>
    <w:rsid w:val="00603125"/>
    <w:rsid w:val="006035B4"/>
    <w:rsid w:val="0060377F"/>
    <w:rsid w:val="00603BC1"/>
    <w:rsid w:val="00603D0B"/>
    <w:rsid w:val="006041C7"/>
    <w:rsid w:val="006047DB"/>
    <w:rsid w:val="006050E9"/>
    <w:rsid w:val="0060513A"/>
    <w:rsid w:val="006056BF"/>
    <w:rsid w:val="00605B08"/>
    <w:rsid w:val="00605B73"/>
    <w:rsid w:val="00605BCF"/>
    <w:rsid w:val="006062B5"/>
    <w:rsid w:val="00606411"/>
    <w:rsid w:val="00606583"/>
    <w:rsid w:val="00606769"/>
    <w:rsid w:val="006074A7"/>
    <w:rsid w:val="006077F5"/>
    <w:rsid w:val="006078AC"/>
    <w:rsid w:val="00607A39"/>
    <w:rsid w:val="00610152"/>
    <w:rsid w:val="00610251"/>
    <w:rsid w:val="006113D1"/>
    <w:rsid w:val="006113E9"/>
    <w:rsid w:val="00611677"/>
    <w:rsid w:val="00611957"/>
    <w:rsid w:val="00612D1B"/>
    <w:rsid w:val="006135C1"/>
    <w:rsid w:val="00613A9E"/>
    <w:rsid w:val="00613BC1"/>
    <w:rsid w:val="00614752"/>
    <w:rsid w:val="0061486D"/>
    <w:rsid w:val="00614C3B"/>
    <w:rsid w:val="00614D20"/>
    <w:rsid w:val="00614F2E"/>
    <w:rsid w:val="00615730"/>
    <w:rsid w:val="0061576C"/>
    <w:rsid w:val="00616068"/>
    <w:rsid w:val="006161D1"/>
    <w:rsid w:val="0061633D"/>
    <w:rsid w:val="00616568"/>
    <w:rsid w:val="0061664E"/>
    <w:rsid w:val="00616A26"/>
    <w:rsid w:val="00617037"/>
    <w:rsid w:val="0061753C"/>
    <w:rsid w:val="0061769C"/>
    <w:rsid w:val="00617A86"/>
    <w:rsid w:val="00617C9E"/>
    <w:rsid w:val="0062067C"/>
    <w:rsid w:val="00620D7B"/>
    <w:rsid w:val="00620DA7"/>
    <w:rsid w:val="0062129C"/>
    <w:rsid w:val="006212B0"/>
    <w:rsid w:val="00621AC4"/>
    <w:rsid w:val="00621C5C"/>
    <w:rsid w:val="00621E34"/>
    <w:rsid w:val="006221C3"/>
    <w:rsid w:val="00622DBC"/>
    <w:rsid w:val="006232E0"/>
    <w:rsid w:val="006241CA"/>
    <w:rsid w:val="00624268"/>
    <w:rsid w:val="00624669"/>
    <w:rsid w:val="006248C1"/>
    <w:rsid w:val="006248E2"/>
    <w:rsid w:val="00624B1B"/>
    <w:rsid w:val="006253A3"/>
    <w:rsid w:val="006254B5"/>
    <w:rsid w:val="00625A91"/>
    <w:rsid w:val="00625D70"/>
    <w:rsid w:val="00625DFE"/>
    <w:rsid w:val="00626439"/>
    <w:rsid w:val="00627660"/>
    <w:rsid w:val="00627A1C"/>
    <w:rsid w:val="00627BDA"/>
    <w:rsid w:val="00627D71"/>
    <w:rsid w:val="00627FDC"/>
    <w:rsid w:val="0063006C"/>
    <w:rsid w:val="006300E3"/>
    <w:rsid w:val="0063040A"/>
    <w:rsid w:val="00630611"/>
    <w:rsid w:val="0063079D"/>
    <w:rsid w:val="00630934"/>
    <w:rsid w:val="006309B9"/>
    <w:rsid w:val="00631519"/>
    <w:rsid w:val="00631600"/>
    <w:rsid w:val="00631A2D"/>
    <w:rsid w:val="0063236D"/>
    <w:rsid w:val="00632399"/>
    <w:rsid w:val="0063240D"/>
    <w:rsid w:val="006324C6"/>
    <w:rsid w:val="0063287F"/>
    <w:rsid w:val="006335A5"/>
    <w:rsid w:val="00633709"/>
    <w:rsid w:val="00633E65"/>
    <w:rsid w:val="00634206"/>
    <w:rsid w:val="00634294"/>
    <w:rsid w:val="006343BB"/>
    <w:rsid w:val="00634D55"/>
    <w:rsid w:val="006351C9"/>
    <w:rsid w:val="00635905"/>
    <w:rsid w:val="00635B1B"/>
    <w:rsid w:val="00635B7E"/>
    <w:rsid w:val="00635C34"/>
    <w:rsid w:val="00636372"/>
    <w:rsid w:val="0063695C"/>
    <w:rsid w:val="00636C86"/>
    <w:rsid w:val="00636F94"/>
    <w:rsid w:val="006374FF"/>
    <w:rsid w:val="00637C96"/>
    <w:rsid w:val="00637FDB"/>
    <w:rsid w:val="006402E6"/>
    <w:rsid w:val="006406DF"/>
    <w:rsid w:val="00640884"/>
    <w:rsid w:val="00640D12"/>
    <w:rsid w:val="00640E51"/>
    <w:rsid w:val="0064175D"/>
    <w:rsid w:val="00641804"/>
    <w:rsid w:val="0064186A"/>
    <w:rsid w:val="0064188A"/>
    <w:rsid w:val="00641924"/>
    <w:rsid w:val="00641B07"/>
    <w:rsid w:val="0064222D"/>
    <w:rsid w:val="006423C6"/>
    <w:rsid w:val="006429DF"/>
    <w:rsid w:val="0064342C"/>
    <w:rsid w:val="006441D4"/>
    <w:rsid w:val="006446A6"/>
    <w:rsid w:val="00644CFA"/>
    <w:rsid w:val="00644DA8"/>
    <w:rsid w:val="00644F02"/>
    <w:rsid w:val="00644F4E"/>
    <w:rsid w:val="006450FF"/>
    <w:rsid w:val="006451A2"/>
    <w:rsid w:val="0064527A"/>
    <w:rsid w:val="006453FF"/>
    <w:rsid w:val="0064651C"/>
    <w:rsid w:val="0064682F"/>
    <w:rsid w:val="00646A30"/>
    <w:rsid w:val="00646ED6"/>
    <w:rsid w:val="00647064"/>
    <w:rsid w:val="0064747A"/>
    <w:rsid w:val="006505FD"/>
    <w:rsid w:val="00650835"/>
    <w:rsid w:val="00650CF7"/>
    <w:rsid w:val="00650EB0"/>
    <w:rsid w:val="00651419"/>
    <w:rsid w:val="00651724"/>
    <w:rsid w:val="00651A68"/>
    <w:rsid w:val="006521F0"/>
    <w:rsid w:val="0065242C"/>
    <w:rsid w:val="00652923"/>
    <w:rsid w:val="00652D82"/>
    <w:rsid w:val="006531CD"/>
    <w:rsid w:val="006532F7"/>
    <w:rsid w:val="00653887"/>
    <w:rsid w:val="006548F2"/>
    <w:rsid w:val="00654D85"/>
    <w:rsid w:val="0065519A"/>
    <w:rsid w:val="00655225"/>
    <w:rsid w:val="006555A7"/>
    <w:rsid w:val="006557A9"/>
    <w:rsid w:val="00655A13"/>
    <w:rsid w:val="0065644F"/>
    <w:rsid w:val="006565F7"/>
    <w:rsid w:val="00656CC2"/>
    <w:rsid w:val="00656FA7"/>
    <w:rsid w:val="0065760E"/>
    <w:rsid w:val="006576A1"/>
    <w:rsid w:val="0065790D"/>
    <w:rsid w:val="00657997"/>
    <w:rsid w:val="00657C99"/>
    <w:rsid w:val="00660767"/>
    <w:rsid w:val="0066097D"/>
    <w:rsid w:val="006615B6"/>
    <w:rsid w:val="00661873"/>
    <w:rsid w:val="00661A5C"/>
    <w:rsid w:val="00661EDD"/>
    <w:rsid w:val="0066267E"/>
    <w:rsid w:val="00662A0A"/>
    <w:rsid w:val="00663003"/>
    <w:rsid w:val="00663022"/>
    <w:rsid w:val="00663BD3"/>
    <w:rsid w:val="0066410A"/>
    <w:rsid w:val="006641B4"/>
    <w:rsid w:val="00664A67"/>
    <w:rsid w:val="00664A77"/>
    <w:rsid w:val="00664C92"/>
    <w:rsid w:val="00664D81"/>
    <w:rsid w:val="0066523E"/>
    <w:rsid w:val="00665470"/>
    <w:rsid w:val="00665584"/>
    <w:rsid w:val="00665635"/>
    <w:rsid w:val="00665697"/>
    <w:rsid w:val="006656DC"/>
    <w:rsid w:val="00665750"/>
    <w:rsid w:val="006657CE"/>
    <w:rsid w:val="00665982"/>
    <w:rsid w:val="0066598C"/>
    <w:rsid w:val="0066610C"/>
    <w:rsid w:val="00666864"/>
    <w:rsid w:val="00666C4E"/>
    <w:rsid w:val="00666E8F"/>
    <w:rsid w:val="00667B36"/>
    <w:rsid w:val="00667BC3"/>
    <w:rsid w:val="00667CD3"/>
    <w:rsid w:val="00670250"/>
    <w:rsid w:val="006707C7"/>
    <w:rsid w:val="00670BA9"/>
    <w:rsid w:val="006711D6"/>
    <w:rsid w:val="00671600"/>
    <w:rsid w:val="00672B45"/>
    <w:rsid w:val="00672CD6"/>
    <w:rsid w:val="0067306C"/>
    <w:rsid w:val="00673828"/>
    <w:rsid w:val="006739C7"/>
    <w:rsid w:val="00674617"/>
    <w:rsid w:val="00674B51"/>
    <w:rsid w:val="00675ED6"/>
    <w:rsid w:val="0067634E"/>
    <w:rsid w:val="0067669C"/>
    <w:rsid w:val="0067684A"/>
    <w:rsid w:val="00676F0D"/>
    <w:rsid w:val="00676F77"/>
    <w:rsid w:val="00677A93"/>
    <w:rsid w:val="00677B13"/>
    <w:rsid w:val="00677B5D"/>
    <w:rsid w:val="006807D1"/>
    <w:rsid w:val="006809A4"/>
    <w:rsid w:val="006810A9"/>
    <w:rsid w:val="00681A91"/>
    <w:rsid w:val="00681AED"/>
    <w:rsid w:val="00681CB0"/>
    <w:rsid w:val="00682ADF"/>
    <w:rsid w:val="00682B74"/>
    <w:rsid w:val="00682C5B"/>
    <w:rsid w:val="006839EB"/>
    <w:rsid w:val="00683A0A"/>
    <w:rsid w:val="0068485F"/>
    <w:rsid w:val="00685432"/>
    <w:rsid w:val="0068626E"/>
    <w:rsid w:val="00686290"/>
    <w:rsid w:val="00686545"/>
    <w:rsid w:val="006865D9"/>
    <w:rsid w:val="0068693F"/>
    <w:rsid w:val="00686A37"/>
    <w:rsid w:val="00687792"/>
    <w:rsid w:val="00687DE0"/>
    <w:rsid w:val="00690456"/>
    <w:rsid w:val="006907CA"/>
    <w:rsid w:val="006907E4"/>
    <w:rsid w:val="00690CD9"/>
    <w:rsid w:val="00690FE1"/>
    <w:rsid w:val="0069192C"/>
    <w:rsid w:val="00691B1F"/>
    <w:rsid w:val="006927C1"/>
    <w:rsid w:val="00694201"/>
    <w:rsid w:val="006942B0"/>
    <w:rsid w:val="00694923"/>
    <w:rsid w:val="00694A4E"/>
    <w:rsid w:val="00695019"/>
    <w:rsid w:val="0069518D"/>
    <w:rsid w:val="00695C1B"/>
    <w:rsid w:val="00695D51"/>
    <w:rsid w:val="00695DB1"/>
    <w:rsid w:val="00695DCD"/>
    <w:rsid w:val="00695E15"/>
    <w:rsid w:val="0069614A"/>
    <w:rsid w:val="006963FE"/>
    <w:rsid w:val="00696C4E"/>
    <w:rsid w:val="006974FC"/>
    <w:rsid w:val="006976AE"/>
    <w:rsid w:val="00697960"/>
    <w:rsid w:val="00697985"/>
    <w:rsid w:val="00697F76"/>
    <w:rsid w:val="006A00D7"/>
    <w:rsid w:val="006A0D8B"/>
    <w:rsid w:val="006A1BBA"/>
    <w:rsid w:val="006A254A"/>
    <w:rsid w:val="006A2570"/>
    <w:rsid w:val="006A2A19"/>
    <w:rsid w:val="006A3191"/>
    <w:rsid w:val="006A3785"/>
    <w:rsid w:val="006A3B0C"/>
    <w:rsid w:val="006A3C10"/>
    <w:rsid w:val="006A4445"/>
    <w:rsid w:val="006A4717"/>
    <w:rsid w:val="006A4841"/>
    <w:rsid w:val="006A48AE"/>
    <w:rsid w:val="006A4AF3"/>
    <w:rsid w:val="006A4BC0"/>
    <w:rsid w:val="006A5365"/>
    <w:rsid w:val="006A5619"/>
    <w:rsid w:val="006A566B"/>
    <w:rsid w:val="006A57BE"/>
    <w:rsid w:val="006A58F9"/>
    <w:rsid w:val="006A5B2A"/>
    <w:rsid w:val="006A5D1C"/>
    <w:rsid w:val="006A6A10"/>
    <w:rsid w:val="006A6CCF"/>
    <w:rsid w:val="006A6E12"/>
    <w:rsid w:val="006A6E35"/>
    <w:rsid w:val="006A6F29"/>
    <w:rsid w:val="006A6F54"/>
    <w:rsid w:val="006A715F"/>
    <w:rsid w:val="006A776A"/>
    <w:rsid w:val="006A79F8"/>
    <w:rsid w:val="006A7CC1"/>
    <w:rsid w:val="006B06C5"/>
    <w:rsid w:val="006B0F11"/>
    <w:rsid w:val="006B12EE"/>
    <w:rsid w:val="006B17C0"/>
    <w:rsid w:val="006B2517"/>
    <w:rsid w:val="006B265B"/>
    <w:rsid w:val="006B325B"/>
    <w:rsid w:val="006B3284"/>
    <w:rsid w:val="006B33E4"/>
    <w:rsid w:val="006B38E1"/>
    <w:rsid w:val="006B3AD4"/>
    <w:rsid w:val="006B409E"/>
    <w:rsid w:val="006B414D"/>
    <w:rsid w:val="006B42B8"/>
    <w:rsid w:val="006B4365"/>
    <w:rsid w:val="006B4680"/>
    <w:rsid w:val="006B4BD4"/>
    <w:rsid w:val="006B4CC8"/>
    <w:rsid w:val="006B5067"/>
    <w:rsid w:val="006B5218"/>
    <w:rsid w:val="006B52E6"/>
    <w:rsid w:val="006B53E3"/>
    <w:rsid w:val="006B560E"/>
    <w:rsid w:val="006B5621"/>
    <w:rsid w:val="006B5A13"/>
    <w:rsid w:val="006B6479"/>
    <w:rsid w:val="006B6D87"/>
    <w:rsid w:val="006B6EF9"/>
    <w:rsid w:val="006B6F03"/>
    <w:rsid w:val="006B723C"/>
    <w:rsid w:val="006B755D"/>
    <w:rsid w:val="006C01FB"/>
    <w:rsid w:val="006C03FF"/>
    <w:rsid w:val="006C09D3"/>
    <w:rsid w:val="006C0E33"/>
    <w:rsid w:val="006C0EF9"/>
    <w:rsid w:val="006C10B4"/>
    <w:rsid w:val="006C11E4"/>
    <w:rsid w:val="006C15BB"/>
    <w:rsid w:val="006C2133"/>
    <w:rsid w:val="006C279C"/>
    <w:rsid w:val="006C3086"/>
    <w:rsid w:val="006C324B"/>
    <w:rsid w:val="006C3332"/>
    <w:rsid w:val="006C3BAD"/>
    <w:rsid w:val="006C3C33"/>
    <w:rsid w:val="006C3E27"/>
    <w:rsid w:val="006C3E6B"/>
    <w:rsid w:val="006C408D"/>
    <w:rsid w:val="006C47CB"/>
    <w:rsid w:val="006C4A02"/>
    <w:rsid w:val="006C4B13"/>
    <w:rsid w:val="006C513F"/>
    <w:rsid w:val="006C556D"/>
    <w:rsid w:val="006C5592"/>
    <w:rsid w:val="006C5598"/>
    <w:rsid w:val="006C566C"/>
    <w:rsid w:val="006C6304"/>
    <w:rsid w:val="006C6604"/>
    <w:rsid w:val="006C6E69"/>
    <w:rsid w:val="006C7B9B"/>
    <w:rsid w:val="006C7C9B"/>
    <w:rsid w:val="006C7CC8"/>
    <w:rsid w:val="006D0838"/>
    <w:rsid w:val="006D0888"/>
    <w:rsid w:val="006D0C30"/>
    <w:rsid w:val="006D0D9D"/>
    <w:rsid w:val="006D1318"/>
    <w:rsid w:val="006D147A"/>
    <w:rsid w:val="006D1996"/>
    <w:rsid w:val="006D29AE"/>
    <w:rsid w:val="006D2A17"/>
    <w:rsid w:val="006D2A46"/>
    <w:rsid w:val="006D32A3"/>
    <w:rsid w:val="006D3879"/>
    <w:rsid w:val="006D3ADE"/>
    <w:rsid w:val="006D3CC0"/>
    <w:rsid w:val="006D4078"/>
    <w:rsid w:val="006D4215"/>
    <w:rsid w:val="006D452D"/>
    <w:rsid w:val="006D47CB"/>
    <w:rsid w:val="006D48EB"/>
    <w:rsid w:val="006D55F0"/>
    <w:rsid w:val="006D5709"/>
    <w:rsid w:val="006D5F52"/>
    <w:rsid w:val="006D6230"/>
    <w:rsid w:val="006D6631"/>
    <w:rsid w:val="006D7262"/>
    <w:rsid w:val="006D75D0"/>
    <w:rsid w:val="006D7D48"/>
    <w:rsid w:val="006E0041"/>
    <w:rsid w:val="006E01BD"/>
    <w:rsid w:val="006E0A2F"/>
    <w:rsid w:val="006E0A3C"/>
    <w:rsid w:val="006E0C71"/>
    <w:rsid w:val="006E0C95"/>
    <w:rsid w:val="006E1094"/>
    <w:rsid w:val="006E16A2"/>
    <w:rsid w:val="006E18A8"/>
    <w:rsid w:val="006E1A61"/>
    <w:rsid w:val="006E1AE3"/>
    <w:rsid w:val="006E1C69"/>
    <w:rsid w:val="006E1CC5"/>
    <w:rsid w:val="006E2C00"/>
    <w:rsid w:val="006E320D"/>
    <w:rsid w:val="006E328E"/>
    <w:rsid w:val="006E33E9"/>
    <w:rsid w:val="006E3E77"/>
    <w:rsid w:val="006E47EF"/>
    <w:rsid w:val="006E4A66"/>
    <w:rsid w:val="006E4E9A"/>
    <w:rsid w:val="006E5BFB"/>
    <w:rsid w:val="006E5FA2"/>
    <w:rsid w:val="006E6139"/>
    <w:rsid w:val="006E62F7"/>
    <w:rsid w:val="006E751C"/>
    <w:rsid w:val="006E75B2"/>
    <w:rsid w:val="006E780F"/>
    <w:rsid w:val="006E7FEB"/>
    <w:rsid w:val="006F03E1"/>
    <w:rsid w:val="006F0705"/>
    <w:rsid w:val="006F0BA0"/>
    <w:rsid w:val="006F171D"/>
    <w:rsid w:val="006F1894"/>
    <w:rsid w:val="006F1A5D"/>
    <w:rsid w:val="006F1C84"/>
    <w:rsid w:val="006F1CC8"/>
    <w:rsid w:val="006F21EE"/>
    <w:rsid w:val="006F25D9"/>
    <w:rsid w:val="006F2A64"/>
    <w:rsid w:val="006F3912"/>
    <w:rsid w:val="006F4040"/>
    <w:rsid w:val="006F46AB"/>
    <w:rsid w:val="006F4886"/>
    <w:rsid w:val="006F5729"/>
    <w:rsid w:val="006F6785"/>
    <w:rsid w:val="006F680E"/>
    <w:rsid w:val="006F6A89"/>
    <w:rsid w:val="006F6F47"/>
    <w:rsid w:val="006F7082"/>
    <w:rsid w:val="006F726B"/>
    <w:rsid w:val="006F76D5"/>
    <w:rsid w:val="006F79F8"/>
    <w:rsid w:val="006F7B8B"/>
    <w:rsid w:val="006F7B9D"/>
    <w:rsid w:val="006F7F12"/>
    <w:rsid w:val="007004A2"/>
    <w:rsid w:val="00700573"/>
    <w:rsid w:val="007009C3"/>
    <w:rsid w:val="00700BF3"/>
    <w:rsid w:val="0070134E"/>
    <w:rsid w:val="00701414"/>
    <w:rsid w:val="0070155F"/>
    <w:rsid w:val="007015F0"/>
    <w:rsid w:val="00701CFF"/>
    <w:rsid w:val="00701D94"/>
    <w:rsid w:val="00701DAD"/>
    <w:rsid w:val="0070235A"/>
    <w:rsid w:val="007027AD"/>
    <w:rsid w:val="00702C66"/>
    <w:rsid w:val="007031AC"/>
    <w:rsid w:val="007034A7"/>
    <w:rsid w:val="0070372E"/>
    <w:rsid w:val="00703D8C"/>
    <w:rsid w:val="00703E03"/>
    <w:rsid w:val="0070407A"/>
    <w:rsid w:val="00704116"/>
    <w:rsid w:val="0070413C"/>
    <w:rsid w:val="00704368"/>
    <w:rsid w:val="007043A4"/>
    <w:rsid w:val="007044DC"/>
    <w:rsid w:val="0070578F"/>
    <w:rsid w:val="00705CDB"/>
    <w:rsid w:val="00706471"/>
    <w:rsid w:val="00706563"/>
    <w:rsid w:val="00707389"/>
    <w:rsid w:val="007077C7"/>
    <w:rsid w:val="00707937"/>
    <w:rsid w:val="00707970"/>
    <w:rsid w:val="007079B7"/>
    <w:rsid w:val="0071015A"/>
    <w:rsid w:val="00710A71"/>
    <w:rsid w:val="0071155C"/>
    <w:rsid w:val="007116DD"/>
    <w:rsid w:val="00711734"/>
    <w:rsid w:val="00711916"/>
    <w:rsid w:val="00711A94"/>
    <w:rsid w:val="00711ADE"/>
    <w:rsid w:val="00711F23"/>
    <w:rsid w:val="007121FE"/>
    <w:rsid w:val="00712276"/>
    <w:rsid w:val="007127E9"/>
    <w:rsid w:val="00712E88"/>
    <w:rsid w:val="007132FA"/>
    <w:rsid w:val="00713437"/>
    <w:rsid w:val="007136CF"/>
    <w:rsid w:val="00713C56"/>
    <w:rsid w:val="007147A8"/>
    <w:rsid w:val="007149EA"/>
    <w:rsid w:val="00714D68"/>
    <w:rsid w:val="0071505C"/>
    <w:rsid w:val="007155A2"/>
    <w:rsid w:val="00715A8B"/>
    <w:rsid w:val="0071607D"/>
    <w:rsid w:val="00716083"/>
    <w:rsid w:val="00716D1E"/>
    <w:rsid w:val="00716D68"/>
    <w:rsid w:val="00716FB9"/>
    <w:rsid w:val="0071740A"/>
    <w:rsid w:val="007174EC"/>
    <w:rsid w:val="0071784D"/>
    <w:rsid w:val="0072018C"/>
    <w:rsid w:val="00720219"/>
    <w:rsid w:val="007209C2"/>
    <w:rsid w:val="00720A18"/>
    <w:rsid w:val="00720BD4"/>
    <w:rsid w:val="00720F02"/>
    <w:rsid w:val="00721261"/>
    <w:rsid w:val="007224CE"/>
    <w:rsid w:val="00722631"/>
    <w:rsid w:val="0072279B"/>
    <w:rsid w:val="00722A73"/>
    <w:rsid w:val="00722AD4"/>
    <w:rsid w:val="00722E2E"/>
    <w:rsid w:val="00723159"/>
    <w:rsid w:val="007234CE"/>
    <w:rsid w:val="007235C1"/>
    <w:rsid w:val="00723EA1"/>
    <w:rsid w:val="00724C2D"/>
    <w:rsid w:val="00725010"/>
    <w:rsid w:val="0072562A"/>
    <w:rsid w:val="007256DC"/>
    <w:rsid w:val="00726019"/>
    <w:rsid w:val="007260D9"/>
    <w:rsid w:val="007264FA"/>
    <w:rsid w:val="007265F0"/>
    <w:rsid w:val="00726D0D"/>
    <w:rsid w:val="00726F57"/>
    <w:rsid w:val="00727780"/>
    <w:rsid w:val="00727AA6"/>
    <w:rsid w:val="00730159"/>
    <w:rsid w:val="007307D0"/>
    <w:rsid w:val="00730B29"/>
    <w:rsid w:val="00730DEC"/>
    <w:rsid w:val="00731118"/>
    <w:rsid w:val="0073168E"/>
    <w:rsid w:val="00731C95"/>
    <w:rsid w:val="007321E0"/>
    <w:rsid w:val="007321E5"/>
    <w:rsid w:val="00732635"/>
    <w:rsid w:val="007329D4"/>
    <w:rsid w:val="00732C4C"/>
    <w:rsid w:val="00732CA3"/>
    <w:rsid w:val="0073332F"/>
    <w:rsid w:val="0073383B"/>
    <w:rsid w:val="007339CD"/>
    <w:rsid w:val="0073469F"/>
    <w:rsid w:val="007347D0"/>
    <w:rsid w:val="007347DA"/>
    <w:rsid w:val="00734803"/>
    <w:rsid w:val="00734AAE"/>
    <w:rsid w:val="00734D3E"/>
    <w:rsid w:val="00734E97"/>
    <w:rsid w:val="0073520A"/>
    <w:rsid w:val="00735FF0"/>
    <w:rsid w:val="00736A8F"/>
    <w:rsid w:val="00736A94"/>
    <w:rsid w:val="00736BE9"/>
    <w:rsid w:val="007372BA"/>
    <w:rsid w:val="00737C0D"/>
    <w:rsid w:val="0074016D"/>
    <w:rsid w:val="00740238"/>
    <w:rsid w:val="0074068B"/>
    <w:rsid w:val="007407E7"/>
    <w:rsid w:val="00740BA7"/>
    <w:rsid w:val="00740CB9"/>
    <w:rsid w:val="00741B40"/>
    <w:rsid w:val="00741BDE"/>
    <w:rsid w:val="00742669"/>
    <w:rsid w:val="00742C39"/>
    <w:rsid w:val="00742C7F"/>
    <w:rsid w:val="007430DE"/>
    <w:rsid w:val="007431A4"/>
    <w:rsid w:val="00743696"/>
    <w:rsid w:val="00743782"/>
    <w:rsid w:val="007438E8"/>
    <w:rsid w:val="00743ED7"/>
    <w:rsid w:val="0074450F"/>
    <w:rsid w:val="00745377"/>
    <w:rsid w:val="007455FA"/>
    <w:rsid w:val="00745B87"/>
    <w:rsid w:val="00745C77"/>
    <w:rsid w:val="00745FBA"/>
    <w:rsid w:val="007466B9"/>
    <w:rsid w:val="00746B14"/>
    <w:rsid w:val="00746DF9"/>
    <w:rsid w:val="00746E7A"/>
    <w:rsid w:val="00747031"/>
    <w:rsid w:val="00747232"/>
    <w:rsid w:val="007479C9"/>
    <w:rsid w:val="00747F30"/>
    <w:rsid w:val="00750053"/>
    <w:rsid w:val="00750694"/>
    <w:rsid w:val="00750DA3"/>
    <w:rsid w:val="00750F06"/>
    <w:rsid w:val="0075152B"/>
    <w:rsid w:val="007522FF"/>
    <w:rsid w:val="00752495"/>
    <w:rsid w:val="00752BC9"/>
    <w:rsid w:val="00753776"/>
    <w:rsid w:val="0075461B"/>
    <w:rsid w:val="007547EF"/>
    <w:rsid w:val="007548AF"/>
    <w:rsid w:val="0075499F"/>
    <w:rsid w:val="00754DDF"/>
    <w:rsid w:val="00754F9B"/>
    <w:rsid w:val="00755213"/>
    <w:rsid w:val="007558BE"/>
    <w:rsid w:val="00755C88"/>
    <w:rsid w:val="0075651F"/>
    <w:rsid w:val="00756B83"/>
    <w:rsid w:val="00757268"/>
    <w:rsid w:val="0075798E"/>
    <w:rsid w:val="00757C7B"/>
    <w:rsid w:val="00757E58"/>
    <w:rsid w:val="00757ECF"/>
    <w:rsid w:val="00757F3B"/>
    <w:rsid w:val="00760677"/>
    <w:rsid w:val="007607FF"/>
    <w:rsid w:val="00760E83"/>
    <w:rsid w:val="0076162E"/>
    <w:rsid w:val="007616ED"/>
    <w:rsid w:val="00761803"/>
    <w:rsid w:val="00761A5A"/>
    <w:rsid w:val="0076240C"/>
    <w:rsid w:val="007627FF"/>
    <w:rsid w:val="00762B8F"/>
    <w:rsid w:val="00762EA6"/>
    <w:rsid w:val="0076309D"/>
    <w:rsid w:val="007634C8"/>
    <w:rsid w:val="007636D1"/>
    <w:rsid w:val="0076372E"/>
    <w:rsid w:val="00763813"/>
    <w:rsid w:val="00763989"/>
    <w:rsid w:val="007639D9"/>
    <w:rsid w:val="00763C22"/>
    <w:rsid w:val="00763CF6"/>
    <w:rsid w:val="00763D25"/>
    <w:rsid w:val="00764011"/>
    <w:rsid w:val="007642C7"/>
    <w:rsid w:val="00764879"/>
    <w:rsid w:val="007649B6"/>
    <w:rsid w:val="00764B2C"/>
    <w:rsid w:val="00765538"/>
    <w:rsid w:val="007659FB"/>
    <w:rsid w:val="00765FB8"/>
    <w:rsid w:val="00766345"/>
    <w:rsid w:val="00766449"/>
    <w:rsid w:val="00766D90"/>
    <w:rsid w:val="0076940A"/>
    <w:rsid w:val="00770594"/>
    <w:rsid w:val="0077064E"/>
    <w:rsid w:val="007707D4"/>
    <w:rsid w:val="00770896"/>
    <w:rsid w:val="00770992"/>
    <w:rsid w:val="00770E93"/>
    <w:rsid w:val="0077109C"/>
    <w:rsid w:val="00771522"/>
    <w:rsid w:val="007715CC"/>
    <w:rsid w:val="007726C1"/>
    <w:rsid w:val="0077393F"/>
    <w:rsid w:val="00773A91"/>
    <w:rsid w:val="00773B0E"/>
    <w:rsid w:val="00773B1D"/>
    <w:rsid w:val="00773B36"/>
    <w:rsid w:val="00773BB2"/>
    <w:rsid w:val="00774010"/>
    <w:rsid w:val="007746EA"/>
    <w:rsid w:val="007747C3"/>
    <w:rsid w:val="00774E21"/>
    <w:rsid w:val="0077523F"/>
    <w:rsid w:val="00775328"/>
    <w:rsid w:val="00775C78"/>
    <w:rsid w:val="00776088"/>
    <w:rsid w:val="00776D36"/>
    <w:rsid w:val="00776E93"/>
    <w:rsid w:val="00776F53"/>
    <w:rsid w:val="0077720C"/>
    <w:rsid w:val="007779EA"/>
    <w:rsid w:val="00780160"/>
    <w:rsid w:val="007804EC"/>
    <w:rsid w:val="00780725"/>
    <w:rsid w:val="00780F3A"/>
    <w:rsid w:val="00781154"/>
    <w:rsid w:val="0078144A"/>
    <w:rsid w:val="0078145E"/>
    <w:rsid w:val="00781B11"/>
    <w:rsid w:val="00781B4F"/>
    <w:rsid w:val="00781E0F"/>
    <w:rsid w:val="00781EE2"/>
    <w:rsid w:val="0078233F"/>
    <w:rsid w:val="0078240A"/>
    <w:rsid w:val="00782626"/>
    <w:rsid w:val="00782C6F"/>
    <w:rsid w:val="00782C85"/>
    <w:rsid w:val="00782D60"/>
    <w:rsid w:val="00782FB4"/>
    <w:rsid w:val="00782FD0"/>
    <w:rsid w:val="00783237"/>
    <w:rsid w:val="00783971"/>
    <w:rsid w:val="00783A3A"/>
    <w:rsid w:val="00783B42"/>
    <w:rsid w:val="00783F02"/>
    <w:rsid w:val="00784888"/>
    <w:rsid w:val="00784CCA"/>
    <w:rsid w:val="00784E43"/>
    <w:rsid w:val="007853E3"/>
    <w:rsid w:val="00785932"/>
    <w:rsid w:val="00785CA0"/>
    <w:rsid w:val="007861E0"/>
    <w:rsid w:val="0078636A"/>
    <w:rsid w:val="007867F1"/>
    <w:rsid w:val="00786AC9"/>
    <w:rsid w:val="00786F69"/>
    <w:rsid w:val="0078700A"/>
    <w:rsid w:val="00787839"/>
    <w:rsid w:val="00787A97"/>
    <w:rsid w:val="00787BDC"/>
    <w:rsid w:val="00787D18"/>
    <w:rsid w:val="00790214"/>
    <w:rsid w:val="00790592"/>
    <w:rsid w:val="00790B34"/>
    <w:rsid w:val="00790F4A"/>
    <w:rsid w:val="00791DF8"/>
    <w:rsid w:val="0079215B"/>
    <w:rsid w:val="007923A2"/>
    <w:rsid w:val="00792714"/>
    <w:rsid w:val="00792A63"/>
    <w:rsid w:val="00792D3F"/>
    <w:rsid w:val="00793395"/>
    <w:rsid w:val="0079391B"/>
    <w:rsid w:val="007941D0"/>
    <w:rsid w:val="007945F6"/>
    <w:rsid w:val="007947B1"/>
    <w:rsid w:val="00794F20"/>
    <w:rsid w:val="00795075"/>
    <w:rsid w:val="007964A8"/>
    <w:rsid w:val="00796EB8"/>
    <w:rsid w:val="00797458"/>
    <w:rsid w:val="0079749C"/>
    <w:rsid w:val="0079771C"/>
    <w:rsid w:val="00797A01"/>
    <w:rsid w:val="00797D58"/>
    <w:rsid w:val="007A05AB"/>
    <w:rsid w:val="007A0793"/>
    <w:rsid w:val="007A0CDD"/>
    <w:rsid w:val="007A0F89"/>
    <w:rsid w:val="007A104F"/>
    <w:rsid w:val="007A1070"/>
    <w:rsid w:val="007A11A5"/>
    <w:rsid w:val="007A1360"/>
    <w:rsid w:val="007A28D4"/>
    <w:rsid w:val="007A3229"/>
    <w:rsid w:val="007A378A"/>
    <w:rsid w:val="007A3892"/>
    <w:rsid w:val="007A3DFC"/>
    <w:rsid w:val="007A461E"/>
    <w:rsid w:val="007A4664"/>
    <w:rsid w:val="007A4C4C"/>
    <w:rsid w:val="007A4FE9"/>
    <w:rsid w:val="007A52D9"/>
    <w:rsid w:val="007A539F"/>
    <w:rsid w:val="007A56C8"/>
    <w:rsid w:val="007A598B"/>
    <w:rsid w:val="007A59DB"/>
    <w:rsid w:val="007A6517"/>
    <w:rsid w:val="007A6631"/>
    <w:rsid w:val="007A6EE1"/>
    <w:rsid w:val="007A6EFB"/>
    <w:rsid w:val="007A705A"/>
    <w:rsid w:val="007A7571"/>
    <w:rsid w:val="007B02B5"/>
    <w:rsid w:val="007B08E0"/>
    <w:rsid w:val="007B151C"/>
    <w:rsid w:val="007B16EF"/>
    <w:rsid w:val="007B192B"/>
    <w:rsid w:val="007B1B25"/>
    <w:rsid w:val="007B1CDD"/>
    <w:rsid w:val="007B1F1A"/>
    <w:rsid w:val="007B1FA6"/>
    <w:rsid w:val="007B2349"/>
    <w:rsid w:val="007B2AEB"/>
    <w:rsid w:val="007B30A6"/>
    <w:rsid w:val="007B3214"/>
    <w:rsid w:val="007B356C"/>
    <w:rsid w:val="007B372C"/>
    <w:rsid w:val="007B3B5B"/>
    <w:rsid w:val="007B3F90"/>
    <w:rsid w:val="007B4057"/>
    <w:rsid w:val="007B40B9"/>
    <w:rsid w:val="007B4344"/>
    <w:rsid w:val="007B4841"/>
    <w:rsid w:val="007B48B0"/>
    <w:rsid w:val="007B4DA5"/>
    <w:rsid w:val="007B52FA"/>
    <w:rsid w:val="007B56BF"/>
    <w:rsid w:val="007B5828"/>
    <w:rsid w:val="007B5EF8"/>
    <w:rsid w:val="007B6298"/>
    <w:rsid w:val="007B6B1F"/>
    <w:rsid w:val="007B75A0"/>
    <w:rsid w:val="007B7A03"/>
    <w:rsid w:val="007B7CF3"/>
    <w:rsid w:val="007B7F51"/>
    <w:rsid w:val="007C09CD"/>
    <w:rsid w:val="007C0AEB"/>
    <w:rsid w:val="007C0CAB"/>
    <w:rsid w:val="007C15B2"/>
    <w:rsid w:val="007C163D"/>
    <w:rsid w:val="007C1782"/>
    <w:rsid w:val="007C18E2"/>
    <w:rsid w:val="007C1B4C"/>
    <w:rsid w:val="007C293F"/>
    <w:rsid w:val="007C2BA5"/>
    <w:rsid w:val="007C2E69"/>
    <w:rsid w:val="007C4645"/>
    <w:rsid w:val="007C536F"/>
    <w:rsid w:val="007C55C6"/>
    <w:rsid w:val="007C56AE"/>
    <w:rsid w:val="007C62A6"/>
    <w:rsid w:val="007C633F"/>
    <w:rsid w:val="007C63C8"/>
    <w:rsid w:val="007C70E4"/>
    <w:rsid w:val="007C73E3"/>
    <w:rsid w:val="007C7B9A"/>
    <w:rsid w:val="007C7CD8"/>
    <w:rsid w:val="007C7DAB"/>
    <w:rsid w:val="007C7F0B"/>
    <w:rsid w:val="007D11F9"/>
    <w:rsid w:val="007D151D"/>
    <w:rsid w:val="007D15DE"/>
    <w:rsid w:val="007D1E96"/>
    <w:rsid w:val="007D22E5"/>
    <w:rsid w:val="007D2617"/>
    <w:rsid w:val="007D26CB"/>
    <w:rsid w:val="007D2A2C"/>
    <w:rsid w:val="007D2B01"/>
    <w:rsid w:val="007D2F9B"/>
    <w:rsid w:val="007D30AC"/>
    <w:rsid w:val="007D36AF"/>
    <w:rsid w:val="007D37FA"/>
    <w:rsid w:val="007D44BA"/>
    <w:rsid w:val="007D4604"/>
    <w:rsid w:val="007D468A"/>
    <w:rsid w:val="007D4F8E"/>
    <w:rsid w:val="007D55A6"/>
    <w:rsid w:val="007D5619"/>
    <w:rsid w:val="007D5BC3"/>
    <w:rsid w:val="007D5EF9"/>
    <w:rsid w:val="007D6031"/>
    <w:rsid w:val="007D660D"/>
    <w:rsid w:val="007D686C"/>
    <w:rsid w:val="007D69D0"/>
    <w:rsid w:val="007D6A18"/>
    <w:rsid w:val="007D6AC9"/>
    <w:rsid w:val="007D70B1"/>
    <w:rsid w:val="007D741D"/>
    <w:rsid w:val="007D75D0"/>
    <w:rsid w:val="007E03D8"/>
    <w:rsid w:val="007E0E50"/>
    <w:rsid w:val="007E103C"/>
    <w:rsid w:val="007E114D"/>
    <w:rsid w:val="007E1364"/>
    <w:rsid w:val="007E1CB0"/>
    <w:rsid w:val="007E22F8"/>
    <w:rsid w:val="007E2834"/>
    <w:rsid w:val="007E288C"/>
    <w:rsid w:val="007E3634"/>
    <w:rsid w:val="007E3F61"/>
    <w:rsid w:val="007E40D1"/>
    <w:rsid w:val="007E42FE"/>
    <w:rsid w:val="007E45A6"/>
    <w:rsid w:val="007E4868"/>
    <w:rsid w:val="007E4AD2"/>
    <w:rsid w:val="007E4DF9"/>
    <w:rsid w:val="007E50A5"/>
    <w:rsid w:val="007E5AD4"/>
    <w:rsid w:val="007E5C2A"/>
    <w:rsid w:val="007E5DFA"/>
    <w:rsid w:val="007E6321"/>
    <w:rsid w:val="007E63F3"/>
    <w:rsid w:val="007E63F4"/>
    <w:rsid w:val="007E643C"/>
    <w:rsid w:val="007E670C"/>
    <w:rsid w:val="007E683B"/>
    <w:rsid w:val="007E71AA"/>
    <w:rsid w:val="007E72EB"/>
    <w:rsid w:val="007E7A3F"/>
    <w:rsid w:val="007E7BDA"/>
    <w:rsid w:val="007E7C38"/>
    <w:rsid w:val="007F00C7"/>
    <w:rsid w:val="007F01D5"/>
    <w:rsid w:val="007F023B"/>
    <w:rsid w:val="007F024E"/>
    <w:rsid w:val="007F0717"/>
    <w:rsid w:val="007F08E7"/>
    <w:rsid w:val="007F0CD2"/>
    <w:rsid w:val="007F110B"/>
    <w:rsid w:val="007F1351"/>
    <w:rsid w:val="007F16DD"/>
    <w:rsid w:val="007F17B3"/>
    <w:rsid w:val="007F1AAC"/>
    <w:rsid w:val="007F1BE4"/>
    <w:rsid w:val="007F1EE5"/>
    <w:rsid w:val="007F2426"/>
    <w:rsid w:val="007F2A45"/>
    <w:rsid w:val="007F2B1D"/>
    <w:rsid w:val="007F2BCF"/>
    <w:rsid w:val="007F2CA8"/>
    <w:rsid w:val="007F3550"/>
    <w:rsid w:val="007F35A2"/>
    <w:rsid w:val="007F3AC2"/>
    <w:rsid w:val="007F3AD6"/>
    <w:rsid w:val="007F3AF1"/>
    <w:rsid w:val="007F41D7"/>
    <w:rsid w:val="007F449F"/>
    <w:rsid w:val="007F44BE"/>
    <w:rsid w:val="007F4567"/>
    <w:rsid w:val="007F4F2E"/>
    <w:rsid w:val="007F57B1"/>
    <w:rsid w:val="007F57BB"/>
    <w:rsid w:val="007F59FC"/>
    <w:rsid w:val="007F5D22"/>
    <w:rsid w:val="007F5E59"/>
    <w:rsid w:val="007F6220"/>
    <w:rsid w:val="007F6ADA"/>
    <w:rsid w:val="007F75F0"/>
    <w:rsid w:val="008003B2"/>
    <w:rsid w:val="00800401"/>
    <w:rsid w:val="008005C5"/>
    <w:rsid w:val="00800861"/>
    <w:rsid w:val="00800C25"/>
    <w:rsid w:val="008014A8"/>
    <w:rsid w:val="008014C9"/>
    <w:rsid w:val="00801738"/>
    <w:rsid w:val="00801BC6"/>
    <w:rsid w:val="00801D83"/>
    <w:rsid w:val="008020C1"/>
    <w:rsid w:val="0080255E"/>
    <w:rsid w:val="00802A38"/>
    <w:rsid w:val="00802A51"/>
    <w:rsid w:val="00802A65"/>
    <w:rsid w:val="00802BB9"/>
    <w:rsid w:val="00802CA0"/>
    <w:rsid w:val="008030C9"/>
    <w:rsid w:val="00803458"/>
    <w:rsid w:val="0080350D"/>
    <w:rsid w:val="00803629"/>
    <w:rsid w:val="0080370E"/>
    <w:rsid w:val="00803BD3"/>
    <w:rsid w:val="008041F1"/>
    <w:rsid w:val="00804500"/>
    <w:rsid w:val="0080498F"/>
    <w:rsid w:val="00804BC7"/>
    <w:rsid w:val="0080573E"/>
    <w:rsid w:val="00805864"/>
    <w:rsid w:val="00805A31"/>
    <w:rsid w:val="00805C09"/>
    <w:rsid w:val="008063FD"/>
    <w:rsid w:val="00806496"/>
    <w:rsid w:val="00806516"/>
    <w:rsid w:val="008065BC"/>
    <w:rsid w:val="00806B79"/>
    <w:rsid w:val="00806D40"/>
    <w:rsid w:val="00806E44"/>
    <w:rsid w:val="00806E98"/>
    <w:rsid w:val="0080707B"/>
    <w:rsid w:val="008070BB"/>
    <w:rsid w:val="0080741A"/>
    <w:rsid w:val="0080755D"/>
    <w:rsid w:val="00807C4F"/>
    <w:rsid w:val="00810138"/>
    <w:rsid w:val="008108F5"/>
    <w:rsid w:val="00810B90"/>
    <w:rsid w:val="00810D12"/>
    <w:rsid w:val="00810D96"/>
    <w:rsid w:val="008113B4"/>
    <w:rsid w:val="00811C8C"/>
    <w:rsid w:val="00811D9C"/>
    <w:rsid w:val="00811E8F"/>
    <w:rsid w:val="00812248"/>
    <w:rsid w:val="0081331B"/>
    <w:rsid w:val="00813523"/>
    <w:rsid w:val="0081365C"/>
    <w:rsid w:val="00813B73"/>
    <w:rsid w:val="00813CBE"/>
    <w:rsid w:val="00813E20"/>
    <w:rsid w:val="00813F61"/>
    <w:rsid w:val="0081400A"/>
    <w:rsid w:val="00814422"/>
    <w:rsid w:val="00814646"/>
    <w:rsid w:val="00814FC7"/>
    <w:rsid w:val="00814FF6"/>
    <w:rsid w:val="0081565E"/>
    <w:rsid w:val="00815693"/>
    <w:rsid w:val="00815DCB"/>
    <w:rsid w:val="00815E92"/>
    <w:rsid w:val="00815FD3"/>
    <w:rsid w:val="008162E9"/>
    <w:rsid w:val="0081697E"/>
    <w:rsid w:val="00816A89"/>
    <w:rsid w:val="00816B1B"/>
    <w:rsid w:val="00816DC2"/>
    <w:rsid w:val="00816F80"/>
    <w:rsid w:val="008175C4"/>
    <w:rsid w:val="00820614"/>
    <w:rsid w:val="00820909"/>
    <w:rsid w:val="00820F46"/>
    <w:rsid w:val="008215CF"/>
    <w:rsid w:val="00821846"/>
    <w:rsid w:val="0082195E"/>
    <w:rsid w:val="00822249"/>
    <w:rsid w:val="0082375E"/>
    <w:rsid w:val="008237D3"/>
    <w:rsid w:val="00823814"/>
    <w:rsid w:val="00823AF0"/>
    <w:rsid w:val="00823C44"/>
    <w:rsid w:val="00823FA2"/>
    <w:rsid w:val="0082409A"/>
    <w:rsid w:val="0082416F"/>
    <w:rsid w:val="0082504C"/>
    <w:rsid w:val="00825148"/>
    <w:rsid w:val="00825403"/>
    <w:rsid w:val="00825477"/>
    <w:rsid w:val="008260C8"/>
    <w:rsid w:val="00826134"/>
    <w:rsid w:val="008266C2"/>
    <w:rsid w:val="00826FE8"/>
    <w:rsid w:val="00827318"/>
    <w:rsid w:val="008277E6"/>
    <w:rsid w:val="008279A2"/>
    <w:rsid w:val="00827BB3"/>
    <w:rsid w:val="00827D91"/>
    <w:rsid w:val="00831486"/>
    <w:rsid w:val="008315F8"/>
    <w:rsid w:val="00831A34"/>
    <w:rsid w:val="00831C59"/>
    <w:rsid w:val="00831F92"/>
    <w:rsid w:val="008324DF"/>
    <w:rsid w:val="008327DB"/>
    <w:rsid w:val="00833228"/>
    <w:rsid w:val="00833437"/>
    <w:rsid w:val="008334F8"/>
    <w:rsid w:val="00833548"/>
    <w:rsid w:val="00833B50"/>
    <w:rsid w:val="00833C03"/>
    <w:rsid w:val="00833D36"/>
    <w:rsid w:val="008340B0"/>
    <w:rsid w:val="00834176"/>
    <w:rsid w:val="008343B7"/>
    <w:rsid w:val="008346D6"/>
    <w:rsid w:val="00834A58"/>
    <w:rsid w:val="00834EE7"/>
    <w:rsid w:val="00835149"/>
    <w:rsid w:val="0083557D"/>
    <w:rsid w:val="00835809"/>
    <w:rsid w:val="00835C0A"/>
    <w:rsid w:val="00836C8C"/>
    <w:rsid w:val="00836FB4"/>
    <w:rsid w:val="00837148"/>
    <w:rsid w:val="0083796F"/>
    <w:rsid w:val="00837C1D"/>
    <w:rsid w:val="008400C3"/>
    <w:rsid w:val="0084016F"/>
    <w:rsid w:val="008402B8"/>
    <w:rsid w:val="00840D61"/>
    <w:rsid w:val="008412A2"/>
    <w:rsid w:val="008414E0"/>
    <w:rsid w:val="0084165A"/>
    <w:rsid w:val="00841850"/>
    <w:rsid w:val="00841863"/>
    <w:rsid w:val="0084198B"/>
    <w:rsid w:val="0084216A"/>
    <w:rsid w:val="0084228F"/>
    <w:rsid w:val="008426CC"/>
    <w:rsid w:val="00842AE9"/>
    <w:rsid w:val="00842D25"/>
    <w:rsid w:val="00843011"/>
    <w:rsid w:val="008430C3"/>
    <w:rsid w:val="0084370C"/>
    <w:rsid w:val="0084373C"/>
    <w:rsid w:val="00843FE9"/>
    <w:rsid w:val="008444FC"/>
    <w:rsid w:val="00844761"/>
    <w:rsid w:val="00844DDB"/>
    <w:rsid w:val="00844F35"/>
    <w:rsid w:val="00845258"/>
    <w:rsid w:val="008453B2"/>
    <w:rsid w:val="0084552C"/>
    <w:rsid w:val="008459E4"/>
    <w:rsid w:val="00845BE8"/>
    <w:rsid w:val="00846452"/>
    <w:rsid w:val="00846FA2"/>
    <w:rsid w:val="0085020D"/>
    <w:rsid w:val="008502D0"/>
    <w:rsid w:val="008503E4"/>
    <w:rsid w:val="008510A9"/>
    <w:rsid w:val="0085118D"/>
    <w:rsid w:val="00851344"/>
    <w:rsid w:val="0085146C"/>
    <w:rsid w:val="008516C4"/>
    <w:rsid w:val="00851791"/>
    <w:rsid w:val="00851A14"/>
    <w:rsid w:val="00851BD7"/>
    <w:rsid w:val="00852C20"/>
    <w:rsid w:val="00852D82"/>
    <w:rsid w:val="008536AC"/>
    <w:rsid w:val="008538C2"/>
    <w:rsid w:val="008539C6"/>
    <w:rsid w:val="00853F90"/>
    <w:rsid w:val="008542DD"/>
    <w:rsid w:val="00854533"/>
    <w:rsid w:val="00854D99"/>
    <w:rsid w:val="00855322"/>
    <w:rsid w:val="0085561B"/>
    <w:rsid w:val="008563F0"/>
    <w:rsid w:val="0085668E"/>
    <w:rsid w:val="00856A60"/>
    <w:rsid w:val="00856C59"/>
    <w:rsid w:val="00856F1E"/>
    <w:rsid w:val="00856F49"/>
    <w:rsid w:val="00856F9B"/>
    <w:rsid w:val="008570D3"/>
    <w:rsid w:val="008570EE"/>
    <w:rsid w:val="0085776B"/>
    <w:rsid w:val="00857FCF"/>
    <w:rsid w:val="0086036C"/>
    <w:rsid w:val="00860515"/>
    <w:rsid w:val="00860A93"/>
    <w:rsid w:val="008610BD"/>
    <w:rsid w:val="00861B64"/>
    <w:rsid w:val="008627D2"/>
    <w:rsid w:val="008628CE"/>
    <w:rsid w:val="00862E4A"/>
    <w:rsid w:val="00862FD8"/>
    <w:rsid w:val="0086302D"/>
    <w:rsid w:val="008637A7"/>
    <w:rsid w:val="00863DBC"/>
    <w:rsid w:val="00863EC3"/>
    <w:rsid w:val="00864763"/>
    <w:rsid w:val="00864977"/>
    <w:rsid w:val="0086541B"/>
    <w:rsid w:val="00865430"/>
    <w:rsid w:val="0086561D"/>
    <w:rsid w:val="0086597B"/>
    <w:rsid w:val="0086619A"/>
    <w:rsid w:val="0086676E"/>
    <w:rsid w:val="00866B55"/>
    <w:rsid w:val="00866E60"/>
    <w:rsid w:val="00867531"/>
    <w:rsid w:val="0086753B"/>
    <w:rsid w:val="008677BC"/>
    <w:rsid w:val="0087018D"/>
    <w:rsid w:val="0087027A"/>
    <w:rsid w:val="0087030F"/>
    <w:rsid w:val="008705BC"/>
    <w:rsid w:val="00870854"/>
    <w:rsid w:val="0087101D"/>
    <w:rsid w:val="00871438"/>
    <w:rsid w:val="00871791"/>
    <w:rsid w:val="00871FCD"/>
    <w:rsid w:val="0087224E"/>
    <w:rsid w:val="00872C88"/>
    <w:rsid w:val="00872F23"/>
    <w:rsid w:val="00872F48"/>
    <w:rsid w:val="00873437"/>
    <w:rsid w:val="00873511"/>
    <w:rsid w:val="00873576"/>
    <w:rsid w:val="0087386D"/>
    <w:rsid w:val="00873BC3"/>
    <w:rsid w:val="00874319"/>
    <w:rsid w:val="00874C94"/>
    <w:rsid w:val="00874D2E"/>
    <w:rsid w:val="00874E41"/>
    <w:rsid w:val="008751C9"/>
    <w:rsid w:val="00875399"/>
    <w:rsid w:val="0087561B"/>
    <w:rsid w:val="00875854"/>
    <w:rsid w:val="00875F0D"/>
    <w:rsid w:val="0087608D"/>
    <w:rsid w:val="00876ACE"/>
    <w:rsid w:val="0087711D"/>
    <w:rsid w:val="008771F4"/>
    <w:rsid w:val="00877345"/>
    <w:rsid w:val="008779D4"/>
    <w:rsid w:val="0088029C"/>
    <w:rsid w:val="00880514"/>
    <w:rsid w:val="00881A25"/>
    <w:rsid w:val="00881B47"/>
    <w:rsid w:val="00881B4B"/>
    <w:rsid w:val="00881EAA"/>
    <w:rsid w:val="00882605"/>
    <w:rsid w:val="0088473B"/>
    <w:rsid w:val="008849C6"/>
    <w:rsid w:val="00884A6B"/>
    <w:rsid w:val="00884EFC"/>
    <w:rsid w:val="00884F3D"/>
    <w:rsid w:val="008851CF"/>
    <w:rsid w:val="00885B25"/>
    <w:rsid w:val="00885E49"/>
    <w:rsid w:val="00885F53"/>
    <w:rsid w:val="00886057"/>
    <w:rsid w:val="00886222"/>
    <w:rsid w:val="008863C6"/>
    <w:rsid w:val="008863DC"/>
    <w:rsid w:val="00886997"/>
    <w:rsid w:val="0088737A"/>
    <w:rsid w:val="00887469"/>
    <w:rsid w:val="0088797A"/>
    <w:rsid w:val="0089099F"/>
    <w:rsid w:val="00890A07"/>
    <w:rsid w:val="00890CF1"/>
    <w:rsid w:val="00891378"/>
    <w:rsid w:val="00891653"/>
    <w:rsid w:val="00891AF7"/>
    <w:rsid w:val="00891F28"/>
    <w:rsid w:val="00892143"/>
    <w:rsid w:val="008929E4"/>
    <w:rsid w:val="00892BA7"/>
    <w:rsid w:val="00892F99"/>
    <w:rsid w:val="0089300A"/>
    <w:rsid w:val="0089309D"/>
    <w:rsid w:val="0089366B"/>
    <w:rsid w:val="008936B6"/>
    <w:rsid w:val="008937A8"/>
    <w:rsid w:val="00893AB3"/>
    <w:rsid w:val="00893D30"/>
    <w:rsid w:val="00893EA2"/>
    <w:rsid w:val="00893EAF"/>
    <w:rsid w:val="00894207"/>
    <w:rsid w:val="00894854"/>
    <w:rsid w:val="00894C82"/>
    <w:rsid w:val="008950C7"/>
    <w:rsid w:val="008951A8"/>
    <w:rsid w:val="0089526D"/>
    <w:rsid w:val="00895577"/>
    <w:rsid w:val="00896215"/>
    <w:rsid w:val="00896273"/>
    <w:rsid w:val="00896D3A"/>
    <w:rsid w:val="008975B1"/>
    <w:rsid w:val="008976B7"/>
    <w:rsid w:val="008A01B1"/>
    <w:rsid w:val="008A0B06"/>
    <w:rsid w:val="008A1141"/>
    <w:rsid w:val="008A140A"/>
    <w:rsid w:val="008A159C"/>
    <w:rsid w:val="008A1AD5"/>
    <w:rsid w:val="008A1E20"/>
    <w:rsid w:val="008A1FA6"/>
    <w:rsid w:val="008A2534"/>
    <w:rsid w:val="008A2E54"/>
    <w:rsid w:val="008A306D"/>
    <w:rsid w:val="008A307F"/>
    <w:rsid w:val="008A32DD"/>
    <w:rsid w:val="008A3BB3"/>
    <w:rsid w:val="008A4238"/>
    <w:rsid w:val="008A42C2"/>
    <w:rsid w:val="008A445C"/>
    <w:rsid w:val="008A46F6"/>
    <w:rsid w:val="008A4983"/>
    <w:rsid w:val="008A4A78"/>
    <w:rsid w:val="008A4E14"/>
    <w:rsid w:val="008A4F04"/>
    <w:rsid w:val="008A517A"/>
    <w:rsid w:val="008A53F3"/>
    <w:rsid w:val="008A560B"/>
    <w:rsid w:val="008A5736"/>
    <w:rsid w:val="008A60C2"/>
    <w:rsid w:val="008A637F"/>
    <w:rsid w:val="008A668D"/>
    <w:rsid w:val="008A6DE5"/>
    <w:rsid w:val="008A6F04"/>
    <w:rsid w:val="008A6F20"/>
    <w:rsid w:val="008A7626"/>
    <w:rsid w:val="008A7D1C"/>
    <w:rsid w:val="008A7D66"/>
    <w:rsid w:val="008A7DA1"/>
    <w:rsid w:val="008B002C"/>
    <w:rsid w:val="008B005E"/>
    <w:rsid w:val="008B00DA"/>
    <w:rsid w:val="008B0326"/>
    <w:rsid w:val="008B06D0"/>
    <w:rsid w:val="008B0873"/>
    <w:rsid w:val="008B09AD"/>
    <w:rsid w:val="008B0CEB"/>
    <w:rsid w:val="008B1043"/>
    <w:rsid w:val="008B1146"/>
    <w:rsid w:val="008B11BB"/>
    <w:rsid w:val="008B13E4"/>
    <w:rsid w:val="008B1D21"/>
    <w:rsid w:val="008B22C9"/>
    <w:rsid w:val="008B282C"/>
    <w:rsid w:val="008B3135"/>
    <w:rsid w:val="008B35D5"/>
    <w:rsid w:val="008B3818"/>
    <w:rsid w:val="008B3A94"/>
    <w:rsid w:val="008B3E7E"/>
    <w:rsid w:val="008B3FFC"/>
    <w:rsid w:val="008B42BA"/>
    <w:rsid w:val="008B45DA"/>
    <w:rsid w:val="008B4852"/>
    <w:rsid w:val="008B4A01"/>
    <w:rsid w:val="008B4E26"/>
    <w:rsid w:val="008B50E3"/>
    <w:rsid w:val="008B537C"/>
    <w:rsid w:val="008B5E3D"/>
    <w:rsid w:val="008B5E80"/>
    <w:rsid w:val="008B5EFE"/>
    <w:rsid w:val="008B6638"/>
    <w:rsid w:val="008B667C"/>
    <w:rsid w:val="008B68D2"/>
    <w:rsid w:val="008B69A3"/>
    <w:rsid w:val="008B6D18"/>
    <w:rsid w:val="008B6F33"/>
    <w:rsid w:val="008B716B"/>
    <w:rsid w:val="008B79AC"/>
    <w:rsid w:val="008C001A"/>
    <w:rsid w:val="008C06AE"/>
    <w:rsid w:val="008C0CE2"/>
    <w:rsid w:val="008C0FFB"/>
    <w:rsid w:val="008C1315"/>
    <w:rsid w:val="008C183F"/>
    <w:rsid w:val="008C1E21"/>
    <w:rsid w:val="008C20C0"/>
    <w:rsid w:val="008C20C7"/>
    <w:rsid w:val="008C2C67"/>
    <w:rsid w:val="008C308D"/>
    <w:rsid w:val="008C30EA"/>
    <w:rsid w:val="008C30FB"/>
    <w:rsid w:val="008C3339"/>
    <w:rsid w:val="008C388D"/>
    <w:rsid w:val="008C4185"/>
    <w:rsid w:val="008C5562"/>
    <w:rsid w:val="008C55BD"/>
    <w:rsid w:val="008C5750"/>
    <w:rsid w:val="008C6009"/>
    <w:rsid w:val="008C626D"/>
    <w:rsid w:val="008C6B77"/>
    <w:rsid w:val="008C6EE1"/>
    <w:rsid w:val="008C73DB"/>
    <w:rsid w:val="008C7D06"/>
    <w:rsid w:val="008D02EA"/>
    <w:rsid w:val="008D0549"/>
    <w:rsid w:val="008D066D"/>
    <w:rsid w:val="008D0798"/>
    <w:rsid w:val="008D0BE8"/>
    <w:rsid w:val="008D131C"/>
    <w:rsid w:val="008D13A4"/>
    <w:rsid w:val="008D157F"/>
    <w:rsid w:val="008D191F"/>
    <w:rsid w:val="008D1E68"/>
    <w:rsid w:val="008D2316"/>
    <w:rsid w:val="008D27EC"/>
    <w:rsid w:val="008D293D"/>
    <w:rsid w:val="008D3184"/>
    <w:rsid w:val="008D3942"/>
    <w:rsid w:val="008D3CE3"/>
    <w:rsid w:val="008D3F82"/>
    <w:rsid w:val="008D3FED"/>
    <w:rsid w:val="008D4534"/>
    <w:rsid w:val="008D46AB"/>
    <w:rsid w:val="008D49D9"/>
    <w:rsid w:val="008D4A23"/>
    <w:rsid w:val="008D4EB0"/>
    <w:rsid w:val="008D52E3"/>
    <w:rsid w:val="008D57D5"/>
    <w:rsid w:val="008D59A3"/>
    <w:rsid w:val="008D59B5"/>
    <w:rsid w:val="008D5D7E"/>
    <w:rsid w:val="008D60AE"/>
    <w:rsid w:val="008D6529"/>
    <w:rsid w:val="008D6B4B"/>
    <w:rsid w:val="008D6BC2"/>
    <w:rsid w:val="008D7811"/>
    <w:rsid w:val="008D7BF3"/>
    <w:rsid w:val="008D7FAE"/>
    <w:rsid w:val="008E0781"/>
    <w:rsid w:val="008E079D"/>
    <w:rsid w:val="008E07DD"/>
    <w:rsid w:val="008E1BDB"/>
    <w:rsid w:val="008E1C22"/>
    <w:rsid w:val="008E1EDA"/>
    <w:rsid w:val="008E1F1D"/>
    <w:rsid w:val="008E21E4"/>
    <w:rsid w:val="008E26E9"/>
    <w:rsid w:val="008E27C6"/>
    <w:rsid w:val="008E29B6"/>
    <w:rsid w:val="008E2A87"/>
    <w:rsid w:val="008E2CF6"/>
    <w:rsid w:val="008E2FFE"/>
    <w:rsid w:val="008E3302"/>
    <w:rsid w:val="008E332F"/>
    <w:rsid w:val="008E3EB7"/>
    <w:rsid w:val="008E3F91"/>
    <w:rsid w:val="008E4150"/>
    <w:rsid w:val="008E4D1D"/>
    <w:rsid w:val="008E5017"/>
    <w:rsid w:val="008E5128"/>
    <w:rsid w:val="008E55FC"/>
    <w:rsid w:val="008E588C"/>
    <w:rsid w:val="008E5B8B"/>
    <w:rsid w:val="008E636B"/>
    <w:rsid w:val="008E68AA"/>
    <w:rsid w:val="008E6D7A"/>
    <w:rsid w:val="008E73EA"/>
    <w:rsid w:val="008E78E7"/>
    <w:rsid w:val="008E7CB2"/>
    <w:rsid w:val="008F0300"/>
    <w:rsid w:val="008F032E"/>
    <w:rsid w:val="008F0448"/>
    <w:rsid w:val="008F055C"/>
    <w:rsid w:val="008F07B1"/>
    <w:rsid w:val="008F0C93"/>
    <w:rsid w:val="008F0F61"/>
    <w:rsid w:val="008F106C"/>
    <w:rsid w:val="008F156B"/>
    <w:rsid w:val="008F1D7D"/>
    <w:rsid w:val="008F214A"/>
    <w:rsid w:val="008F2B69"/>
    <w:rsid w:val="008F2E6D"/>
    <w:rsid w:val="008F30C0"/>
    <w:rsid w:val="008F35E1"/>
    <w:rsid w:val="008F374A"/>
    <w:rsid w:val="008F38ED"/>
    <w:rsid w:val="008F3CF1"/>
    <w:rsid w:val="008F3F4D"/>
    <w:rsid w:val="008F4458"/>
    <w:rsid w:val="008F497A"/>
    <w:rsid w:val="008F4A10"/>
    <w:rsid w:val="008F4E00"/>
    <w:rsid w:val="008F4E1C"/>
    <w:rsid w:val="008F56A2"/>
    <w:rsid w:val="008F5702"/>
    <w:rsid w:val="008F581A"/>
    <w:rsid w:val="008F5873"/>
    <w:rsid w:val="008F5A2E"/>
    <w:rsid w:val="008F5AC9"/>
    <w:rsid w:val="008F5C0C"/>
    <w:rsid w:val="008F62C7"/>
    <w:rsid w:val="008F6967"/>
    <w:rsid w:val="008F6A57"/>
    <w:rsid w:val="008F76F2"/>
    <w:rsid w:val="008F7A8D"/>
    <w:rsid w:val="008F7B2D"/>
    <w:rsid w:val="008F7C15"/>
    <w:rsid w:val="0090018E"/>
    <w:rsid w:val="00900213"/>
    <w:rsid w:val="009002E0"/>
    <w:rsid w:val="009009C6"/>
    <w:rsid w:val="00900E5F"/>
    <w:rsid w:val="00900E75"/>
    <w:rsid w:val="00901960"/>
    <w:rsid w:val="00901A1D"/>
    <w:rsid w:val="00901D97"/>
    <w:rsid w:val="0090229D"/>
    <w:rsid w:val="009024B4"/>
    <w:rsid w:val="009024E6"/>
    <w:rsid w:val="0090276B"/>
    <w:rsid w:val="009027DC"/>
    <w:rsid w:val="00902A9B"/>
    <w:rsid w:val="00902B06"/>
    <w:rsid w:val="0090333E"/>
    <w:rsid w:val="009034E0"/>
    <w:rsid w:val="009036C4"/>
    <w:rsid w:val="009036EE"/>
    <w:rsid w:val="00903760"/>
    <w:rsid w:val="00903C3E"/>
    <w:rsid w:val="00903F96"/>
    <w:rsid w:val="00904804"/>
    <w:rsid w:val="0090501B"/>
    <w:rsid w:val="00905859"/>
    <w:rsid w:val="0090585F"/>
    <w:rsid w:val="009058C6"/>
    <w:rsid w:val="00905B15"/>
    <w:rsid w:val="00905B63"/>
    <w:rsid w:val="009062B7"/>
    <w:rsid w:val="0090696E"/>
    <w:rsid w:val="00906C39"/>
    <w:rsid w:val="00906CF3"/>
    <w:rsid w:val="0090773F"/>
    <w:rsid w:val="00907C80"/>
    <w:rsid w:val="00907E59"/>
    <w:rsid w:val="00907FC4"/>
    <w:rsid w:val="00910164"/>
    <w:rsid w:val="0091059D"/>
    <w:rsid w:val="009108D5"/>
    <w:rsid w:val="00910BD5"/>
    <w:rsid w:val="00911948"/>
    <w:rsid w:val="00911A15"/>
    <w:rsid w:val="00911AF1"/>
    <w:rsid w:val="00911E94"/>
    <w:rsid w:val="00911F34"/>
    <w:rsid w:val="00912122"/>
    <w:rsid w:val="009124CD"/>
    <w:rsid w:val="0091259F"/>
    <w:rsid w:val="009128B3"/>
    <w:rsid w:val="00913192"/>
    <w:rsid w:val="00913246"/>
    <w:rsid w:val="009137E4"/>
    <w:rsid w:val="00913D77"/>
    <w:rsid w:val="009147A6"/>
    <w:rsid w:val="00914943"/>
    <w:rsid w:val="00914949"/>
    <w:rsid w:val="00914A73"/>
    <w:rsid w:val="00914AA8"/>
    <w:rsid w:val="009151AD"/>
    <w:rsid w:val="009153A2"/>
    <w:rsid w:val="009156B1"/>
    <w:rsid w:val="00915749"/>
    <w:rsid w:val="009159FD"/>
    <w:rsid w:val="00915DF3"/>
    <w:rsid w:val="00915FDF"/>
    <w:rsid w:val="00916005"/>
    <w:rsid w:val="00916045"/>
    <w:rsid w:val="009160C3"/>
    <w:rsid w:val="00916181"/>
    <w:rsid w:val="00916275"/>
    <w:rsid w:val="009163F4"/>
    <w:rsid w:val="0091652D"/>
    <w:rsid w:val="009171B4"/>
    <w:rsid w:val="0091728D"/>
    <w:rsid w:val="00917A09"/>
    <w:rsid w:val="00917D47"/>
    <w:rsid w:val="00917DCC"/>
    <w:rsid w:val="009200D0"/>
    <w:rsid w:val="00921814"/>
    <w:rsid w:val="00921934"/>
    <w:rsid w:val="00921B9C"/>
    <w:rsid w:val="00922265"/>
    <w:rsid w:val="00922488"/>
    <w:rsid w:val="00922617"/>
    <w:rsid w:val="0092271D"/>
    <w:rsid w:val="00922C26"/>
    <w:rsid w:val="00922C40"/>
    <w:rsid w:val="00922C7B"/>
    <w:rsid w:val="00922FB9"/>
    <w:rsid w:val="0092312B"/>
    <w:rsid w:val="00923483"/>
    <w:rsid w:val="00923759"/>
    <w:rsid w:val="009239A5"/>
    <w:rsid w:val="00923E1D"/>
    <w:rsid w:val="00924A9E"/>
    <w:rsid w:val="00924D69"/>
    <w:rsid w:val="00924E83"/>
    <w:rsid w:val="00925015"/>
    <w:rsid w:val="00925137"/>
    <w:rsid w:val="009252DA"/>
    <w:rsid w:val="0092536C"/>
    <w:rsid w:val="00925648"/>
    <w:rsid w:val="00925AF7"/>
    <w:rsid w:val="00925D76"/>
    <w:rsid w:val="009260F8"/>
    <w:rsid w:val="0092615F"/>
    <w:rsid w:val="00926733"/>
    <w:rsid w:val="00926752"/>
    <w:rsid w:val="009268DB"/>
    <w:rsid w:val="00926A5D"/>
    <w:rsid w:val="00926F97"/>
    <w:rsid w:val="00927246"/>
    <w:rsid w:val="009277A3"/>
    <w:rsid w:val="00927AF3"/>
    <w:rsid w:val="00927C90"/>
    <w:rsid w:val="00927DEA"/>
    <w:rsid w:val="00930919"/>
    <w:rsid w:val="00930A6C"/>
    <w:rsid w:val="00930BCB"/>
    <w:rsid w:val="00930E84"/>
    <w:rsid w:val="0093103C"/>
    <w:rsid w:val="0093119C"/>
    <w:rsid w:val="00931387"/>
    <w:rsid w:val="009313D9"/>
    <w:rsid w:val="00931CB0"/>
    <w:rsid w:val="00931EF8"/>
    <w:rsid w:val="009330BF"/>
    <w:rsid w:val="009330DE"/>
    <w:rsid w:val="009331CC"/>
    <w:rsid w:val="009337DB"/>
    <w:rsid w:val="00933A55"/>
    <w:rsid w:val="00933A6E"/>
    <w:rsid w:val="00933CE3"/>
    <w:rsid w:val="009341AC"/>
    <w:rsid w:val="009342EE"/>
    <w:rsid w:val="00934689"/>
    <w:rsid w:val="009346AA"/>
    <w:rsid w:val="009347BA"/>
    <w:rsid w:val="00934E88"/>
    <w:rsid w:val="0093500E"/>
    <w:rsid w:val="00935787"/>
    <w:rsid w:val="00935D9A"/>
    <w:rsid w:val="009360EC"/>
    <w:rsid w:val="009361D5"/>
    <w:rsid w:val="009361E4"/>
    <w:rsid w:val="0093639D"/>
    <w:rsid w:val="009365B1"/>
    <w:rsid w:val="00936BCB"/>
    <w:rsid w:val="00937353"/>
    <w:rsid w:val="009373AB"/>
    <w:rsid w:val="0093748B"/>
    <w:rsid w:val="009378F2"/>
    <w:rsid w:val="00937C54"/>
    <w:rsid w:val="00940615"/>
    <w:rsid w:val="00940C27"/>
    <w:rsid w:val="00940E0C"/>
    <w:rsid w:val="009412B8"/>
    <w:rsid w:val="009416D5"/>
    <w:rsid w:val="00941751"/>
    <w:rsid w:val="00941ABE"/>
    <w:rsid w:val="00941DDC"/>
    <w:rsid w:val="00941E18"/>
    <w:rsid w:val="0094231F"/>
    <w:rsid w:val="009423B7"/>
    <w:rsid w:val="00942CAC"/>
    <w:rsid w:val="00943770"/>
    <w:rsid w:val="00943930"/>
    <w:rsid w:val="00943AD6"/>
    <w:rsid w:val="009440AC"/>
    <w:rsid w:val="00944263"/>
    <w:rsid w:val="009443CC"/>
    <w:rsid w:val="00944921"/>
    <w:rsid w:val="009453D4"/>
    <w:rsid w:val="00945880"/>
    <w:rsid w:val="0094598F"/>
    <w:rsid w:val="00946943"/>
    <w:rsid w:val="009469F7"/>
    <w:rsid w:val="00946BAC"/>
    <w:rsid w:val="00946BD2"/>
    <w:rsid w:val="00947B5D"/>
    <w:rsid w:val="0095068D"/>
    <w:rsid w:val="00950D8E"/>
    <w:rsid w:val="00951348"/>
    <w:rsid w:val="00951685"/>
    <w:rsid w:val="00951D31"/>
    <w:rsid w:val="00952729"/>
    <w:rsid w:val="00953124"/>
    <w:rsid w:val="00953135"/>
    <w:rsid w:val="00953D31"/>
    <w:rsid w:val="009542A3"/>
    <w:rsid w:val="0095491C"/>
    <w:rsid w:val="00954FC8"/>
    <w:rsid w:val="0095554B"/>
    <w:rsid w:val="0095589B"/>
    <w:rsid w:val="00955C52"/>
    <w:rsid w:val="00955D78"/>
    <w:rsid w:val="009564ED"/>
    <w:rsid w:val="009567BB"/>
    <w:rsid w:val="00956A19"/>
    <w:rsid w:val="00956F20"/>
    <w:rsid w:val="00957199"/>
    <w:rsid w:val="009571E4"/>
    <w:rsid w:val="00957519"/>
    <w:rsid w:val="009575B6"/>
    <w:rsid w:val="00957B07"/>
    <w:rsid w:val="00957D86"/>
    <w:rsid w:val="0096009F"/>
    <w:rsid w:val="0096022F"/>
    <w:rsid w:val="009608A3"/>
    <w:rsid w:val="00961799"/>
    <w:rsid w:val="00961E45"/>
    <w:rsid w:val="00961E86"/>
    <w:rsid w:val="0096203D"/>
    <w:rsid w:val="009621A9"/>
    <w:rsid w:val="009627A4"/>
    <w:rsid w:val="00962EB6"/>
    <w:rsid w:val="00963126"/>
    <w:rsid w:val="0096349C"/>
    <w:rsid w:val="009636F2"/>
    <w:rsid w:val="00963D17"/>
    <w:rsid w:val="00963F04"/>
    <w:rsid w:val="00964130"/>
    <w:rsid w:val="00964142"/>
    <w:rsid w:val="00964559"/>
    <w:rsid w:val="009646B5"/>
    <w:rsid w:val="00964811"/>
    <w:rsid w:val="0096547E"/>
    <w:rsid w:val="00965EDD"/>
    <w:rsid w:val="009661B3"/>
    <w:rsid w:val="00967564"/>
    <w:rsid w:val="00967996"/>
    <w:rsid w:val="00967C92"/>
    <w:rsid w:val="00967DB6"/>
    <w:rsid w:val="00967EEB"/>
    <w:rsid w:val="00970484"/>
    <w:rsid w:val="009704C6"/>
    <w:rsid w:val="009708A2"/>
    <w:rsid w:val="00970CC8"/>
    <w:rsid w:val="00971035"/>
    <w:rsid w:val="00971186"/>
    <w:rsid w:val="00971410"/>
    <w:rsid w:val="00971786"/>
    <w:rsid w:val="009719AC"/>
    <w:rsid w:val="009722DF"/>
    <w:rsid w:val="00972336"/>
    <w:rsid w:val="0097256B"/>
    <w:rsid w:val="00972A56"/>
    <w:rsid w:val="00973281"/>
    <w:rsid w:val="00973839"/>
    <w:rsid w:val="009738CF"/>
    <w:rsid w:val="00973A59"/>
    <w:rsid w:val="00973DB0"/>
    <w:rsid w:val="00974577"/>
    <w:rsid w:val="0097580D"/>
    <w:rsid w:val="009768B8"/>
    <w:rsid w:val="0097692E"/>
    <w:rsid w:val="00976D2D"/>
    <w:rsid w:val="0097710E"/>
    <w:rsid w:val="009800AB"/>
    <w:rsid w:val="0098073F"/>
    <w:rsid w:val="00980829"/>
    <w:rsid w:val="00980CB4"/>
    <w:rsid w:val="00981131"/>
    <w:rsid w:val="00981352"/>
    <w:rsid w:val="0098157C"/>
    <w:rsid w:val="009815E3"/>
    <w:rsid w:val="00981D0E"/>
    <w:rsid w:val="009820A3"/>
    <w:rsid w:val="00982751"/>
    <w:rsid w:val="00982892"/>
    <w:rsid w:val="00982A19"/>
    <w:rsid w:val="00982BA7"/>
    <w:rsid w:val="00982F60"/>
    <w:rsid w:val="00983038"/>
    <w:rsid w:val="009834D0"/>
    <w:rsid w:val="00983808"/>
    <w:rsid w:val="00983B4B"/>
    <w:rsid w:val="00983E4A"/>
    <w:rsid w:val="0098402B"/>
    <w:rsid w:val="0098440E"/>
    <w:rsid w:val="00984969"/>
    <w:rsid w:val="00984A75"/>
    <w:rsid w:val="009851F3"/>
    <w:rsid w:val="00985229"/>
    <w:rsid w:val="00985233"/>
    <w:rsid w:val="009859CD"/>
    <w:rsid w:val="00985D19"/>
    <w:rsid w:val="0098625D"/>
    <w:rsid w:val="0098679D"/>
    <w:rsid w:val="00986A47"/>
    <w:rsid w:val="00986AF0"/>
    <w:rsid w:val="00987390"/>
    <w:rsid w:val="0099008B"/>
    <w:rsid w:val="00990451"/>
    <w:rsid w:val="009905F2"/>
    <w:rsid w:val="009907BA"/>
    <w:rsid w:val="00990B66"/>
    <w:rsid w:val="00990D51"/>
    <w:rsid w:val="0099115B"/>
    <w:rsid w:val="0099165E"/>
    <w:rsid w:val="009928D8"/>
    <w:rsid w:val="00992ED2"/>
    <w:rsid w:val="00993B5A"/>
    <w:rsid w:val="00993C65"/>
    <w:rsid w:val="00993DB6"/>
    <w:rsid w:val="00994119"/>
    <w:rsid w:val="00994183"/>
    <w:rsid w:val="00994237"/>
    <w:rsid w:val="00995AFE"/>
    <w:rsid w:val="00995ED1"/>
    <w:rsid w:val="009961B4"/>
    <w:rsid w:val="009963EE"/>
    <w:rsid w:val="009967DD"/>
    <w:rsid w:val="009967EB"/>
    <w:rsid w:val="00996A9E"/>
    <w:rsid w:val="00996FC1"/>
    <w:rsid w:val="009974D2"/>
    <w:rsid w:val="0099762B"/>
    <w:rsid w:val="009976A9"/>
    <w:rsid w:val="00997C44"/>
    <w:rsid w:val="009A0150"/>
    <w:rsid w:val="009A025A"/>
    <w:rsid w:val="009A0921"/>
    <w:rsid w:val="009A0AA0"/>
    <w:rsid w:val="009A0DF3"/>
    <w:rsid w:val="009A1068"/>
    <w:rsid w:val="009A1140"/>
    <w:rsid w:val="009A150A"/>
    <w:rsid w:val="009A1584"/>
    <w:rsid w:val="009A15D0"/>
    <w:rsid w:val="009A1B4B"/>
    <w:rsid w:val="009A2681"/>
    <w:rsid w:val="009A27D2"/>
    <w:rsid w:val="009A27E5"/>
    <w:rsid w:val="009A291C"/>
    <w:rsid w:val="009A3291"/>
    <w:rsid w:val="009A35FD"/>
    <w:rsid w:val="009A3DA6"/>
    <w:rsid w:val="009A3FC5"/>
    <w:rsid w:val="009A5270"/>
    <w:rsid w:val="009A53BE"/>
    <w:rsid w:val="009A5A1F"/>
    <w:rsid w:val="009A5FC9"/>
    <w:rsid w:val="009A63B1"/>
    <w:rsid w:val="009A6D09"/>
    <w:rsid w:val="009A6EAC"/>
    <w:rsid w:val="009A73E8"/>
    <w:rsid w:val="009A749A"/>
    <w:rsid w:val="009A76FF"/>
    <w:rsid w:val="009A7DE4"/>
    <w:rsid w:val="009A7E7C"/>
    <w:rsid w:val="009B02A8"/>
    <w:rsid w:val="009B05FB"/>
    <w:rsid w:val="009B0F30"/>
    <w:rsid w:val="009B0F32"/>
    <w:rsid w:val="009B1140"/>
    <w:rsid w:val="009B2101"/>
    <w:rsid w:val="009B2146"/>
    <w:rsid w:val="009B228F"/>
    <w:rsid w:val="009B2432"/>
    <w:rsid w:val="009B24CE"/>
    <w:rsid w:val="009B3071"/>
    <w:rsid w:val="009B3139"/>
    <w:rsid w:val="009B3213"/>
    <w:rsid w:val="009B4216"/>
    <w:rsid w:val="009B4360"/>
    <w:rsid w:val="009B47A0"/>
    <w:rsid w:val="009B4A26"/>
    <w:rsid w:val="009B5F58"/>
    <w:rsid w:val="009B6121"/>
    <w:rsid w:val="009B6372"/>
    <w:rsid w:val="009B667A"/>
    <w:rsid w:val="009B67E0"/>
    <w:rsid w:val="009B689C"/>
    <w:rsid w:val="009B68FC"/>
    <w:rsid w:val="009B70D0"/>
    <w:rsid w:val="009B721D"/>
    <w:rsid w:val="009B74FC"/>
    <w:rsid w:val="009B7828"/>
    <w:rsid w:val="009B7BFB"/>
    <w:rsid w:val="009B7DA6"/>
    <w:rsid w:val="009C0722"/>
    <w:rsid w:val="009C0954"/>
    <w:rsid w:val="009C0A21"/>
    <w:rsid w:val="009C0E04"/>
    <w:rsid w:val="009C0FA5"/>
    <w:rsid w:val="009C1023"/>
    <w:rsid w:val="009C10CA"/>
    <w:rsid w:val="009C1248"/>
    <w:rsid w:val="009C1A72"/>
    <w:rsid w:val="009C1D9B"/>
    <w:rsid w:val="009C1E1A"/>
    <w:rsid w:val="009C23D7"/>
    <w:rsid w:val="009C24CB"/>
    <w:rsid w:val="009C26A4"/>
    <w:rsid w:val="009C26B5"/>
    <w:rsid w:val="009C2F56"/>
    <w:rsid w:val="009C3203"/>
    <w:rsid w:val="009C39B7"/>
    <w:rsid w:val="009C3F8C"/>
    <w:rsid w:val="009C40B3"/>
    <w:rsid w:val="009C4BD0"/>
    <w:rsid w:val="009C4CE2"/>
    <w:rsid w:val="009C4E90"/>
    <w:rsid w:val="009C5855"/>
    <w:rsid w:val="009C5BAA"/>
    <w:rsid w:val="009C5BB9"/>
    <w:rsid w:val="009C6188"/>
    <w:rsid w:val="009C6267"/>
    <w:rsid w:val="009C63F3"/>
    <w:rsid w:val="009C64E0"/>
    <w:rsid w:val="009C6DC6"/>
    <w:rsid w:val="009C6E3B"/>
    <w:rsid w:val="009C742F"/>
    <w:rsid w:val="009C7536"/>
    <w:rsid w:val="009C7AC9"/>
    <w:rsid w:val="009C7F90"/>
    <w:rsid w:val="009D0C3A"/>
    <w:rsid w:val="009D1932"/>
    <w:rsid w:val="009D20F6"/>
    <w:rsid w:val="009D2480"/>
    <w:rsid w:val="009D2D84"/>
    <w:rsid w:val="009D3067"/>
    <w:rsid w:val="009D3792"/>
    <w:rsid w:val="009D4140"/>
    <w:rsid w:val="009D473F"/>
    <w:rsid w:val="009D4A8B"/>
    <w:rsid w:val="009D507B"/>
    <w:rsid w:val="009D52E7"/>
    <w:rsid w:val="009D5A41"/>
    <w:rsid w:val="009D5B8B"/>
    <w:rsid w:val="009D5EFD"/>
    <w:rsid w:val="009D616B"/>
    <w:rsid w:val="009D69C1"/>
    <w:rsid w:val="009D6D23"/>
    <w:rsid w:val="009D6F60"/>
    <w:rsid w:val="009D70E4"/>
    <w:rsid w:val="009D71ED"/>
    <w:rsid w:val="009D7571"/>
    <w:rsid w:val="009D77ED"/>
    <w:rsid w:val="009D7EA9"/>
    <w:rsid w:val="009E008E"/>
    <w:rsid w:val="009E03E6"/>
    <w:rsid w:val="009E07FB"/>
    <w:rsid w:val="009E0B05"/>
    <w:rsid w:val="009E0C2D"/>
    <w:rsid w:val="009E0EE2"/>
    <w:rsid w:val="009E1660"/>
    <w:rsid w:val="009E16B0"/>
    <w:rsid w:val="009E192A"/>
    <w:rsid w:val="009E19C8"/>
    <w:rsid w:val="009E1B8E"/>
    <w:rsid w:val="009E25DC"/>
    <w:rsid w:val="009E27B2"/>
    <w:rsid w:val="009E2808"/>
    <w:rsid w:val="009E2B54"/>
    <w:rsid w:val="009E36A5"/>
    <w:rsid w:val="009E4707"/>
    <w:rsid w:val="009E485B"/>
    <w:rsid w:val="009E50BA"/>
    <w:rsid w:val="009E57DF"/>
    <w:rsid w:val="009E6259"/>
    <w:rsid w:val="009E62DB"/>
    <w:rsid w:val="009E63B5"/>
    <w:rsid w:val="009E6409"/>
    <w:rsid w:val="009E65E9"/>
    <w:rsid w:val="009E7230"/>
    <w:rsid w:val="009E730A"/>
    <w:rsid w:val="009E7371"/>
    <w:rsid w:val="009F00CA"/>
    <w:rsid w:val="009F01CE"/>
    <w:rsid w:val="009F08C0"/>
    <w:rsid w:val="009F143D"/>
    <w:rsid w:val="009F158C"/>
    <w:rsid w:val="009F1A47"/>
    <w:rsid w:val="009F1E65"/>
    <w:rsid w:val="009F1FE3"/>
    <w:rsid w:val="009F22B7"/>
    <w:rsid w:val="009F249D"/>
    <w:rsid w:val="009F2CE0"/>
    <w:rsid w:val="009F2E32"/>
    <w:rsid w:val="009F2FE8"/>
    <w:rsid w:val="009F4D14"/>
    <w:rsid w:val="009F5511"/>
    <w:rsid w:val="009F6162"/>
    <w:rsid w:val="009F6454"/>
    <w:rsid w:val="009F7143"/>
    <w:rsid w:val="009F71EB"/>
    <w:rsid w:val="009F7268"/>
    <w:rsid w:val="009F7668"/>
    <w:rsid w:val="00A00281"/>
    <w:rsid w:val="00A00912"/>
    <w:rsid w:val="00A00A68"/>
    <w:rsid w:val="00A00AAC"/>
    <w:rsid w:val="00A00ADE"/>
    <w:rsid w:val="00A00C60"/>
    <w:rsid w:val="00A0153E"/>
    <w:rsid w:val="00A01573"/>
    <w:rsid w:val="00A01EF0"/>
    <w:rsid w:val="00A0214E"/>
    <w:rsid w:val="00A023B2"/>
    <w:rsid w:val="00A02627"/>
    <w:rsid w:val="00A02A60"/>
    <w:rsid w:val="00A02BD6"/>
    <w:rsid w:val="00A02DA2"/>
    <w:rsid w:val="00A02E56"/>
    <w:rsid w:val="00A02EF5"/>
    <w:rsid w:val="00A035A5"/>
    <w:rsid w:val="00A0387D"/>
    <w:rsid w:val="00A03A38"/>
    <w:rsid w:val="00A03BE5"/>
    <w:rsid w:val="00A04CA8"/>
    <w:rsid w:val="00A050BF"/>
    <w:rsid w:val="00A051B1"/>
    <w:rsid w:val="00A05760"/>
    <w:rsid w:val="00A057DF"/>
    <w:rsid w:val="00A059F1"/>
    <w:rsid w:val="00A05BC3"/>
    <w:rsid w:val="00A0604F"/>
    <w:rsid w:val="00A06172"/>
    <w:rsid w:val="00A0659A"/>
    <w:rsid w:val="00A068E3"/>
    <w:rsid w:val="00A06BC1"/>
    <w:rsid w:val="00A06EC9"/>
    <w:rsid w:val="00A0780A"/>
    <w:rsid w:val="00A104E3"/>
    <w:rsid w:val="00A11A8D"/>
    <w:rsid w:val="00A11C41"/>
    <w:rsid w:val="00A12489"/>
    <w:rsid w:val="00A12686"/>
    <w:rsid w:val="00A127B5"/>
    <w:rsid w:val="00A12CD9"/>
    <w:rsid w:val="00A1340F"/>
    <w:rsid w:val="00A13634"/>
    <w:rsid w:val="00A13950"/>
    <w:rsid w:val="00A145D0"/>
    <w:rsid w:val="00A14B86"/>
    <w:rsid w:val="00A14B99"/>
    <w:rsid w:val="00A153F5"/>
    <w:rsid w:val="00A15554"/>
    <w:rsid w:val="00A15AB1"/>
    <w:rsid w:val="00A16006"/>
    <w:rsid w:val="00A168BA"/>
    <w:rsid w:val="00A16A9B"/>
    <w:rsid w:val="00A16FB2"/>
    <w:rsid w:val="00A170E8"/>
    <w:rsid w:val="00A172EF"/>
    <w:rsid w:val="00A17535"/>
    <w:rsid w:val="00A17BB9"/>
    <w:rsid w:val="00A200AA"/>
    <w:rsid w:val="00A2019F"/>
    <w:rsid w:val="00A206CC"/>
    <w:rsid w:val="00A207B0"/>
    <w:rsid w:val="00A209ED"/>
    <w:rsid w:val="00A20C42"/>
    <w:rsid w:val="00A21102"/>
    <w:rsid w:val="00A213B0"/>
    <w:rsid w:val="00A216E5"/>
    <w:rsid w:val="00A22507"/>
    <w:rsid w:val="00A22603"/>
    <w:rsid w:val="00A22751"/>
    <w:rsid w:val="00A22781"/>
    <w:rsid w:val="00A22D5C"/>
    <w:rsid w:val="00A23737"/>
    <w:rsid w:val="00A23B63"/>
    <w:rsid w:val="00A24448"/>
    <w:rsid w:val="00A24687"/>
    <w:rsid w:val="00A24EE4"/>
    <w:rsid w:val="00A2541E"/>
    <w:rsid w:val="00A2558A"/>
    <w:rsid w:val="00A25DEF"/>
    <w:rsid w:val="00A25E24"/>
    <w:rsid w:val="00A262F3"/>
    <w:rsid w:val="00A26588"/>
    <w:rsid w:val="00A265EA"/>
    <w:rsid w:val="00A2681C"/>
    <w:rsid w:val="00A274E4"/>
    <w:rsid w:val="00A27798"/>
    <w:rsid w:val="00A2793A"/>
    <w:rsid w:val="00A27960"/>
    <w:rsid w:val="00A30439"/>
    <w:rsid w:val="00A30504"/>
    <w:rsid w:val="00A306D6"/>
    <w:rsid w:val="00A30D6F"/>
    <w:rsid w:val="00A30EA7"/>
    <w:rsid w:val="00A310D6"/>
    <w:rsid w:val="00A3113C"/>
    <w:rsid w:val="00A315C7"/>
    <w:rsid w:val="00A31A69"/>
    <w:rsid w:val="00A31BA8"/>
    <w:rsid w:val="00A31ED8"/>
    <w:rsid w:val="00A320C6"/>
    <w:rsid w:val="00A32536"/>
    <w:rsid w:val="00A32864"/>
    <w:rsid w:val="00A32899"/>
    <w:rsid w:val="00A338C1"/>
    <w:rsid w:val="00A345E7"/>
    <w:rsid w:val="00A347BE"/>
    <w:rsid w:val="00A35398"/>
    <w:rsid w:val="00A35655"/>
    <w:rsid w:val="00A35D25"/>
    <w:rsid w:val="00A35E01"/>
    <w:rsid w:val="00A3615E"/>
    <w:rsid w:val="00A36368"/>
    <w:rsid w:val="00A36B6F"/>
    <w:rsid w:val="00A36DF6"/>
    <w:rsid w:val="00A36E77"/>
    <w:rsid w:val="00A37471"/>
    <w:rsid w:val="00A403C1"/>
    <w:rsid w:val="00A40758"/>
    <w:rsid w:val="00A4091A"/>
    <w:rsid w:val="00A40B79"/>
    <w:rsid w:val="00A40B98"/>
    <w:rsid w:val="00A413D3"/>
    <w:rsid w:val="00A4189F"/>
    <w:rsid w:val="00A41BD3"/>
    <w:rsid w:val="00A41E7C"/>
    <w:rsid w:val="00A4225E"/>
    <w:rsid w:val="00A42263"/>
    <w:rsid w:val="00A42483"/>
    <w:rsid w:val="00A424B5"/>
    <w:rsid w:val="00A429AD"/>
    <w:rsid w:val="00A4305C"/>
    <w:rsid w:val="00A431AF"/>
    <w:rsid w:val="00A43314"/>
    <w:rsid w:val="00A43340"/>
    <w:rsid w:val="00A43693"/>
    <w:rsid w:val="00A43947"/>
    <w:rsid w:val="00A43C7F"/>
    <w:rsid w:val="00A43D34"/>
    <w:rsid w:val="00A44454"/>
    <w:rsid w:val="00A44C29"/>
    <w:rsid w:val="00A44C8A"/>
    <w:rsid w:val="00A44FC9"/>
    <w:rsid w:val="00A44FDF"/>
    <w:rsid w:val="00A45D54"/>
    <w:rsid w:val="00A4665C"/>
    <w:rsid w:val="00A469A3"/>
    <w:rsid w:val="00A472FB"/>
    <w:rsid w:val="00A473B0"/>
    <w:rsid w:val="00A4797A"/>
    <w:rsid w:val="00A47DCC"/>
    <w:rsid w:val="00A50119"/>
    <w:rsid w:val="00A501FF"/>
    <w:rsid w:val="00A5056A"/>
    <w:rsid w:val="00A50E1B"/>
    <w:rsid w:val="00A50EFD"/>
    <w:rsid w:val="00A5175D"/>
    <w:rsid w:val="00A51826"/>
    <w:rsid w:val="00A519AD"/>
    <w:rsid w:val="00A5221B"/>
    <w:rsid w:val="00A5242F"/>
    <w:rsid w:val="00A5255C"/>
    <w:rsid w:val="00A5278D"/>
    <w:rsid w:val="00A5305E"/>
    <w:rsid w:val="00A53760"/>
    <w:rsid w:val="00A537FD"/>
    <w:rsid w:val="00A53859"/>
    <w:rsid w:val="00A538BC"/>
    <w:rsid w:val="00A53CDD"/>
    <w:rsid w:val="00A5401E"/>
    <w:rsid w:val="00A545D6"/>
    <w:rsid w:val="00A548AC"/>
    <w:rsid w:val="00A5524C"/>
    <w:rsid w:val="00A55302"/>
    <w:rsid w:val="00A55940"/>
    <w:rsid w:val="00A560B7"/>
    <w:rsid w:val="00A560F0"/>
    <w:rsid w:val="00A562D1"/>
    <w:rsid w:val="00A56407"/>
    <w:rsid w:val="00A5658C"/>
    <w:rsid w:val="00A56B1B"/>
    <w:rsid w:val="00A56D78"/>
    <w:rsid w:val="00A56E92"/>
    <w:rsid w:val="00A56F4B"/>
    <w:rsid w:val="00A5700A"/>
    <w:rsid w:val="00A574E4"/>
    <w:rsid w:val="00A57F59"/>
    <w:rsid w:val="00A6023C"/>
    <w:rsid w:val="00A60931"/>
    <w:rsid w:val="00A60943"/>
    <w:rsid w:val="00A6125D"/>
    <w:rsid w:val="00A61339"/>
    <w:rsid w:val="00A613D5"/>
    <w:rsid w:val="00A6301E"/>
    <w:rsid w:val="00A6322E"/>
    <w:rsid w:val="00A63586"/>
    <w:rsid w:val="00A63722"/>
    <w:rsid w:val="00A637F3"/>
    <w:rsid w:val="00A63924"/>
    <w:rsid w:val="00A63C62"/>
    <w:rsid w:val="00A63CF3"/>
    <w:rsid w:val="00A6411C"/>
    <w:rsid w:val="00A644AC"/>
    <w:rsid w:val="00A648BA"/>
    <w:rsid w:val="00A64A07"/>
    <w:rsid w:val="00A64AC6"/>
    <w:rsid w:val="00A64EE5"/>
    <w:rsid w:val="00A65219"/>
    <w:rsid w:val="00A6629B"/>
    <w:rsid w:val="00A6638A"/>
    <w:rsid w:val="00A66753"/>
    <w:rsid w:val="00A679FF"/>
    <w:rsid w:val="00A67E6E"/>
    <w:rsid w:val="00A709D9"/>
    <w:rsid w:val="00A7145C"/>
    <w:rsid w:val="00A71646"/>
    <w:rsid w:val="00A71806"/>
    <w:rsid w:val="00A72936"/>
    <w:rsid w:val="00A729DB"/>
    <w:rsid w:val="00A72D32"/>
    <w:rsid w:val="00A72D8A"/>
    <w:rsid w:val="00A731E4"/>
    <w:rsid w:val="00A733E4"/>
    <w:rsid w:val="00A73849"/>
    <w:rsid w:val="00A73A0A"/>
    <w:rsid w:val="00A73D13"/>
    <w:rsid w:val="00A74046"/>
    <w:rsid w:val="00A740F1"/>
    <w:rsid w:val="00A74289"/>
    <w:rsid w:val="00A7441B"/>
    <w:rsid w:val="00A74A35"/>
    <w:rsid w:val="00A74A59"/>
    <w:rsid w:val="00A754A3"/>
    <w:rsid w:val="00A755E4"/>
    <w:rsid w:val="00A75F40"/>
    <w:rsid w:val="00A760F9"/>
    <w:rsid w:val="00A76BA6"/>
    <w:rsid w:val="00A76FA6"/>
    <w:rsid w:val="00A7707C"/>
    <w:rsid w:val="00A77503"/>
    <w:rsid w:val="00A77612"/>
    <w:rsid w:val="00A7763A"/>
    <w:rsid w:val="00A778BD"/>
    <w:rsid w:val="00A800A3"/>
    <w:rsid w:val="00A80228"/>
    <w:rsid w:val="00A80B9C"/>
    <w:rsid w:val="00A80E72"/>
    <w:rsid w:val="00A81718"/>
    <w:rsid w:val="00A8173A"/>
    <w:rsid w:val="00A81AD2"/>
    <w:rsid w:val="00A81C70"/>
    <w:rsid w:val="00A81E14"/>
    <w:rsid w:val="00A82D0E"/>
    <w:rsid w:val="00A82F3C"/>
    <w:rsid w:val="00A83ACA"/>
    <w:rsid w:val="00A83C69"/>
    <w:rsid w:val="00A83EBD"/>
    <w:rsid w:val="00A83EFE"/>
    <w:rsid w:val="00A83F7C"/>
    <w:rsid w:val="00A842C3"/>
    <w:rsid w:val="00A846D4"/>
    <w:rsid w:val="00A84D2D"/>
    <w:rsid w:val="00A84D84"/>
    <w:rsid w:val="00A851BF"/>
    <w:rsid w:val="00A855CF"/>
    <w:rsid w:val="00A85E0A"/>
    <w:rsid w:val="00A85E87"/>
    <w:rsid w:val="00A86155"/>
    <w:rsid w:val="00A86289"/>
    <w:rsid w:val="00A86830"/>
    <w:rsid w:val="00A8685A"/>
    <w:rsid w:val="00A86CCB"/>
    <w:rsid w:val="00A86CCD"/>
    <w:rsid w:val="00A86DCA"/>
    <w:rsid w:val="00A87022"/>
    <w:rsid w:val="00A87266"/>
    <w:rsid w:val="00A87A59"/>
    <w:rsid w:val="00A87CD3"/>
    <w:rsid w:val="00A902E1"/>
    <w:rsid w:val="00A90F06"/>
    <w:rsid w:val="00A9118C"/>
    <w:rsid w:val="00A91202"/>
    <w:rsid w:val="00A91B4E"/>
    <w:rsid w:val="00A9212E"/>
    <w:rsid w:val="00A9225E"/>
    <w:rsid w:val="00A92395"/>
    <w:rsid w:val="00A92495"/>
    <w:rsid w:val="00A92596"/>
    <w:rsid w:val="00A92817"/>
    <w:rsid w:val="00A92C85"/>
    <w:rsid w:val="00A9345E"/>
    <w:rsid w:val="00A93945"/>
    <w:rsid w:val="00A93D17"/>
    <w:rsid w:val="00A93F33"/>
    <w:rsid w:val="00A9445F"/>
    <w:rsid w:val="00A944B0"/>
    <w:rsid w:val="00A94866"/>
    <w:rsid w:val="00A9490E"/>
    <w:rsid w:val="00A949B2"/>
    <w:rsid w:val="00A94E6F"/>
    <w:rsid w:val="00A950A0"/>
    <w:rsid w:val="00A950CA"/>
    <w:rsid w:val="00A953AB"/>
    <w:rsid w:val="00A956FD"/>
    <w:rsid w:val="00A95754"/>
    <w:rsid w:val="00A957E8"/>
    <w:rsid w:val="00A95C2A"/>
    <w:rsid w:val="00A95ECD"/>
    <w:rsid w:val="00A961DF"/>
    <w:rsid w:val="00A96658"/>
    <w:rsid w:val="00A96738"/>
    <w:rsid w:val="00A968A5"/>
    <w:rsid w:val="00A96F58"/>
    <w:rsid w:val="00A97065"/>
    <w:rsid w:val="00A97456"/>
    <w:rsid w:val="00A97A88"/>
    <w:rsid w:val="00A97DD4"/>
    <w:rsid w:val="00A97F96"/>
    <w:rsid w:val="00AA04AA"/>
    <w:rsid w:val="00AA0A16"/>
    <w:rsid w:val="00AA11D6"/>
    <w:rsid w:val="00AA136F"/>
    <w:rsid w:val="00AA14EE"/>
    <w:rsid w:val="00AA180D"/>
    <w:rsid w:val="00AA1A1B"/>
    <w:rsid w:val="00AA1D17"/>
    <w:rsid w:val="00AA1EBB"/>
    <w:rsid w:val="00AA1F3C"/>
    <w:rsid w:val="00AA2086"/>
    <w:rsid w:val="00AA231F"/>
    <w:rsid w:val="00AA26E5"/>
    <w:rsid w:val="00AA2B0D"/>
    <w:rsid w:val="00AA2C2C"/>
    <w:rsid w:val="00AA35A4"/>
    <w:rsid w:val="00AA38D1"/>
    <w:rsid w:val="00AA3E0F"/>
    <w:rsid w:val="00AA5D68"/>
    <w:rsid w:val="00AA628A"/>
    <w:rsid w:val="00AA651F"/>
    <w:rsid w:val="00AA6C72"/>
    <w:rsid w:val="00AA6F78"/>
    <w:rsid w:val="00AA70D0"/>
    <w:rsid w:val="00AA70FC"/>
    <w:rsid w:val="00AA7232"/>
    <w:rsid w:val="00AA736D"/>
    <w:rsid w:val="00AA786F"/>
    <w:rsid w:val="00AB05EA"/>
    <w:rsid w:val="00AB0A70"/>
    <w:rsid w:val="00AB0A7D"/>
    <w:rsid w:val="00AB0D91"/>
    <w:rsid w:val="00AB0E49"/>
    <w:rsid w:val="00AB14E3"/>
    <w:rsid w:val="00AB1B74"/>
    <w:rsid w:val="00AB1D03"/>
    <w:rsid w:val="00AB1D20"/>
    <w:rsid w:val="00AB1E9F"/>
    <w:rsid w:val="00AB2CE4"/>
    <w:rsid w:val="00AB311E"/>
    <w:rsid w:val="00AB3186"/>
    <w:rsid w:val="00AB3573"/>
    <w:rsid w:val="00AB3EC7"/>
    <w:rsid w:val="00AB437F"/>
    <w:rsid w:val="00AB4503"/>
    <w:rsid w:val="00AB4528"/>
    <w:rsid w:val="00AB490B"/>
    <w:rsid w:val="00AB4E53"/>
    <w:rsid w:val="00AB5068"/>
    <w:rsid w:val="00AB5262"/>
    <w:rsid w:val="00AB52CD"/>
    <w:rsid w:val="00AB5C7B"/>
    <w:rsid w:val="00AB6322"/>
    <w:rsid w:val="00AB6C2A"/>
    <w:rsid w:val="00AB6E1E"/>
    <w:rsid w:val="00AB6FC1"/>
    <w:rsid w:val="00AB7634"/>
    <w:rsid w:val="00AB783A"/>
    <w:rsid w:val="00AB7E16"/>
    <w:rsid w:val="00AB7F61"/>
    <w:rsid w:val="00AC0029"/>
    <w:rsid w:val="00AC0196"/>
    <w:rsid w:val="00AC02CB"/>
    <w:rsid w:val="00AC11F6"/>
    <w:rsid w:val="00AC1622"/>
    <w:rsid w:val="00AC18BF"/>
    <w:rsid w:val="00AC1AD4"/>
    <w:rsid w:val="00AC1FDF"/>
    <w:rsid w:val="00AC2290"/>
    <w:rsid w:val="00AC2529"/>
    <w:rsid w:val="00AC2940"/>
    <w:rsid w:val="00AC2D5E"/>
    <w:rsid w:val="00AC31AC"/>
    <w:rsid w:val="00AC3897"/>
    <w:rsid w:val="00AC3D49"/>
    <w:rsid w:val="00AC415D"/>
    <w:rsid w:val="00AC48C2"/>
    <w:rsid w:val="00AC585D"/>
    <w:rsid w:val="00AC59B2"/>
    <w:rsid w:val="00AC5B68"/>
    <w:rsid w:val="00AC5E83"/>
    <w:rsid w:val="00AC6060"/>
    <w:rsid w:val="00AC6613"/>
    <w:rsid w:val="00AC7146"/>
    <w:rsid w:val="00AC7592"/>
    <w:rsid w:val="00AC7611"/>
    <w:rsid w:val="00AC7761"/>
    <w:rsid w:val="00AC796F"/>
    <w:rsid w:val="00AD0A60"/>
    <w:rsid w:val="00AD0C33"/>
    <w:rsid w:val="00AD1246"/>
    <w:rsid w:val="00AD14F9"/>
    <w:rsid w:val="00AD16FB"/>
    <w:rsid w:val="00AD2876"/>
    <w:rsid w:val="00AD29C7"/>
    <w:rsid w:val="00AD3464"/>
    <w:rsid w:val="00AD3D55"/>
    <w:rsid w:val="00AD4484"/>
    <w:rsid w:val="00AD44B2"/>
    <w:rsid w:val="00AD4881"/>
    <w:rsid w:val="00AD512D"/>
    <w:rsid w:val="00AD51E3"/>
    <w:rsid w:val="00AD574A"/>
    <w:rsid w:val="00AD60E3"/>
    <w:rsid w:val="00AD6297"/>
    <w:rsid w:val="00AD62F6"/>
    <w:rsid w:val="00AD65E5"/>
    <w:rsid w:val="00AD65FE"/>
    <w:rsid w:val="00AD6988"/>
    <w:rsid w:val="00AD6D98"/>
    <w:rsid w:val="00AD7253"/>
    <w:rsid w:val="00AD7F1F"/>
    <w:rsid w:val="00AE033E"/>
    <w:rsid w:val="00AE057E"/>
    <w:rsid w:val="00AE0F40"/>
    <w:rsid w:val="00AE139F"/>
    <w:rsid w:val="00AE1996"/>
    <w:rsid w:val="00AE1A97"/>
    <w:rsid w:val="00AE1BF3"/>
    <w:rsid w:val="00AE1CEF"/>
    <w:rsid w:val="00AE20D6"/>
    <w:rsid w:val="00AE2CE3"/>
    <w:rsid w:val="00AE304B"/>
    <w:rsid w:val="00AE3512"/>
    <w:rsid w:val="00AE3848"/>
    <w:rsid w:val="00AE3AA5"/>
    <w:rsid w:val="00AE3C04"/>
    <w:rsid w:val="00AE3D3A"/>
    <w:rsid w:val="00AE4BA0"/>
    <w:rsid w:val="00AE53C6"/>
    <w:rsid w:val="00AE5A50"/>
    <w:rsid w:val="00AE5BBC"/>
    <w:rsid w:val="00AE5E75"/>
    <w:rsid w:val="00AE664E"/>
    <w:rsid w:val="00AE7441"/>
    <w:rsid w:val="00AE7E86"/>
    <w:rsid w:val="00AF0292"/>
    <w:rsid w:val="00AF0395"/>
    <w:rsid w:val="00AF08D4"/>
    <w:rsid w:val="00AF11D9"/>
    <w:rsid w:val="00AF13B1"/>
    <w:rsid w:val="00AF13EA"/>
    <w:rsid w:val="00AF22CF"/>
    <w:rsid w:val="00AF23B8"/>
    <w:rsid w:val="00AF4035"/>
    <w:rsid w:val="00AF40AE"/>
    <w:rsid w:val="00AF46F7"/>
    <w:rsid w:val="00AF4803"/>
    <w:rsid w:val="00AF4839"/>
    <w:rsid w:val="00AF4916"/>
    <w:rsid w:val="00AF49B4"/>
    <w:rsid w:val="00AF4CD0"/>
    <w:rsid w:val="00AF4E5B"/>
    <w:rsid w:val="00AF4EBE"/>
    <w:rsid w:val="00AF50A5"/>
    <w:rsid w:val="00AF5289"/>
    <w:rsid w:val="00AF5601"/>
    <w:rsid w:val="00AF5766"/>
    <w:rsid w:val="00AF5964"/>
    <w:rsid w:val="00AF5ABA"/>
    <w:rsid w:val="00AF5C41"/>
    <w:rsid w:val="00AF5F28"/>
    <w:rsid w:val="00AF6361"/>
    <w:rsid w:val="00AF65C2"/>
    <w:rsid w:val="00AF6DCF"/>
    <w:rsid w:val="00AF7C6A"/>
    <w:rsid w:val="00B0013A"/>
    <w:rsid w:val="00B0062A"/>
    <w:rsid w:val="00B00BC5"/>
    <w:rsid w:val="00B00C26"/>
    <w:rsid w:val="00B0100C"/>
    <w:rsid w:val="00B0124D"/>
    <w:rsid w:val="00B015C3"/>
    <w:rsid w:val="00B01BA5"/>
    <w:rsid w:val="00B01CB8"/>
    <w:rsid w:val="00B021E0"/>
    <w:rsid w:val="00B0285B"/>
    <w:rsid w:val="00B02924"/>
    <w:rsid w:val="00B02EC9"/>
    <w:rsid w:val="00B02EFA"/>
    <w:rsid w:val="00B0300B"/>
    <w:rsid w:val="00B03A37"/>
    <w:rsid w:val="00B04109"/>
    <w:rsid w:val="00B04146"/>
    <w:rsid w:val="00B04F76"/>
    <w:rsid w:val="00B0505F"/>
    <w:rsid w:val="00B05100"/>
    <w:rsid w:val="00B052BB"/>
    <w:rsid w:val="00B067BD"/>
    <w:rsid w:val="00B06B02"/>
    <w:rsid w:val="00B07296"/>
    <w:rsid w:val="00B073D2"/>
    <w:rsid w:val="00B076AA"/>
    <w:rsid w:val="00B0773F"/>
    <w:rsid w:val="00B109B6"/>
    <w:rsid w:val="00B10AC3"/>
    <w:rsid w:val="00B10E01"/>
    <w:rsid w:val="00B1184B"/>
    <w:rsid w:val="00B123F8"/>
    <w:rsid w:val="00B124F0"/>
    <w:rsid w:val="00B12546"/>
    <w:rsid w:val="00B12AC8"/>
    <w:rsid w:val="00B12AE4"/>
    <w:rsid w:val="00B12CCB"/>
    <w:rsid w:val="00B12D15"/>
    <w:rsid w:val="00B12D39"/>
    <w:rsid w:val="00B13236"/>
    <w:rsid w:val="00B136B2"/>
    <w:rsid w:val="00B1372B"/>
    <w:rsid w:val="00B139F7"/>
    <w:rsid w:val="00B13BA9"/>
    <w:rsid w:val="00B13DD0"/>
    <w:rsid w:val="00B13E78"/>
    <w:rsid w:val="00B14114"/>
    <w:rsid w:val="00B14E38"/>
    <w:rsid w:val="00B14EA4"/>
    <w:rsid w:val="00B15316"/>
    <w:rsid w:val="00B15359"/>
    <w:rsid w:val="00B15377"/>
    <w:rsid w:val="00B156A3"/>
    <w:rsid w:val="00B15B21"/>
    <w:rsid w:val="00B15BE8"/>
    <w:rsid w:val="00B15CDE"/>
    <w:rsid w:val="00B167F6"/>
    <w:rsid w:val="00B16C5F"/>
    <w:rsid w:val="00B16E9E"/>
    <w:rsid w:val="00B17287"/>
    <w:rsid w:val="00B17482"/>
    <w:rsid w:val="00B17739"/>
    <w:rsid w:val="00B1773D"/>
    <w:rsid w:val="00B2037C"/>
    <w:rsid w:val="00B20A7F"/>
    <w:rsid w:val="00B20B7F"/>
    <w:rsid w:val="00B20D9C"/>
    <w:rsid w:val="00B20DED"/>
    <w:rsid w:val="00B211F9"/>
    <w:rsid w:val="00B214E9"/>
    <w:rsid w:val="00B21A47"/>
    <w:rsid w:val="00B21CFD"/>
    <w:rsid w:val="00B21D92"/>
    <w:rsid w:val="00B21DE8"/>
    <w:rsid w:val="00B21F06"/>
    <w:rsid w:val="00B220CD"/>
    <w:rsid w:val="00B2235E"/>
    <w:rsid w:val="00B22978"/>
    <w:rsid w:val="00B22B22"/>
    <w:rsid w:val="00B22B35"/>
    <w:rsid w:val="00B22BAE"/>
    <w:rsid w:val="00B22E19"/>
    <w:rsid w:val="00B23601"/>
    <w:rsid w:val="00B23721"/>
    <w:rsid w:val="00B239A8"/>
    <w:rsid w:val="00B23D37"/>
    <w:rsid w:val="00B24000"/>
    <w:rsid w:val="00B2482A"/>
    <w:rsid w:val="00B24939"/>
    <w:rsid w:val="00B249B3"/>
    <w:rsid w:val="00B24BCB"/>
    <w:rsid w:val="00B25CE6"/>
    <w:rsid w:val="00B25D87"/>
    <w:rsid w:val="00B25FFC"/>
    <w:rsid w:val="00B260B4"/>
    <w:rsid w:val="00B265D0"/>
    <w:rsid w:val="00B266F3"/>
    <w:rsid w:val="00B272A9"/>
    <w:rsid w:val="00B279E9"/>
    <w:rsid w:val="00B302FC"/>
    <w:rsid w:val="00B30919"/>
    <w:rsid w:val="00B30AD5"/>
    <w:rsid w:val="00B30C7E"/>
    <w:rsid w:val="00B30F97"/>
    <w:rsid w:val="00B3125B"/>
    <w:rsid w:val="00B31474"/>
    <w:rsid w:val="00B318C9"/>
    <w:rsid w:val="00B318ED"/>
    <w:rsid w:val="00B31D54"/>
    <w:rsid w:val="00B31FC6"/>
    <w:rsid w:val="00B32391"/>
    <w:rsid w:val="00B32E07"/>
    <w:rsid w:val="00B32FED"/>
    <w:rsid w:val="00B33200"/>
    <w:rsid w:val="00B3322A"/>
    <w:rsid w:val="00B33452"/>
    <w:rsid w:val="00B335D8"/>
    <w:rsid w:val="00B337F5"/>
    <w:rsid w:val="00B33EA3"/>
    <w:rsid w:val="00B3429A"/>
    <w:rsid w:val="00B348AB"/>
    <w:rsid w:val="00B34E3D"/>
    <w:rsid w:val="00B35014"/>
    <w:rsid w:val="00B35755"/>
    <w:rsid w:val="00B35D05"/>
    <w:rsid w:val="00B36119"/>
    <w:rsid w:val="00B363F7"/>
    <w:rsid w:val="00B365B3"/>
    <w:rsid w:val="00B36750"/>
    <w:rsid w:val="00B36848"/>
    <w:rsid w:val="00B36C1E"/>
    <w:rsid w:val="00B37018"/>
    <w:rsid w:val="00B371A7"/>
    <w:rsid w:val="00B371B5"/>
    <w:rsid w:val="00B373F9"/>
    <w:rsid w:val="00B37446"/>
    <w:rsid w:val="00B37D9C"/>
    <w:rsid w:val="00B40116"/>
    <w:rsid w:val="00B40161"/>
    <w:rsid w:val="00B40498"/>
    <w:rsid w:val="00B409BA"/>
    <w:rsid w:val="00B40A18"/>
    <w:rsid w:val="00B40DA4"/>
    <w:rsid w:val="00B413DC"/>
    <w:rsid w:val="00B414AF"/>
    <w:rsid w:val="00B41890"/>
    <w:rsid w:val="00B41A3C"/>
    <w:rsid w:val="00B41A59"/>
    <w:rsid w:val="00B41D71"/>
    <w:rsid w:val="00B41E4E"/>
    <w:rsid w:val="00B4207D"/>
    <w:rsid w:val="00B42643"/>
    <w:rsid w:val="00B426C2"/>
    <w:rsid w:val="00B42A3A"/>
    <w:rsid w:val="00B43189"/>
    <w:rsid w:val="00B4347A"/>
    <w:rsid w:val="00B43856"/>
    <w:rsid w:val="00B440ED"/>
    <w:rsid w:val="00B44306"/>
    <w:rsid w:val="00B44733"/>
    <w:rsid w:val="00B44AD2"/>
    <w:rsid w:val="00B44D6C"/>
    <w:rsid w:val="00B451B4"/>
    <w:rsid w:val="00B4575F"/>
    <w:rsid w:val="00B458CC"/>
    <w:rsid w:val="00B45F25"/>
    <w:rsid w:val="00B46235"/>
    <w:rsid w:val="00B462FD"/>
    <w:rsid w:val="00B4641A"/>
    <w:rsid w:val="00B4695C"/>
    <w:rsid w:val="00B469A0"/>
    <w:rsid w:val="00B471AA"/>
    <w:rsid w:val="00B4745B"/>
    <w:rsid w:val="00B47829"/>
    <w:rsid w:val="00B47DA3"/>
    <w:rsid w:val="00B50465"/>
    <w:rsid w:val="00B508F5"/>
    <w:rsid w:val="00B50D1A"/>
    <w:rsid w:val="00B50E22"/>
    <w:rsid w:val="00B51249"/>
    <w:rsid w:val="00B5170F"/>
    <w:rsid w:val="00B52064"/>
    <w:rsid w:val="00B525FD"/>
    <w:rsid w:val="00B5283C"/>
    <w:rsid w:val="00B530EB"/>
    <w:rsid w:val="00B53667"/>
    <w:rsid w:val="00B53A9B"/>
    <w:rsid w:val="00B54627"/>
    <w:rsid w:val="00B548CA"/>
    <w:rsid w:val="00B548D9"/>
    <w:rsid w:val="00B54B99"/>
    <w:rsid w:val="00B555FD"/>
    <w:rsid w:val="00B5600F"/>
    <w:rsid w:val="00B57051"/>
    <w:rsid w:val="00B57526"/>
    <w:rsid w:val="00B57935"/>
    <w:rsid w:val="00B57B15"/>
    <w:rsid w:val="00B57EA7"/>
    <w:rsid w:val="00B6001D"/>
    <w:rsid w:val="00B60588"/>
    <w:rsid w:val="00B605EF"/>
    <w:rsid w:val="00B6080A"/>
    <w:rsid w:val="00B60A32"/>
    <w:rsid w:val="00B614C6"/>
    <w:rsid w:val="00B622AA"/>
    <w:rsid w:val="00B625CA"/>
    <w:rsid w:val="00B62BB9"/>
    <w:rsid w:val="00B6318E"/>
    <w:rsid w:val="00B638FD"/>
    <w:rsid w:val="00B639F5"/>
    <w:rsid w:val="00B63BEE"/>
    <w:rsid w:val="00B63C55"/>
    <w:rsid w:val="00B63CBA"/>
    <w:rsid w:val="00B6441A"/>
    <w:rsid w:val="00B64B52"/>
    <w:rsid w:val="00B64C07"/>
    <w:rsid w:val="00B64E83"/>
    <w:rsid w:val="00B658B0"/>
    <w:rsid w:val="00B659F5"/>
    <w:rsid w:val="00B6692D"/>
    <w:rsid w:val="00B66AED"/>
    <w:rsid w:val="00B66B70"/>
    <w:rsid w:val="00B66EA6"/>
    <w:rsid w:val="00B67377"/>
    <w:rsid w:val="00B67ADA"/>
    <w:rsid w:val="00B702AB"/>
    <w:rsid w:val="00B703E0"/>
    <w:rsid w:val="00B705AA"/>
    <w:rsid w:val="00B71415"/>
    <w:rsid w:val="00B71574"/>
    <w:rsid w:val="00B71AEC"/>
    <w:rsid w:val="00B71DD0"/>
    <w:rsid w:val="00B721A0"/>
    <w:rsid w:val="00B7285E"/>
    <w:rsid w:val="00B728B9"/>
    <w:rsid w:val="00B72BF8"/>
    <w:rsid w:val="00B738DD"/>
    <w:rsid w:val="00B74145"/>
    <w:rsid w:val="00B744E1"/>
    <w:rsid w:val="00B74A6F"/>
    <w:rsid w:val="00B74FD3"/>
    <w:rsid w:val="00B75550"/>
    <w:rsid w:val="00B75729"/>
    <w:rsid w:val="00B75F5F"/>
    <w:rsid w:val="00B76192"/>
    <w:rsid w:val="00B7636F"/>
    <w:rsid w:val="00B7710B"/>
    <w:rsid w:val="00B776F4"/>
    <w:rsid w:val="00B77FFA"/>
    <w:rsid w:val="00B8013C"/>
    <w:rsid w:val="00B804EB"/>
    <w:rsid w:val="00B808A5"/>
    <w:rsid w:val="00B80942"/>
    <w:rsid w:val="00B80DD9"/>
    <w:rsid w:val="00B80F81"/>
    <w:rsid w:val="00B8124A"/>
    <w:rsid w:val="00B81457"/>
    <w:rsid w:val="00B81C28"/>
    <w:rsid w:val="00B81CE5"/>
    <w:rsid w:val="00B81D3F"/>
    <w:rsid w:val="00B821EF"/>
    <w:rsid w:val="00B82348"/>
    <w:rsid w:val="00B82F45"/>
    <w:rsid w:val="00B833D0"/>
    <w:rsid w:val="00B8365D"/>
    <w:rsid w:val="00B836E1"/>
    <w:rsid w:val="00B838F2"/>
    <w:rsid w:val="00B83F06"/>
    <w:rsid w:val="00B84044"/>
    <w:rsid w:val="00B84137"/>
    <w:rsid w:val="00B84539"/>
    <w:rsid w:val="00B84784"/>
    <w:rsid w:val="00B8527E"/>
    <w:rsid w:val="00B8556D"/>
    <w:rsid w:val="00B858FF"/>
    <w:rsid w:val="00B85ACC"/>
    <w:rsid w:val="00B865C6"/>
    <w:rsid w:val="00B866FC"/>
    <w:rsid w:val="00B86E9A"/>
    <w:rsid w:val="00B8702D"/>
    <w:rsid w:val="00B8706C"/>
    <w:rsid w:val="00B872E2"/>
    <w:rsid w:val="00B8762D"/>
    <w:rsid w:val="00B87693"/>
    <w:rsid w:val="00B87921"/>
    <w:rsid w:val="00B87FCB"/>
    <w:rsid w:val="00B90364"/>
    <w:rsid w:val="00B90959"/>
    <w:rsid w:val="00B91338"/>
    <w:rsid w:val="00B9179B"/>
    <w:rsid w:val="00B91A14"/>
    <w:rsid w:val="00B92185"/>
    <w:rsid w:val="00B92BB0"/>
    <w:rsid w:val="00B9353F"/>
    <w:rsid w:val="00B93CB9"/>
    <w:rsid w:val="00B94140"/>
    <w:rsid w:val="00B945DF"/>
    <w:rsid w:val="00B949DD"/>
    <w:rsid w:val="00B95A66"/>
    <w:rsid w:val="00B95DE0"/>
    <w:rsid w:val="00B9631D"/>
    <w:rsid w:val="00B968C0"/>
    <w:rsid w:val="00B970F1"/>
    <w:rsid w:val="00B976FD"/>
    <w:rsid w:val="00B978D2"/>
    <w:rsid w:val="00BA00FC"/>
    <w:rsid w:val="00BA08E4"/>
    <w:rsid w:val="00BA0BAB"/>
    <w:rsid w:val="00BA0F6D"/>
    <w:rsid w:val="00BA0F78"/>
    <w:rsid w:val="00BA18C4"/>
    <w:rsid w:val="00BA28F2"/>
    <w:rsid w:val="00BA2AFC"/>
    <w:rsid w:val="00BA2C8D"/>
    <w:rsid w:val="00BA2F08"/>
    <w:rsid w:val="00BA3023"/>
    <w:rsid w:val="00BA38CD"/>
    <w:rsid w:val="00BA42E2"/>
    <w:rsid w:val="00BA47D9"/>
    <w:rsid w:val="00BA4B1A"/>
    <w:rsid w:val="00BA4CC2"/>
    <w:rsid w:val="00BA51B7"/>
    <w:rsid w:val="00BA56F1"/>
    <w:rsid w:val="00BA6156"/>
    <w:rsid w:val="00BA6180"/>
    <w:rsid w:val="00BA6E74"/>
    <w:rsid w:val="00BA7045"/>
    <w:rsid w:val="00BA785C"/>
    <w:rsid w:val="00BA7C3A"/>
    <w:rsid w:val="00BA7ED5"/>
    <w:rsid w:val="00BB044B"/>
    <w:rsid w:val="00BB079A"/>
    <w:rsid w:val="00BB08D9"/>
    <w:rsid w:val="00BB0E48"/>
    <w:rsid w:val="00BB0F54"/>
    <w:rsid w:val="00BB107A"/>
    <w:rsid w:val="00BB1641"/>
    <w:rsid w:val="00BB178B"/>
    <w:rsid w:val="00BB17D1"/>
    <w:rsid w:val="00BB1B56"/>
    <w:rsid w:val="00BB1D22"/>
    <w:rsid w:val="00BB1EAA"/>
    <w:rsid w:val="00BB1EB5"/>
    <w:rsid w:val="00BB1F8D"/>
    <w:rsid w:val="00BB2A72"/>
    <w:rsid w:val="00BB2DA3"/>
    <w:rsid w:val="00BB2DA6"/>
    <w:rsid w:val="00BB3438"/>
    <w:rsid w:val="00BB3525"/>
    <w:rsid w:val="00BB356D"/>
    <w:rsid w:val="00BB4040"/>
    <w:rsid w:val="00BB4435"/>
    <w:rsid w:val="00BB5430"/>
    <w:rsid w:val="00BB55D0"/>
    <w:rsid w:val="00BB5BB4"/>
    <w:rsid w:val="00BB5E98"/>
    <w:rsid w:val="00BB6DB9"/>
    <w:rsid w:val="00BB71FA"/>
    <w:rsid w:val="00BB774D"/>
    <w:rsid w:val="00BB7855"/>
    <w:rsid w:val="00BB7C0B"/>
    <w:rsid w:val="00BB7FE7"/>
    <w:rsid w:val="00BC00ED"/>
    <w:rsid w:val="00BC0110"/>
    <w:rsid w:val="00BC01F6"/>
    <w:rsid w:val="00BC0690"/>
    <w:rsid w:val="00BC07AA"/>
    <w:rsid w:val="00BC0D4F"/>
    <w:rsid w:val="00BC1023"/>
    <w:rsid w:val="00BC1284"/>
    <w:rsid w:val="00BC144D"/>
    <w:rsid w:val="00BC1717"/>
    <w:rsid w:val="00BC1792"/>
    <w:rsid w:val="00BC1797"/>
    <w:rsid w:val="00BC17E5"/>
    <w:rsid w:val="00BC1BA4"/>
    <w:rsid w:val="00BC1BBA"/>
    <w:rsid w:val="00BC1CC3"/>
    <w:rsid w:val="00BC1DDA"/>
    <w:rsid w:val="00BC1E59"/>
    <w:rsid w:val="00BC29A6"/>
    <w:rsid w:val="00BC2F23"/>
    <w:rsid w:val="00BC31B7"/>
    <w:rsid w:val="00BC33B6"/>
    <w:rsid w:val="00BC4350"/>
    <w:rsid w:val="00BC44E7"/>
    <w:rsid w:val="00BC49AD"/>
    <w:rsid w:val="00BC4ED5"/>
    <w:rsid w:val="00BC4FBA"/>
    <w:rsid w:val="00BC51DA"/>
    <w:rsid w:val="00BC5AC5"/>
    <w:rsid w:val="00BC6ABD"/>
    <w:rsid w:val="00BC7610"/>
    <w:rsid w:val="00BC78F1"/>
    <w:rsid w:val="00BC797F"/>
    <w:rsid w:val="00BC7CCF"/>
    <w:rsid w:val="00BC7FE2"/>
    <w:rsid w:val="00BD00A1"/>
    <w:rsid w:val="00BD0A42"/>
    <w:rsid w:val="00BD0B2E"/>
    <w:rsid w:val="00BD11B6"/>
    <w:rsid w:val="00BD1474"/>
    <w:rsid w:val="00BD1A47"/>
    <w:rsid w:val="00BD1AA6"/>
    <w:rsid w:val="00BD1CB9"/>
    <w:rsid w:val="00BD1EE3"/>
    <w:rsid w:val="00BD23B0"/>
    <w:rsid w:val="00BD2807"/>
    <w:rsid w:val="00BD2D2D"/>
    <w:rsid w:val="00BD2D5C"/>
    <w:rsid w:val="00BD2F39"/>
    <w:rsid w:val="00BD322C"/>
    <w:rsid w:val="00BD3956"/>
    <w:rsid w:val="00BD3A20"/>
    <w:rsid w:val="00BD4B1B"/>
    <w:rsid w:val="00BD5373"/>
    <w:rsid w:val="00BD5684"/>
    <w:rsid w:val="00BD5EA8"/>
    <w:rsid w:val="00BD5FF1"/>
    <w:rsid w:val="00BD603E"/>
    <w:rsid w:val="00BD6093"/>
    <w:rsid w:val="00BD643F"/>
    <w:rsid w:val="00BD662A"/>
    <w:rsid w:val="00BD6724"/>
    <w:rsid w:val="00BD6D42"/>
    <w:rsid w:val="00BD6DF0"/>
    <w:rsid w:val="00BD711C"/>
    <w:rsid w:val="00BD7173"/>
    <w:rsid w:val="00BD750F"/>
    <w:rsid w:val="00BD7FBD"/>
    <w:rsid w:val="00BE0995"/>
    <w:rsid w:val="00BE0ACD"/>
    <w:rsid w:val="00BE11E0"/>
    <w:rsid w:val="00BE1255"/>
    <w:rsid w:val="00BE144D"/>
    <w:rsid w:val="00BE2819"/>
    <w:rsid w:val="00BE29DB"/>
    <w:rsid w:val="00BE2B59"/>
    <w:rsid w:val="00BE2E3A"/>
    <w:rsid w:val="00BE31B4"/>
    <w:rsid w:val="00BE3493"/>
    <w:rsid w:val="00BE3A4C"/>
    <w:rsid w:val="00BE4091"/>
    <w:rsid w:val="00BE4315"/>
    <w:rsid w:val="00BE45EB"/>
    <w:rsid w:val="00BE5234"/>
    <w:rsid w:val="00BE53FA"/>
    <w:rsid w:val="00BE54C8"/>
    <w:rsid w:val="00BE5A3C"/>
    <w:rsid w:val="00BE5AE2"/>
    <w:rsid w:val="00BE5B95"/>
    <w:rsid w:val="00BE5D5C"/>
    <w:rsid w:val="00BE6162"/>
    <w:rsid w:val="00BE66F5"/>
    <w:rsid w:val="00BE66FA"/>
    <w:rsid w:val="00BE6A79"/>
    <w:rsid w:val="00BE6BE6"/>
    <w:rsid w:val="00BE6C7B"/>
    <w:rsid w:val="00BE6D44"/>
    <w:rsid w:val="00BE6F6B"/>
    <w:rsid w:val="00BE7158"/>
    <w:rsid w:val="00BE7167"/>
    <w:rsid w:val="00BE7A8A"/>
    <w:rsid w:val="00BE7BFB"/>
    <w:rsid w:val="00BE7E5F"/>
    <w:rsid w:val="00BF00D8"/>
    <w:rsid w:val="00BF06E9"/>
    <w:rsid w:val="00BF1205"/>
    <w:rsid w:val="00BF157D"/>
    <w:rsid w:val="00BF17D1"/>
    <w:rsid w:val="00BF1BFF"/>
    <w:rsid w:val="00BF1D1A"/>
    <w:rsid w:val="00BF1DA8"/>
    <w:rsid w:val="00BF2011"/>
    <w:rsid w:val="00BF233A"/>
    <w:rsid w:val="00BF2B61"/>
    <w:rsid w:val="00BF2E98"/>
    <w:rsid w:val="00BF36F3"/>
    <w:rsid w:val="00BF3778"/>
    <w:rsid w:val="00BF3E50"/>
    <w:rsid w:val="00BF3FF7"/>
    <w:rsid w:val="00BF4146"/>
    <w:rsid w:val="00BF43F5"/>
    <w:rsid w:val="00BF448C"/>
    <w:rsid w:val="00BF4EDB"/>
    <w:rsid w:val="00BF5278"/>
    <w:rsid w:val="00BF5495"/>
    <w:rsid w:val="00BF561F"/>
    <w:rsid w:val="00BF571D"/>
    <w:rsid w:val="00BF5F1C"/>
    <w:rsid w:val="00BF64CA"/>
    <w:rsid w:val="00BF691B"/>
    <w:rsid w:val="00BF6BF3"/>
    <w:rsid w:val="00BF7664"/>
    <w:rsid w:val="00BF7665"/>
    <w:rsid w:val="00BF771E"/>
    <w:rsid w:val="00BF7BF3"/>
    <w:rsid w:val="00BF7F52"/>
    <w:rsid w:val="00C00292"/>
    <w:rsid w:val="00C00395"/>
    <w:rsid w:val="00C00666"/>
    <w:rsid w:val="00C006CB"/>
    <w:rsid w:val="00C00708"/>
    <w:rsid w:val="00C00718"/>
    <w:rsid w:val="00C00A8A"/>
    <w:rsid w:val="00C01409"/>
    <w:rsid w:val="00C01C95"/>
    <w:rsid w:val="00C022B4"/>
    <w:rsid w:val="00C0257E"/>
    <w:rsid w:val="00C02A43"/>
    <w:rsid w:val="00C0351F"/>
    <w:rsid w:val="00C0352B"/>
    <w:rsid w:val="00C03626"/>
    <w:rsid w:val="00C03C73"/>
    <w:rsid w:val="00C03D0E"/>
    <w:rsid w:val="00C043B7"/>
    <w:rsid w:val="00C04ABE"/>
    <w:rsid w:val="00C04B70"/>
    <w:rsid w:val="00C04CAC"/>
    <w:rsid w:val="00C04ED2"/>
    <w:rsid w:val="00C05068"/>
    <w:rsid w:val="00C05551"/>
    <w:rsid w:val="00C0596B"/>
    <w:rsid w:val="00C05C20"/>
    <w:rsid w:val="00C05E90"/>
    <w:rsid w:val="00C05EEA"/>
    <w:rsid w:val="00C062E9"/>
    <w:rsid w:val="00C069B2"/>
    <w:rsid w:val="00C06AF9"/>
    <w:rsid w:val="00C07277"/>
    <w:rsid w:val="00C07C90"/>
    <w:rsid w:val="00C07ED7"/>
    <w:rsid w:val="00C1010C"/>
    <w:rsid w:val="00C1015B"/>
    <w:rsid w:val="00C108DE"/>
    <w:rsid w:val="00C10995"/>
    <w:rsid w:val="00C10E64"/>
    <w:rsid w:val="00C10ECC"/>
    <w:rsid w:val="00C10F65"/>
    <w:rsid w:val="00C1107A"/>
    <w:rsid w:val="00C1145D"/>
    <w:rsid w:val="00C11A95"/>
    <w:rsid w:val="00C12058"/>
    <w:rsid w:val="00C12497"/>
    <w:rsid w:val="00C13EF4"/>
    <w:rsid w:val="00C1409F"/>
    <w:rsid w:val="00C146E2"/>
    <w:rsid w:val="00C14BCE"/>
    <w:rsid w:val="00C153DB"/>
    <w:rsid w:val="00C1583D"/>
    <w:rsid w:val="00C15961"/>
    <w:rsid w:val="00C15C2F"/>
    <w:rsid w:val="00C15F69"/>
    <w:rsid w:val="00C166F3"/>
    <w:rsid w:val="00C1671D"/>
    <w:rsid w:val="00C16C30"/>
    <w:rsid w:val="00C173B5"/>
    <w:rsid w:val="00C17932"/>
    <w:rsid w:val="00C17AAF"/>
    <w:rsid w:val="00C17B0F"/>
    <w:rsid w:val="00C17B59"/>
    <w:rsid w:val="00C17E86"/>
    <w:rsid w:val="00C17FED"/>
    <w:rsid w:val="00C2051C"/>
    <w:rsid w:val="00C21516"/>
    <w:rsid w:val="00C21683"/>
    <w:rsid w:val="00C21D78"/>
    <w:rsid w:val="00C21DAE"/>
    <w:rsid w:val="00C21DF5"/>
    <w:rsid w:val="00C231D2"/>
    <w:rsid w:val="00C233A0"/>
    <w:rsid w:val="00C248E8"/>
    <w:rsid w:val="00C2569E"/>
    <w:rsid w:val="00C25718"/>
    <w:rsid w:val="00C25AC9"/>
    <w:rsid w:val="00C25E30"/>
    <w:rsid w:val="00C2714B"/>
    <w:rsid w:val="00C27C6D"/>
    <w:rsid w:val="00C27D0F"/>
    <w:rsid w:val="00C30937"/>
    <w:rsid w:val="00C312D0"/>
    <w:rsid w:val="00C312FE"/>
    <w:rsid w:val="00C31521"/>
    <w:rsid w:val="00C31B7B"/>
    <w:rsid w:val="00C3200A"/>
    <w:rsid w:val="00C320B3"/>
    <w:rsid w:val="00C32455"/>
    <w:rsid w:val="00C33564"/>
    <w:rsid w:val="00C3379E"/>
    <w:rsid w:val="00C3398B"/>
    <w:rsid w:val="00C33DA0"/>
    <w:rsid w:val="00C34AAC"/>
    <w:rsid w:val="00C34CB5"/>
    <w:rsid w:val="00C34D2D"/>
    <w:rsid w:val="00C350B0"/>
    <w:rsid w:val="00C351B0"/>
    <w:rsid w:val="00C35751"/>
    <w:rsid w:val="00C358C3"/>
    <w:rsid w:val="00C359B3"/>
    <w:rsid w:val="00C35B80"/>
    <w:rsid w:val="00C35BFF"/>
    <w:rsid w:val="00C36249"/>
    <w:rsid w:val="00C364B4"/>
    <w:rsid w:val="00C37BE0"/>
    <w:rsid w:val="00C4036C"/>
    <w:rsid w:val="00C4084F"/>
    <w:rsid w:val="00C409DB"/>
    <w:rsid w:val="00C41307"/>
    <w:rsid w:val="00C41548"/>
    <w:rsid w:val="00C42070"/>
    <w:rsid w:val="00C42086"/>
    <w:rsid w:val="00C42868"/>
    <w:rsid w:val="00C43197"/>
    <w:rsid w:val="00C436FC"/>
    <w:rsid w:val="00C438F9"/>
    <w:rsid w:val="00C43ABE"/>
    <w:rsid w:val="00C44735"/>
    <w:rsid w:val="00C44BDB"/>
    <w:rsid w:val="00C44CF7"/>
    <w:rsid w:val="00C44D5D"/>
    <w:rsid w:val="00C44ED9"/>
    <w:rsid w:val="00C450D2"/>
    <w:rsid w:val="00C4523D"/>
    <w:rsid w:val="00C456AC"/>
    <w:rsid w:val="00C45A30"/>
    <w:rsid w:val="00C45B68"/>
    <w:rsid w:val="00C45DD6"/>
    <w:rsid w:val="00C464A7"/>
    <w:rsid w:val="00C465C5"/>
    <w:rsid w:val="00C47334"/>
    <w:rsid w:val="00C5001C"/>
    <w:rsid w:val="00C5063C"/>
    <w:rsid w:val="00C50B8D"/>
    <w:rsid w:val="00C51147"/>
    <w:rsid w:val="00C511B5"/>
    <w:rsid w:val="00C51AA0"/>
    <w:rsid w:val="00C51AE3"/>
    <w:rsid w:val="00C52314"/>
    <w:rsid w:val="00C52A02"/>
    <w:rsid w:val="00C52B4C"/>
    <w:rsid w:val="00C53228"/>
    <w:rsid w:val="00C53232"/>
    <w:rsid w:val="00C53437"/>
    <w:rsid w:val="00C53550"/>
    <w:rsid w:val="00C53B19"/>
    <w:rsid w:val="00C53C43"/>
    <w:rsid w:val="00C543ED"/>
    <w:rsid w:val="00C5476B"/>
    <w:rsid w:val="00C5489D"/>
    <w:rsid w:val="00C548EE"/>
    <w:rsid w:val="00C54F93"/>
    <w:rsid w:val="00C55112"/>
    <w:rsid w:val="00C55165"/>
    <w:rsid w:val="00C551F8"/>
    <w:rsid w:val="00C55A4B"/>
    <w:rsid w:val="00C55DA3"/>
    <w:rsid w:val="00C563C2"/>
    <w:rsid w:val="00C563D8"/>
    <w:rsid w:val="00C56846"/>
    <w:rsid w:val="00C56C1D"/>
    <w:rsid w:val="00C56CA3"/>
    <w:rsid w:val="00C56E62"/>
    <w:rsid w:val="00C56EA9"/>
    <w:rsid w:val="00C56FBE"/>
    <w:rsid w:val="00C57312"/>
    <w:rsid w:val="00C57441"/>
    <w:rsid w:val="00C57667"/>
    <w:rsid w:val="00C57971"/>
    <w:rsid w:val="00C601D2"/>
    <w:rsid w:val="00C60323"/>
    <w:rsid w:val="00C60356"/>
    <w:rsid w:val="00C604E5"/>
    <w:rsid w:val="00C60578"/>
    <w:rsid w:val="00C608B8"/>
    <w:rsid w:val="00C618B0"/>
    <w:rsid w:val="00C61D11"/>
    <w:rsid w:val="00C61E56"/>
    <w:rsid w:val="00C62026"/>
    <w:rsid w:val="00C62106"/>
    <w:rsid w:val="00C62179"/>
    <w:rsid w:val="00C6246B"/>
    <w:rsid w:val="00C62DBB"/>
    <w:rsid w:val="00C634E1"/>
    <w:rsid w:val="00C63924"/>
    <w:rsid w:val="00C63966"/>
    <w:rsid w:val="00C63B86"/>
    <w:rsid w:val="00C63C56"/>
    <w:rsid w:val="00C63D61"/>
    <w:rsid w:val="00C6424D"/>
    <w:rsid w:val="00C644F2"/>
    <w:rsid w:val="00C64A1F"/>
    <w:rsid w:val="00C64AB5"/>
    <w:rsid w:val="00C64FFD"/>
    <w:rsid w:val="00C6547C"/>
    <w:rsid w:val="00C65640"/>
    <w:rsid w:val="00C659DF"/>
    <w:rsid w:val="00C66112"/>
    <w:rsid w:val="00C66773"/>
    <w:rsid w:val="00C66A32"/>
    <w:rsid w:val="00C66C8F"/>
    <w:rsid w:val="00C66EE8"/>
    <w:rsid w:val="00C67ED2"/>
    <w:rsid w:val="00C701D5"/>
    <w:rsid w:val="00C70321"/>
    <w:rsid w:val="00C703DF"/>
    <w:rsid w:val="00C70491"/>
    <w:rsid w:val="00C7154F"/>
    <w:rsid w:val="00C7157E"/>
    <w:rsid w:val="00C721C5"/>
    <w:rsid w:val="00C72715"/>
    <w:rsid w:val="00C72A3D"/>
    <w:rsid w:val="00C72B13"/>
    <w:rsid w:val="00C72BD3"/>
    <w:rsid w:val="00C732FF"/>
    <w:rsid w:val="00C7330C"/>
    <w:rsid w:val="00C73D6F"/>
    <w:rsid w:val="00C7405C"/>
    <w:rsid w:val="00C74FCB"/>
    <w:rsid w:val="00C75CA9"/>
    <w:rsid w:val="00C76860"/>
    <w:rsid w:val="00C768A0"/>
    <w:rsid w:val="00C76E9A"/>
    <w:rsid w:val="00C76F98"/>
    <w:rsid w:val="00C7700A"/>
    <w:rsid w:val="00C770F2"/>
    <w:rsid w:val="00C7731B"/>
    <w:rsid w:val="00C77739"/>
    <w:rsid w:val="00C77A68"/>
    <w:rsid w:val="00C77CD4"/>
    <w:rsid w:val="00C8041A"/>
    <w:rsid w:val="00C804FA"/>
    <w:rsid w:val="00C8064F"/>
    <w:rsid w:val="00C80791"/>
    <w:rsid w:val="00C80A68"/>
    <w:rsid w:val="00C80C02"/>
    <w:rsid w:val="00C80F5D"/>
    <w:rsid w:val="00C81272"/>
    <w:rsid w:val="00C823DD"/>
    <w:rsid w:val="00C82625"/>
    <w:rsid w:val="00C8266C"/>
    <w:rsid w:val="00C826FD"/>
    <w:rsid w:val="00C82724"/>
    <w:rsid w:val="00C82A35"/>
    <w:rsid w:val="00C82D61"/>
    <w:rsid w:val="00C83EB6"/>
    <w:rsid w:val="00C843FD"/>
    <w:rsid w:val="00C84491"/>
    <w:rsid w:val="00C845A4"/>
    <w:rsid w:val="00C8551B"/>
    <w:rsid w:val="00C85C7E"/>
    <w:rsid w:val="00C864B4"/>
    <w:rsid w:val="00C86AA8"/>
    <w:rsid w:val="00C86D90"/>
    <w:rsid w:val="00C87053"/>
    <w:rsid w:val="00C874F9"/>
    <w:rsid w:val="00C879A2"/>
    <w:rsid w:val="00C87AC4"/>
    <w:rsid w:val="00C87D27"/>
    <w:rsid w:val="00C906B0"/>
    <w:rsid w:val="00C907AD"/>
    <w:rsid w:val="00C908EB"/>
    <w:rsid w:val="00C91041"/>
    <w:rsid w:val="00C91071"/>
    <w:rsid w:val="00C91223"/>
    <w:rsid w:val="00C91762"/>
    <w:rsid w:val="00C919F5"/>
    <w:rsid w:val="00C91A79"/>
    <w:rsid w:val="00C91C57"/>
    <w:rsid w:val="00C91D3D"/>
    <w:rsid w:val="00C91D81"/>
    <w:rsid w:val="00C923AD"/>
    <w:rsid w:val="00C9265D"/>
    <w:rsid w:val="00C92971"/>
    <w:rsid w:val="00C92CB8"/>
    <w:rsid w:val="00C93188"/>
    <w:rsid w:val="00C935DF"/>
    <w:rsid w:val="00C935F9"/>
    <w:rsid w:val="00C9378A"/>
    <w:rsid w:val="00C93B6E"/>
    <w:rsid w:val="00C945F8"/>
    <w:rsid w:val="00C94737"/>
    <w:rsid w:val="00C94AE4"/>
    <w:rsid w:val="00C94B1C"/>
    <w:rsid w:val="00C94C6F"/>
    <w:rsid w:val="00C9502B"/>
    <w:rsid w:val="00C9506B"/>
    <w:rsid w:val="00C95593"/>
    <w:rsid w:val="00C955BC"/>
    <w:rsid w:val="00C95609"/>
    <w:rsid w:val="00C95B2D"/>
    <w:rsid w:val="00C95C70"/>
    <w:rsid w:val="00C95C90"/>
    <w:rsid w:val="00C95F96"/>
    <w:rsid w:val="00C964C9"/>
    <w:rsid w:val="00C96675"/>
    <w:rsid w:val="00C96B3F"/>
    <w:rsid w:val="00C97033"/>
    <w:rsid w:val="00C971E1"/>
    <w:rsid w:val="00CA0176"/>
    <w:rsid w:val="00CA0D8B"/>
    <w:rsid w:val="00CA0FBA"/>
    <w:rsid w:val="00CA17B9"/>
    <w:rsid w:val="00CA1864"/>
    <w:rsid w:val="00CA1899"/>
    <w:rsid w:val="00CA1B96"/>
    <w:rsid w:val="00CA1EC7"/>
    <w:rsid w:val="00CA215A"/>
    <w:rsid w:val="00CA2504"/>
    <w:rsid w:val="00CA2645"/>
    <w:rsid w:val="00CA33F5"/>
    <w:rsid w:val="00CA33FC"/>
    <w:rsid w:val="00CA3463"/>
    <w:rsid w:val="00CA384B"/>
    <w:rsid w:val="00CA3A33"/>
    <w:rsid w:val="00CA3D51"/>
    <w:rsid w:val="00CA4226"/>
    <w:rsid w:val="00CA4419"/>
    <w:rsid w:val="00CA478A"/>
    <w:rsid w:val="00CA4D7E"/>
    <w:rsid w:val="00CA54BE"/>
    <w:rsid w:val="00CA59B1"/>
    <w:rsid w:val="00CA5EB1"/>
    <w:rsid w:val="00CA606D"/>
    <w:rsid w:val="00CA63EF"/>
    <w:rsid w:val="00CA6F6C"/>
    <w:rsid w:val="00CA738B"/>
    <w:rsid w:val="00CA74C6"/>
    <w:rsid w:val="00CA752E"/>
    <w:rsid w:val="00CB0050"/>
    <w:rsid w:val="00CB02AA"/>
    <w:rsid w:val="00CB0B9F"/>
    <w:rsid w:val="00CB19FF"/>
    <w:rsid w:val="00CB1C9C"/>
    <w:rsid w:val="00CB1D0F"/>
    <w:rsid w:val="00CB1FC2"/>
    <w:rsid w:val="00CB2257"/>
    <w:rsid w:val="00CB23D7"/>
    <w:rsid w:val="00CB2B0D"/>
    <w:rsid w:val="00CB2B2E"/>
    <w:rsid w:val="00CB3038"/>
    <w:rsid w:val="00CB31CA"/>
    <w:rsid w:val="00CB31FC"/>
    <w:rsid w:val="00CB32D5"/>
    <w:rsid w:val="00CB32F0"/>
    <w:rsid w:val="00CB34C5"/>
    <w:rsid w:val="00CB419A"/>
    <w:rsid w:val="00CB4A5B"/>
    <w:rsid w:val="00CB4AAB"/>
    <w:rsid w:val="00CB4FB7"/>
    <w:rsid w:val="00CB5534"/>
    <w:rsid w:val="00CB66C7"/>
    <w:rsid w:val="00CB6714"/>
    <w:rsid w:val="00CB6AA2"/>
    <w:rsid w:val="00CB7087"/>
    <w:rsid w:val="00CC0068"/>
    <w:rsid w:val="00CC0B5B"/>
    <w:rsid w:val="00CC0CC5"/>
    <w:rsid w:val="00CC0E0B"/>
    <w:rsid w:val="00CC0EFF"/>
    <w:rsid w:val="00CC1042"/>
    <w:rsid w:val="00CC1692"/>
    <w:rsid w:val="00CC17D7"/>
    <w:rsid w:val="00CC2645"/>
    <w:rsid w:val="00CC267A"/>
    <w:rsid w:val="00CC281C"/>
    <w:rsid w:val="00CC29AC"/>
    <w:rsid w:val="00CC316A"/>
    <w:rsid w:val="00CC3576"/>
    <w:rsid w:val="00CC36AB"/>
    <w:rsid w:val="00CC3B02"/>
    <w:rsid w:val="00CC3B53"/>
    <w:rsid w:val="00CC3DDA"/>
    <w:rsid w:val="00CC3E10"/>
    <w:rsid w:val="00CC41E6"/>
    <w:rsid w:val="00CC4693"/>
    <w:rsid w:val="00CC4B4B"/>
    <w:rsid w:val="00CC4B67"/>
    <w:rsid w:val="00CC4CB5"/>
    <w:rsid w:val="00CC513D"/>
    <w:rsid w:val="00CC517B"/>
    <w:rsid w:val="00CC5397"/>
    <w:rsid w:val="00CC59C0"/>
    <w:rsid w:val="00CC5B15"/>
    <w:rsid w:val="00CC5B2B"/>
    <w:rsid w:val="00CC5E4F"/>
    <w:rsid w:val="00CC65D0"/>
    <w:rsid w:val="00CC66A7"/>
    <w:rsid w:val="00CC6B3D"/>
    <w:rsid w:val="00CC753C"/>
    <w:rsid w:val="00CC78F7"/>
    <w:rsid w:val="00CC7D21"/>
    <w:rsid w:val="00CC7FB4"/>
    <w:rsid w:val="00CD2048"/>
    <w:rsid w:val="00CD22CD"/>
    <w:rsid w:val="00CD2670"/>
    <w:rsid w:val="00CD280C"/>
    <w:rsid w:val="00CD2D33"/>
    <w:rsid w:val="00CD350D"/>
    <w:rsid w:val="00CD35C6"/>
    <w:rsid w:val="00CD3993"/>
    <w:rsid w:val="00CD39B7"/>
    <w:rsid w:val="00CD3AA4"/>
    <w:rsid w:val="00CD3E0D"/>
    <w:rsid w:val="00CD3E28"/>
    <w:rsid w:val="00CD45E5"/>
    <w:rsid w:val="00CD59B3"/>
    <w:rsid w:val="00CD5BE9"/>
    <w:rsid w:val="00CD5C25"/>
    <w:rsid w:val="00CD6815"/>
    <w:rsid w:val="00CD69B6"/>
    <w:rsid w:val="00CD6B8B"/>
    <w:rsid w:val="00CD6D39"/>
    <w:rsid w:val="00CD728C"/>
    <w:rsid w:val="00CD745F"/>
    <w:rsid w:val="00CD7716"/>
    <w:rsid w:val="00CD7E33"/>
    <w:rsid w:val="00CE03EB"/>
    <w:rsid w:val="00CE0938"/>
    <w:rsid w:val="00CE0A9D"/>
    <w:rsid w:val="00CE0B03"/>
    <w:rsid w:val="00CE0C24"/>
    <w:rsid w:val="00CE0FC6"/>
    <w:rsid w:val="00CE1A2A"/>
    <w:rsid w:val="00CE1AC1"/>
    <w:rsid w:val="00CE1C27"/>
    <w:rsid w:val="00CE1D84"/>
    <w:rsid w:val="00CE1E78"/>
    <w:rsid w:val="00CE2063"/>
    <w:rsid w:val="00CE21FD"/>
    <w:rsid w:val="00CE2597"/>
    <w:rsid w:val="00CE2CAD"/>
    <w:rsid w:val="00CE2E46"/>
    <w:rsid w:val="00CE344B"/>
    <w:rsid w:val="00CE364C"/>
    <w:rsid w:val="00CE43B9"/>
    <w:rsid w:val="00CE45F3"/>
    <w:rsid w:val="00CE491A"/>
    <w:rsid w:val="00CE4C74"/>
    <w:rsid w:val="00CE5150"/>
    <w:rsid w:val="00CE54D2"/>
    <w:rsid w:val="00CE5F5A"/>
    <w:rsid w:val="00CE6812"/>
    <w:rsid w:val="00CE7454"/>
    <w:rsid w:val="00CE7566"/>
    <w:rsid w:val="00CE7AB3"/>
    <w:rsid w:val="00CE7D65"/>
    <w:rsid w:val="00CF0479"/>
    <w:rsid w:val="00CF0825"/>
    <w:rsid w:val="00CF08A0"/>
    <w:rsid w:val="00CF12B2"/>
    <w:rsid w:val="00CF1570"/>
    <w:rsid w:val="00CF1807"/>
    <w:rsid w:val="00CF1F41"/>
    <w:rsid w:val="00CF2075"/>
    <w:rsid w:val="00CF23D1"/>
    <w:rsid w:val="00CF2677"/>
    <w:rsid w:val="00CF307E"/>
    <w:rsid w:val="00CF35A0"/>
    <w:rsid w:val="00CF35EF"/>
    <w:rsid w:val="00CF36D2"/>
    <w:rsid w:val="00CF3B34"/>
    <w:rsid w:val="00CF3E0D"/>
    <w:rsid w:val="00CF43A4"/>
    <w:rsid w:val="00CF4759"/>
    <w:rsid w:val="00CF4D27"/>
    <w:rsid w:val="00CF4F1E"/>
    <w:rsid w:val="00CF5881"/>
    <w:rsid w:val="00CF5BE4"/>
    <w:rsid w:val="00CF6565"/>
    <w:rsid w:val="00CF697B"/>
    <w:rsid w:val="00CF7041"/>
    <w:rsid w:val="00CF7BB6"/>
    <w:rsid w:val="00D00648"/>
    <w:rsid w:val="00D00A3E"/>
    <w:rsid w:val="00D01589"/>
    <w:rsid w:val="00D0211C"/>
    <w:rsid w:val="00D023E7"/>
    <w:rsid w:val="00D026B4"/>
    <w:rsid w:val="00D0291C"/>
    <w:rsid w:val="00D02981"/>
    <w:rsid w:val="00D035BB"/>
    <w:rsid w:val="00D039BE"/>
    <w:rsid w:val="00D03B2D"/>
    <w:rsid w:val="00D03D4A"/>
    <w:rsid w:val="00D03F3F"/>
    <w:rsid w:val="00D04B99"/>
    <w:rsid w:val="00D04CC8"/>
    <w:rsid w:val="00D0570D"/>
    <w:rsid w:val="00D05A7F"/>
    <w:rsid w:val="00D05EAF"/>
    <w:rsid w:val="00D065C1"/>
    <w:rsid w:val="00D06BEF"/>
    <w:rsid w:val="00D06E2D"/>
    <w:rsid w:val="00D06FED"/>
    <w:rsid w:val="00D07087"/>
    <w:rsid w:val="00D073ED"/>
    <w:rsid w:val="00D07706"/>
    <w:rsid w:val="00D07805"/>
    <w:rsid w:val="00D07FBF"/>
    <w:rsid w:val="00D10290"/>
    <w:rsid w:val="00D1073C"/>
    <w:rsid w:val="00D10AF5"/>
    <w:rsid w:val="00D10C59"/>
    <w:rsid w:val="00D10C8D"/>
    <w:rsid w:val="00D11DC0"/>
    <w:rsid w:val="00D11E68"/>
    <w:rsid w:val="00D12099"/>
    <w:rsid w:val="00D124C0"/>
    <w:rsid w:val="00D132A7"/>
    <w:rsid w:val="00D133B2"/>
    <w:rsid w:val="00D133E2"/>
    <w:rsid w:val="00D1372A"/>
    <w:rsid w:val="00D139B2"/>
    <w:rsid w:val="00D13E74"/>
    <w:rsid w:val="00D13F1D"/>
    <w:rsid w:val="00D1458F"/>
    <w:rsid w:val="00D150A7"/>
    <w:rsid w:val="00D15413"/>
    <w:rsid w:val="00D1560D"/>
    <w:rsid w:val="00D15703"/>
    <w:rsid w:val="00D15C60"/>
    <w:rsid w:val="00D15F09"/>
    <w:rsid w:val="00D16130"/>
    <w:rsid w:val="00D16C08"/>
    <w:rsid w:val="00D17BC3"/>
    <w:rsid w:val="00D17E66"/>
    <w:rsid w:val="00D20087"/>
    <w:rsid w:val="00D20906"/>
    <w:rsid w:val="00D20C14"/>
    <w:rsid w:val="00D20DD4"/>
    <w:rsid w:val="00D2115C"/>
    <w:rsid w:val="00D21993"/>
    <w:rsid w:val="00D21AA6"/>
    <w:rsid w:val="00D22480"/>
    <w:rsid w:val="00D22605"/>
    <w:rsid w:val="00D22C70"/>
    <w:rsid w:val="00D22EBE"/>
    <w:rsid w:val="00D23191"/>
    <w:rsid w:val="00D231C4"/>
    <w:rsid w:val="00D2320C"/>
    <w:rsid w:val="00D237A0"/>
    <w:rsid w:val="00D2388C"/>
    <w:rsid w:val="00D23E5F"/>
    <w:rsid w:val="00D24365"/>
    <w:rsid w:val="00D24A22"/>
    <w:rsid w:val="00D252F4"/>
    <w:rsid w:val="00D255C1"/>
    <w:rsid w:val="00D262B6"/>
    <w:rsid w:val="00D26B3D"/>
    <w:rsid w:val="00D27281"/>
    <w:rsid w:val="00D272CD"/>
    <w:rsid w:val="00D2757A"/>
    <w:rsid w:val="00D27760"/>
    <w:rsid w:val="00D279C7"/>
    <w:rsid w:val="00D27B46"/>
    <w:rsid w:val="00D30380"/>
    <w:rsid w:val="00D303EA"/>
    <w:rsid w:val="00D30E46"/>
    <w:rsid w:val="00D3103C"/>
    <w:rsid w:val="00D31D19"/>
    <w:rsid w:val="00D32365"/>
    <w:rsid w:val="00D32437"/>
    <w:rsid w:val="00D3257E"/>
    <w:rsid w:val="00D32782"/>
    <w:rsid w:val="00D32B8E"/>
    <w:rsid w:val="00D334E3"/>
    <w:rsid w:val="00D334F2"/>
    <w:rsid w:val="00D336C4"/>
    <w:rsid w:val="00D33918"/>
    <w:rsid w:val="00D3444E"/>
    <w:rsid w:val="00D349B0"/>
    <w:rsid w:val="00D35169"/>
    <w:rsid w:val="00D358E0"/>
    <w:rsid w:val="00D35C41"/>
    <w:rsid w:val="00D35D9E"/>
    <w:rsid w:val="00D35F4F"/>
    <w:rsid w:val="00D35FFE"/>
    <w:rsid w:val="00D3646E"/>
    <w:rsid w:val="00D36A7B"/>
    <w:rsid w:val="00D36AB9"/>
    <w:rsid w:val="00D36F71"/>
    <w:rsid w:val="00D3729E"/>
    <w:rsid w:val="00D374CE"/>
    <w:rsid w:val="00D37C25"/>
    <w:rsid w:val="00D414E8"/>
    <w:rsid w:val="00D41593"/>
    <w:rsid w:val="00D417A7"/>
    <w:rsid w:val="00D4185A"/>
    <w:rsid w:val="00D41988"/>
    <w:rsid w:val="00D4199D"/>
    <w:rsid w:val="00D420DC"/>
    <w:rsid w:val="00D422E5"/>
    <w:rsid w:val="00D4240C"/>
    <w:rsid w:val="00D42A72"/>
    <w:rsid w:val="00D436FC"/>
    <w:rsid w:val="00D43917"/>
    <w:rsid w:val="00D44FDB"/>
    <w:rsid w:val="00D4574B"/>
    <w:rsid w:val="00D457D7"/>
    <w:rsid w:val="00D45FC9"/>
    <w:rsid w:val="00D4623E"/>
    <w:rsid w:val="00D4632E"/>
    <w:rsid w:val="00D4654E"/>
    <w:rsid w:val="00D46FD3"/>
    <w:rsid w:val="00D471AD"/>
    <w:rsid w:val="00D47A92"/>
    <w:rsid w:val="00D47BDC"/>
    <w:rsid w:val="00D47F23"/>
    <w:rsid w:val="00D50989"/>
    <w:rsid w:val="00D511CD"/>
    <w:rsid w:val="00D5175E"/>
    <w:rsid w:val="00D51DEA"/>
    <w:rsid w:val="00D51E0A"/>
    <w:rsid w:val="00D5215D"/>
    <w:rsid w:val="00D5279B"/>
    <w:rsid w:val="00D529ED"/>
    <w:rsid w:val="00D5310A"/>
    <w:rsid w:val="00D532A9"/>
    <w:rsid w:val="00D53E0B"/>
    <w:rsid w:val="00D53EBD"/>
    <w:rsid w:val="00D5400F"/>
    <w:rsid w:val="00D547E9"/>
    <w:rsid w:val="00D54FCD"/>
    <w:rsid w:val="00D55C3D"/>
    <w:rsid w:val="00D565C2"/>
    <w:rsid w:val="00D56C5B"/>
    <w:rsid w:val="00D56E8E"/>
    <w:rsid w:val="00D57EFB"/>
    <w:rsid w:val="00D6071B"/>
    <w:rsid w:val="00D6098C"/>
    <w:rsid w:val="00D60D27"/>
    <w:rsid w:val="00D612B5"/>
    <w:rsid w:val="00D6147A"/>
    <w:rsid w:val="00D61500"/>
    <w:rsid w:val="00D61826"/>
    <w:rsid w:val="00D619FB"/>
    <w:rsid w:val="00D61E3A"/>
    <w:rsid w:val="00D62344"/>
    <w:rsid w:val="00D627CF"/>
    <w:rsid w:val="00D62A3F"/>
    <w:rsid w:val="00D62C33"/>
    <w:rsid w:val="00D63340"/>
    <w:rsid w:val="00D634BB"/>
    <w:rsid w:val="00D63940"/>
    <w:rsid w:val="00D63E09"/>
    <w:rsid w:val="00D650CC"/>
    <w:rsid w:val="00D65444"/>
    <w:rsid w:val="00D65CC6"/>
    <w:rsid w:val="00D66810"/>
    <w:rsid w:val="00D66A89"/>
    <w:rsid w:val="00D66FD6"/>
    <w:rsid w:val="00D6733D"/>
    <w:rsid w:val="00D6755E"/>
    <w:rsid w:val="00D67678"/>
    <w:rsid w:val="00D67879"/>
    <w:rsid w:val="00D678F7"/>
    <w:rsid w:val="00D67FC6"/>
    <w:rsid w:val="00D67FCF"/>
    <w:rsid w:val="00D70F27"/>
    <w:rsid w:val="00D716FA"/>
    <w:rsid w:val="00D71828"/>
    <w:rsid w:val="00D71A33"/>
    <w:rsid w:val="00D72053"/>
    <w:rsid w:val="00D72202"/>
    <w:rsid w:val="00D72518"/>
    <w:rsid w:val="00D7292A"/>
    <w:rsid w:val="00D72BED"/>
    <w:rsid w:val="00D732C5"/>
    <w:rsid w:val="00D73E31"/>
    <w:rsid w:val="00D7438D"/>
    <w:rsid w:val="00D74390"/>
    <w:rsid w:val="00D744D0"/>
    <w:rsid w:val="00D7470B"/>
    <w:rsid w:val="00D753B2"/>
    <w:rsid w:val="00D75681"/>
    <w:rsid w:val="00D75B97"/>
    <w:rsid w:val="00D762FD"/>
    <w:rsid w:val="00D766FE"/>
    <w:rsid w:val="00D801E7"/>
    <w:rsid w:val="00D80A9F"/>
    <w:rsid w:val="00D8112C"/>
    <w:rsid w:val="00D81397"/>
    <w:rsid w:val="00D818BD"/>
    <w:rsid w:val="00D81DF2"/>
    <w:rsid w:val="00D8235D"/>
    <w:rsid w:val="00D82A4A"/>
    <w:rsid w:val="00D82D06"/>
    <w:rsid w:val="00D82D2D"/>
    <w:rsid w:val="00D83339"/>
    <w:rsid w:val="00D83348"/>
    <w:rsid w:val="00D8368D"/>
    <w:rsid w:val="00D840F0"/>
    <w:rsid w:val="00D8439C"/>
    <w:rsid w:val="00D84633"/>
    <w:rsid w:val="00D84C7F"/>
    <w:rsid w:val="00D84D3F"/>
    <w:rsid w:val="00D85588"/>
    <w:rsid w:val="00D85A19"/>
    <w:rsid w:val="00D85C9E"/>
    <w:rsid w:val="00D85E94"/>
    <w:rsid w:val="00D864A3"/>
    <w:rsid w:val="00D864E1"/>
    <w:rsid w:val="00D86520"/>
    <w:rsid w:val="00D866D7"/>
    <w:rsid w:val="00D86AF1"/>
    <w:rsid w:val="00D86BBD"/>
    <w:rsid w:val="00D87161"/>
    <w:rsid w:val="00D8716A"/>
    <w:rsid w:val="00D90625"/>
    <w:rsid w:val="00D9106E"/>
    <w:rsid w:val="00D91508"/>
    <w:rsid w:val="00D91E69"/>
    <w:rsid w:val="00D9234D"/>
    <w:rsid w:val="00D92385"/>
    <w:rsid w:val="00D924EC"/>
    <w:rsid w:val="00D9254D"/>
    <w:rsid w:val="00D92B6C"/>
    <w:rsid w:val="00D92CD5"/>
    <w:rsid w:val="00D92FBC"/>
    <w:rsid w:val="00D93147"/>
    <w:rsid w:val="00D9390E"/>
    <w:rsid w:val="00D94135"/>
    <w:rsid w:val="00D941C7"/>
    <w:rsid w:val="00D94841"/>
    <w:rsid w:val="00D94B76"/>
    <w:rsid w:val="00D94E6B"/>
    <w:rsid w:val="00D95051"/>
    <w:rsid w:val="00D95107"/>
    <w:rsid w:val="00D95AB0"/>
    <w:rsid w:val="00D96572"/>
    <w:rsid w:val="00D96A78"/>
    <w:rsid w:val="00D96B7F"/>
    <w:rsid w:val="00D96F69"/>
    <w:rsid w:val="00D9755B"/>
    <w:rsid w:val="00D977D8"/>
    <w:rsid w:val="00DA018B"/>
    <w:rsid w:val="00DA0FBA"/>
    <w:rsid w:val="00DA1232"/>
    <w:rsid w:val="00DA14E4"/>
    <w:rsid w:val="00DA1662"/>
    <w:rsid w:val="00DA1FF0"/>
    <w:rsid w:val="00DA2251"/>
    <w:rsid w:val="00DA4AF1"/>
    <w:rsid w:val="00DA4CDE"/>
    <w:rsid w:val="00DA538E"/>
    <w:rsid w:val="00DA5551"/>
    <w:rsid w:val="00DA5992"/>
    <w:rsid w:val="00DA5C78"/>
    <w:rsid w:val="00DA5D9D"/>
    <w:rsid w:val="00DA5F08"/>
    <w:rsid w:val="00DA6EFF"/>
    <w:rsid w:val="00DA6FBF"/>
    <w:rsid w:val="00DA7393"/>
    <w:rsid w:val="00DA7824"/>
    <w:rsid w:val="00DA7D4E"/>
    <w:rsid w:val="00DA7DB5"/>
    <w:rsid w:val="00DA7FE3"/>
    <w:rsid w:val="00DB05D7"/>
    <w:rsid w:val="00DB07F2"/>
    <w:rsid w:val="00DB07F6"/>
    <w:rsid w:val="00DB093D"/>
    <w:rsid w:val="00DB0CD2"/>
    <w:rsid w:val="00DB183C"/>
    <w:rsid w:val="00DB190D"/>
    <w:rsid w:val="00DB2143"/>
    <w:rsid w:val="00DB2773"/>
    <w:rsid w:val="00DB3ACC"/>
    <w:rsid w:val="00DB4256"/>
    <w:rsid w:val="00DB4523"/>
    <w:rsid w:val="00DB4652"/>
    <w:rsid w:val="00DB468E"/>
    <w:rsid w:val="00DB4800"/>
    <w:rsid w:val="00DB4834"/>
    <w:rsid w:val="00DB4C24"/>
    <w:rsid w:val="00DB4C60"/>
    <w:rsid w:val="00DB5436"/>
    <w:rsid w:val="00DB5D81"/>
    <w:rsid w:val="00DB5F39"/>
    <w:rsid w:val="00DB6249"/>
    <w:rsid w:val="00DB62AB"/>
    <w:rsid w:val="00DB643B"/>
    <w:rsid w:val="00DB66D5"/>
    <w:rsid w:val="00DB66E1"/>
    <w:rsid w:val="00DB66FC"/>
    <w:rsid w:val="00DB6C6E"/>
    <w:rsid w:val="00DB72FD"/>
    <w:rsid w:val="00DB73E7"/>
    <w:rsid w:val="00DB7699"/>
    <w:rsid w:val="00DB7C42"/>
    <w:rsid w:val="00DB7FD3"/>
    <w:rsid w:val="00DC00FA"/>
    <w:rsid w:val="00DC0514"/>
    <w:rsid w:val="00DC0C1C"/>
    <w:rsid w:val="00DC0CF3"/>
    <w:rsid w:val="00DC0DA6"/>
    <w:rsid w:val="00DC1131"/>
    <w:rsid w:val="00DC144B"/>
    <w:rsid w:val="00DC1799"/>
    <w:rsid w:val="00DC201B"/>
    <w:rsid w:val="00DC20D6"/>
    <w:rsid w:val="00DC24F9"/>
    <w:rsid w:val="00DC2508"/>
    <w:rsid w:val="00DC2609"/>
    <w:rsid w:val="00DC310E"/>
    <w:rsid w:val="00DC3370"/>
    <w:rsid w:val="00DC3795"/>
    <w:rsid w:val="00DC404F"/>
    <w:rsid w:val="00DC4143"/>
    <w:rsid w:val="00DC45D9"/>
    <w:rsid w:val="00DC46C9"/>
    <w:rsid w:val="00DC4BAE"/>
    <w:rsid w:val="00DC4EFC"/>
    <w:rsid w:val="00DC52A9"/>
    <w:rsid w:val="00DC5F38"/>
    <w:rsid w:val="00DC6202"/>
    <w:rsid w:val="00DC6386"/>
    <w:rsid w:val="00DC6F0C"/>
    <w:rsid w:val="00DC7042"/>
    <w:rsid w:val="00DC71EA"/>
    <w:rsid w:val="00DC728A"/>
    <w:rsid w:val="00DC7FDE"/>
    <w:rsid w:val="00DD0017"/>
    <w:rsid w:val="00DD094A"/>
    <w:rsid w:val="00DD0FCA"/>
    <w:rsid w:val="00DD11C0"/>
    <w:rsid w:val="00DD123D"/>
    <w:rsid w:val="00DD171C"/>
    <w:rsid w:val="00DD1742"/>
    <w:rsid w:val="00DD2356"/>
    <w:rsid w:val="00DD23E2"/>
    <w:rsid w:val="00DD2A3E"/>
    <w:rsid w:val="00DD3319"/>
    <w:rsid w:val="00DD3385"/>
    <w:rsid w:val="00DD37CB"/>
    <w:rsid w:val="00DD4009"/>
    <w:rsid w:val="00DD46A1"/>
    <w:rsid w:val="00DD46E0"/>
    <w:rsid w:val="00DD49C8"/>
    <w:rsid w:val="00DD5360"/>
    <w:rsid w:val="00DD57B7"/>
    <w:rsid w:val="00DD59B4"/>
    <w:rsid w:val="00DD5E1E"/>
    <w:rsid w:val="00DD6368"/>
    <w:rsid w:val="00DD6A2F"/>
    <w:rsid w:val="00DD6D36"/>
    <w:rsid w:val="00DD74B3"/>
    <w:rsid w:val="00DD7680"/>
    <w:rsid w:val="00DD7682"/>
    <w:rsid w:val="00DD7B99"/>
    <w:rsid w:val="00DD7E4F"/>
    <w:rsid w:val="00DE039F"/>
    <w:rsid w:val="00DE173B"/>
    <w:rsid w:val="00DE18C5"/>
    <w:rsid w:val="00DE1B14"/>
    <w:rsid w:val="00DE1B29"/>
    <w:rsid w:val="00DE2824"/>
    <w:rsid w:val="00DE2E01"/>
    <w:rsid w:val="00DE3331"/>
    <w:rsid w:val="00DE3C09"/>
    <w:rsid w:val="00DE3C3B"/>
    <w:rsid w:val="00DE471F"/>
    <w:rsid w:val="00DE4FD9"/>
    <w:rsid w:val="00DE5269"/>
    <w:rsid w:val="00DE57F4"/>
    <w:rsid w:val="00DE5B68"/>
    <w:rsid w:val="00DE5C2B"/>
    <w:rsid w:val="00DE5F73"/>
    <w:rsid w:val="00DE61DE"/>
    <w:rsid w:val="00DE6F93"/>
    <w:rsid w:val="00DE7635"/>
    <w:rsid w:val="00DE7907"/>
    <w:rsid w:val="00DF049C"/>
    <w:rsid w:val="00DF04A9"/>
    <w:rsid w:val="00DF072F"/>
    <w:rsid w:val="00DF0BDD"/>
    <w:rsid w:val="00DF0CE7"/>
    <w:rsid w:val="00DF14B1"/>
    <w:rsid w:val="00DF1835"/>
    <w:rsid w:val="00DF1AAF"/>
    <w:rsid w:val="00DF1CB0"/>
    <w:rsid w:val="00DF1DCC"/>
    <w:rsid w:val="00DF1EC7"/>
    <w:rsid w:val="00DF25DA"/>
    <w:rsid w:val="00DF2FEF"/>
    <w:rsid w:val="00DF3417"/>
    <w:rsid w:val="00DF3C20"/>
    <w:rsid w:val="00DF3DFA"/>
    <w:rsid w:val="00DF41DD"/>
    <w:rsid w:val="00DF421A"/>
    <w:rsid w:val="00DF595C"/>
    <w:rsid w:val="00DF63B0"/>
    <w:rsid w:val="00DF6752"/>
    <w:rsid w:val="00DF67B3"/>
    <w:rsid w:val="00DF6968"/>
    <w:rsid w:val="00DF713A"/>
    <w:rsid w:val="00DF722A"/>
    <w:rsid w:val="00DF755F"/>
    <w:rsid w:val="00E00000"/>
    <w:rsid w:val="00E000BE"/>
    <w:rsid w:val="00E00397"/>
    <w:rsid w:val="00E007CB"/>
    <w:rsid w:val="00E009A8"/>
    <w:rsid w:val="00E009FC"/>
    <w:rsid w:val="00E00C2A"/>
    <w:rsid w:val="00E00D9B"/>
    <w:rsid w:val="00E015A1"/>
    <w:rsid w:val="00E0179C"/>
    <w:rsid w:val="00E0214E"/>
    <w:rsid w:val="00E022B7"/>
    <w:rsid w:val="00E023D8"/>
    <w:rsid w:val="00E029C3"/>
    <w:rsid w:val="00E033AC"/>
    <w:rsid w:val="00E0360E"/>
    <w:rsid w:val="00E03C2B"/>
    <w:rsid w:val="00E03CA0"/>
    <w:rsid w:val="00E041E2"/>
    <w:rsid w:val="00E04B22"/>
    <w:rsid w:val="00E05201"/>
    <w:rsid w:val="00E05255"/>
    <w:rsid w:val="00E053CB"/>
    <w:rsid w:val="00E05412"/>
    <w:rsid w:val="00E054C3"/>
    <w:rsid w:val="00E05FB7"/>
    <w:rsid w:val="00E06305"/>
    <w:rsid w:val="00E06D18"/>
    <w:rsid w:val="00E06E7A"/>
    <w:rsid w:val="00E077A7"/>
    <w:rsid w:val="00E07977"/>
    <w:rsid w:val="00E07B33"/>
    <w:rsid w:val="00E07D05"/>
    <w:rsid w:val="00E10370"/>
    <w:rsid w:val="00E103EE"/>
    <w:rsid w:val="00E10C2E"/>
    <w:rsid w:val="00E10C46"/>
    <w:rsid w:val="00E111CC"/>
    <w:rsid w:val="00E11393"/>
    <w:rsid w:val="00E11963"/>
    <w:rsid w:val="00E1244C"/>
    <w:rsid w:val="00E13B43"/>
    <w:rsid w:val="00E13D0D"/>
    <w:rsid w:val="00E14049"/>
    <w:rsid w:val="00E1409F"/>
    <w:rsid w:val="00E14171"/>
    <w:rsid w:val="00E14857"/>
    <w:rsid w:val="00E14A84"/>
    <w:rsid w:val="00E14E2B"/>
    <w:rsid w:val="00E14EA8"/>
    <w:rsid w:val="00E15668"/>
    <w:rsid w:val="00E15814"/>
    <w:rsid w:val="00E159CD"/>
    <w:rsid w:val="00E16136"/>
    <w:rsid w:val="00E16939"/>
    <w:rsid w:val="00E16A84"/>
    <w:rsid w:val="00E16BB5"/>
    <w:rsid w:val="00E1754A"/>
    <w:rsid w:val="00E17635"/>
    <w:rsid w:val="00E17704"/>
    <w:rsid w:val="00E17B7A"/>
    <w:rsid w:val="00E2050F"/>
    <w:rsid w:val="00E20717"/>
    <w:rsid w:val="00E20848"/>
    <w:rsid w:val="00E20A43"/>
    <w:rsid w:val="00E20C20"/>
    <w:rsid w:val="00E212A4"/>
    <w:rsid w:val="00E2154D"/>
    <w:rsid w:val="00E21E7E"/>
    <w:rsid w:val="00E22325"/>
    <w:rsid w:val="00E225C2"/>
    <w:rsid w:val="00E2286C"/>
    <w:rsid w:val="00E229B1"/>
    <w:rsid w:val="00E22F4B"/>
    <w:rsid w:val="00E22FB0"/>
    <w:rsid w:val="00E23112"/>
    <w:rsid w:val="00E23184"/>
    <w:rsid w:val="00E233A3"/>
    <w:rsid w:val="00E2383E"/>
    <w:rsid w:val="00E238EC"/>
    <w:rsid w:val="00E23DC8"/>
    <w:rsid w:val="00E23DC9"/>
    <w:rsid w:val="00E24481"/>
    <w:rsid w:val="00E2474F"/>
    <w:rsid w:val="00E26076"/>
    <w:rsid w:val="00E260E5"/>
    <w:rsid w:val="00E261B4"/>
    <w:rsid w:val="00E26786"/>
    <w:rsid w:val="00E2682B"/>
    <w:rsid w:val="00E26C8E"/>
    <w:rsid w:val="00E26E17"/>
    <w:rsid w:val="00E27726"/>
    <w:rsid w:val="00E27E54"/>
    <w:rsid w:val="00E300BA"/>
    <w:rsid w:val="00E301B5"/>
    <w:rsid w:val="00E3059C"/>
    <w:rsid w:val="00E309D3"/>
    <w:rsid w:val="00E30CC2"/>
    <w:rsid w:val="00E312A8"/>
    <w:rsid w:val="00E314AC"/>
    <w:rsid w:val="00E317BE"/>
    <w:rsid w:val="00E3199B"/>
    <w:rsid w:val="00E31A83"/>
    <w:rsid w:val="00E31FC4"/>
    <w:rsid w:val="00E3243D"/>
    <w:rsid w:val="00E325C0"/>
    <w:rsid w:val="00E32C9A"/>
    <w:rsid w:val="00E32E4C"/>
    <w:rsid w:val="00E33058"/>
    <w:rsid w:val="00E332F2"/>
    <w:rsid w:val="00E334D6"/>
    <w:rsid w:val="00E3393D"/>
    <w:rsid w:val="00E33966"/>
    <w:rsid w:val="00E339AC"/>
    <w:rsid w:val="00E33A3A"/>
    <w:rsid w:val="00E33E38"/>
    <w:rsid w:val="00E34B05"/>
    <w:rsid w:val="00E34C92"/>
    <w:rsid w:val="00E34FBA"/>
    <w:rsid w:val="00E34FFD"/>
    <w:rsid w:val="00E35CAC"/>
    <w:rsid w:val="00E35E3F"/>
    <w:rsid w:val="00E36130"/>
    <w:rsid w:val="00E36803"/>
    <w:rsid w:val="00E36ACB"/>
    <w:rsid w:val="00E37BA0"/>
    <w:rsid w:val="00E400AA"/>
    <w:rsid w:val="00E402EC"/>
    <w:rsid w:val="00E40A99"/>
    <w:rsid w:val="00E40D3C"/>
    <w:rsid w:val="00E41748"/>
    <w:rsid w:val="00E41A17"/>
    <w:rsid w:val="00E41A72"/>
    <w:rsid w:val="00E41B0A"/>
    <w:rsid w:val="00E41C89"/>
    <w:rsid w:val="00E41E39"/>
    <w:rsid w:val="00E420E9"/>
    <w:rsid w:val="00E4231D"/>
    <w:rsid w:val="00E42607"/>
    <w:rsid w:val="00E42FB3"/>
    <w:rsid w:val="00E43339"/>
    <w:rsid w:val="00E43669"/>
    <w:rsid w:val="00E4389C"/>
    <w:rsid w:val="00E43919"/>
    <w:rsid w:val="00E43C38"/>
    <w:rsid w:val="00E43ED0"/>
    <w:rsid w:val="00E44119"/>
    <w:rsid w:val="00E4471D"/>
    <w:rsid w:val="00E44DD2"/>
    <w:rsid w:val="00E44F55"/>
    <w:rsid w:val="00E4583F"/>
    <w:rsid w:val="00E46B13"/>
    <w:rsid w:val="00E47667"/>
    <w:rsid w:val="00E479A6"/>
    <w:rsid w:val="00E479F3"/>
    <w:rsid w:val="00E47B59"/>
    <w:rsid w:val="00E47F0C"/>
    <w:rsid w:val="00E5028A"/>
    <w:rsid w:val="00E502D4"/>
    <w:rsid w:val="00E508C9"/>
    <w:rsid w:val="00E5093A"/>
    <w:rsid w:val="00E50D49"/>
    <w:rsid w:val="00E50E68"/>
    <w:rsid w:val="00E510C5"/>
    <w:rsid w:val="00E514C6"/>
    <w:rsid w:val="00E5177C"/>
    <w:rsid w:val="00E522D8"/>
    <w:rsid w:val="00E53262"/>
    <w:rsid w:val="00E53753"/>
    <w:rsid w:val="00E53914"/>
    <w:rsid w:val="00E53999"/>
    <w:rsid w:val="00E53FB8"/>
    <w:rsid w:val="00E54123"/>
    <w:rsid w:val="00E5452A"/>
    <w:rsid w:val="00E5543D"/>
    <w:rsid w:val="00E555F1"/>
    <w:rsid w:val="00E55BFE"/>
    <w:rsid w:val="00E55D4C"/>
    <w:rsid w:val="00E55E2B"/>
    <w:rsid w:val="00E5673A"/>
    <w:rsid w:val="00E56F50"/>
    <w:rsid w:val="00E5783D"/>
    <w:rsid w:val="00E57EE5"/>
    <w:rsid w:val="00E6008A"/>
    <w:rsid w:val="00E60249"/>
    <w:rsid w:val="00E606B9"/>
    <w:rsid w:val="00E60B11"/>
    <w:rsid w:val="00E60D85"/>
    <w:rsid w:val="00E60F9E"/>
    <w:rsid w:val="00E610E5"/>
    <w:rsid w:val="00E6159B"/>
    <w:rsid w:val="00E6184A"/>
    <w:rsid w:val="00E618AD"/>
    <w:rsid w:val="00E61BA4"/>
    <w:rsid w:val="00E61CA9"/>
    <w:rsid w:val="00E624A4"/>
    <w:rsid w:val="00E62B56"/>
    <w:rsid w:val="00E63413"/>
    <w:rsid w:val="00E63432"/>
    <w:rsid w:val="00E634C2"/>
    <w:rsid w:val="00E63582"/>
    <w:rsid w:val="00E63891"/>
    <w:rsid w:val="00E642EF"/>
    <w:rsid w:val="00E64507"/>
    <w:rsid w:val="00E64541"/>
    <w:rsid w:val="00E6482D"/>
    <w:rsid w:val="00E64978"/>
    <w:rsid w:val="00E64B5E"/>
    <w:rsid w:val="00E64F61"/>
    <w:rsid w:val="00E65065"/>
    <w:rsid w:val="00E6511D"/>
    <w:rsid w:val="00E65A77"/>
    <w:rsid w:val="00E65BF8"/>
    <w:rsid w:val="00E66848"/>
    <w:rsid w:val="00E66FB7"/>
    <w:rsid w:val="00E67043"/>
    <w:rsid w:val="00E67058"/>
    <w:rsid w:val="00E670F1"/>
    <w:rsid w:val="00E67A6E"/>
    <w:rsid w:val="00E67F50"/>
    <w:rsid w:val="00E70489"/>
    <w:rsid w:val="00E707D5"/>
    <w:rsid w:val="00E709CF"/>
    <w:rsid w:val="00E70C0F"/>
    <w:rsid w:val="00E70DDD"/>
    <w:rsid w:val="00E71411"/>
    <w:rsid w:val="00E71854"/>
    <w:rsid w:val="00E72374"/>
    <w:rsid w:val="00E72748"/>
    <w:rsid w:val="00E727A0"/>
    <w:rsid w:val="00E72D1D"/>
    <w:rsid w:val="00E733E1"/>
    <w:rsid w:val="00E73663"/>
    <w:rsid w:val="00E7377A"/>
    <w:rsid w:val="00E737C4"/>
    <w:rsid w:val="00E73AF0"/>
    <w:rsid w:val="00E7491C"/>
    <w:rsid w:val="00E74B07"/>
    <w:rsid w:val="00E74E7B"/>
    <w:rsid w:val="00E7520F"/>
    <w:rsid w:val="00E75610"/>
    <w:rsid w:val="00E75646"/>
    <w:rsid w:val="00E757CD"/>
    <w:rsid w:val="00E758C8"/>
    <w:rsid w:val="00E75CE0"/>
    <w:rsid w:val="00E75FE0"/>
    <w:rsid w:val="00E76516"/>
    <w:rsid w:val="00E76BC5"/>
    <w:rsid w:val="00E76E7D"/>
    <w:rsid w:val="00E77157"/>
    <w:rsid w:val="00E8057B"/>
    <w:rsid w:val="00E807C2"/>
    <w:rsid w:val="00E8086D"/>
    <w:rsid w:val="00E80ACB"/>
    <w:rsid w:val="00E81250"/>
    <w:rsid w:val="00E812DF"/>
    <w:rsid w:val="00E81B12"/>
    <w:rsid w:val="00E81BDE"/>
    <w:rsid w:val="00E81CAC"/>
    <w:rsid w:val="00E81D2C"/>
    <w:rsid w:val="00E82274"/>
    <w:rsid w:val="00E82DD2"/>
    <w:rsid w:val="00E831C4"/>
    <w:rsid w:val="00E83252"/>
    <w:rsid w:val="00E83457"/>
    <w:rsid w:val="00E83695"/>
    <w:rsid w:val="00E83B05"/>
    <w:rsid w:val="00E8442F"/>
    <w:rsid w:val="00E84853"/>
    <w:rsid w:val="00E84953"/>
    <w:rsid w:val="00E84C66"/>
    <w:rsid w:val="00E854B8"/>
    <w:rsid w:val="00E8554D"/>
    <w:rsid w:val="00E85F71"/>
    <w:rsid w:val="00E86073"/>
    <w:rsid w:val="00E86137"/>
    <w:rsid w:val="00E86501"/>
    <w:rsid w:val="00E86A3A"/>
    <w:rsid w:val="00E872C9"/>
    <w:rsid w:val="00E873B5"/>
    <w:rsid w:val="00E87CB2"/>
    <w:rsid w:val="00E87D87"/>
    <w:rsid w:val="00E900FF"/>
    <w:rsid w:val="00E90199"/>
    <w:rsid w:val="00E90B5C"/>
    <w:rsid w:val="00E91222"/>
    <w:rsid w:val="00E913DA"/>
    <w:rsid w:val="00E91562"/>
    <w:rsid w:val="00E91C86"/>
    <w:rsid w:val="00E91ECC"/>
    <w:rsid w:val="00E921B7"/>
    <w:rsid w:val="00E9393F"/>
    <w:rsid w:val="00E93B5D"/>
    <w:rsid w:val="00E93DDA"/>
    <w:rsid w:val="00E94474"/>
    <w:rsid w:val="00E946D5"/>
    <w:rsid w:val="00E94C6E"/>
    <w:rsid w:val="00E94CC9"/>
    <w:rsid w:val="00E95BDC"/>
    <w:rsid w:val="00E95D8E"/>
    <w:rsid w:val="00E95EBE"/>
    <w:rsid w:val="00E963F7"/>
    <w:rsid w:val="00E96F75"/>
    <w:rsid w:val="00E96FCA"/>
    <w:rsid w:val="00E97265"/>
    <w:rsid w:val="00E97523"/>
    <w:rsid w:val="00E976FB"/>
    <w:rsid w:val="00E9792A"/>
    <w:rsid w:val="00EA0145"/>
    <w:rsid w:val="00EA026A"/>
    <w:rsid w:val="00EA0399"/>
    <w:rsid w:val="00EA0897"/>
    <w:rsid w:val="00EA0A97"/>
    <w:rsid w:val="00EA0D4F"/>
    <w:rsid w:val="00EA13C3"/>
    <w:rsid w:val="00EA142A"/>
    <w:rsid w:val="00EA1B81"/>
    <w:rsid w:val="00EA1BF3"/>
    <w:rsid w:val="00EA1D21"/>
    <w:rsid w:val="00EA1F4C"/>
    <w:rsid w:val="00EA2116"/>
    <w:rsid w:val="00EA247E"/>
    <w:rsid w:val="00EA28D4"/>
    <w:rsid w:val="00EA293F"/>
    <w:rsid w:val="00EA2989"/>
    <w:rsid w:val="00EA2EC4"/>
    <w:rsid w:val="00EA30A3"/>
    <w:rsid w:val="00EA3439"/>
    <w:rsid w:val="00EA3A72"/>
    <w:rsid w:val="00EA3D3E"/>
    <w:rsid w:val="00EA4821"/>
    <w:rsid w:val="00EA4B21"/>
    <w:rsid w:val="00EA4B90"/>
    <w:rsid w:val="00EA4F25"/>
    <w:rsid w:val="00EA55AF"/>
    <w:rsid w:val="00EA5845"/>
    <w:rsid w:val="00EA58D5"/>
    <w:rsid w:val="00EA5A34"/>
    <w:rsid w:val="00EA61D7"/>
    <w:rsid w:val="00EA64F2"/>
    <w:rsid w:val="00EA6C16"/>
    <w:rsid w:val="00EA6DE2"/>
    <w:rsid w:val="00EA6E11"/>
    <w:rsid w:val="00EA72E2"/>
    <w:rsid w:val="00EA7630"/>
    <w:rsid w:val="00EA77E7"/>
    <w:rsid w:val="00EA7B08"/>
    <w:rsid w:val="00EA7E98"/>
    <w:rsid w:val="00EA7ED4"/>
    <w:rsid w:val="00EB06A2"/>
    <w:rsid w:val="00EB0E37"/>
    <w:rsid w:val="00EB1060"/>
    <w:rsid w:val="00EB149B"/>
    <w:rsid w:val="00EB1758"/>
    <w:rsid w:val="00EB1C8D"/>
    <w:rsid w:val="00EB1FCF"/>
    <w:rsid w:val="00EB2262"/>
    <w:rsid w:val="00EB28DD"/>
    <w:rsid w:val="00EB2D1F"/>
    <w:rsid w:val="00EB30DF"/>
    <w:rsid w:val="00EB3E99"/>
    <w:rsid w:val="00EB42B8"/>
    <w:rsid w:val="00EB42C6"/>
    <w:rsid w:val="00EB4391"/>
    <w:rsid w:val="00EB4BB5"/>
    <w:rsid w:val="00EB581C"/>
    <w:rsid w:val="00EB582A"/>
    <w:rsid w:val="00EB59E3"/>
    <w:rsid w:val="00EB5D97"/>
    <w:rsid w:val="00EB628C"/>
    <w:rsid w:val="00EB636C"/>
    <w:rsid w:val="00EB6CDF"/>
    <w:rsid w:val="00EB6E32"/>
    <w:rsid w:val="00EB71B6"/>
    <w:rsid w:val="00EB72A3"/>
    <w:rsid w:val="00EB757A"/>
    <w:rsid w:val="00EB75A0"/>
    <w:rsid w:val="00EB7D50"/>
    <w:rsid w:val="00EB7DAE"/>
    <w:rsid w:val="00EC0277"/>
    <w:rsid w:val="00EC0862"/>
    <w:rsid w:val="00EC09EF"/>
    <w:rsid w:val="00EC11B1"/>
    <w:rsid w:val="00EC17F3"/>
    <w:rsid w:val="00EC18B1"/>
    <w:rsid w:val="00EC1903"/>
    <w:rsid w:val="00EC19B3"/>
    <w:rsid w:val="00EC1F13"/>
    <w:rsid w:val="00EC2060"/>
    <w:rsid w:val="00EC26C4"/>
    <w:rsid w:val="00EC2C78"/>
    <w:rsid w:val="00EC2CEC"/>
    <w:rsid w:val="00EC3478"/>
    <w:rsid w:val="00EC3516"/>
    <w:rsid w:val="00EC3A55"/>
    <w:rsid w:val="00EC41F1"/>
    <w:rsid w:val="00EC432D"/>
    <w:rsid w:val="00EC464B"/>
    <w:rsid w:val="00EC46AE"/>
    <w:rsid w:val="00EC4B47"/>
    <w:rsid w:val="00EC4F88"/>
    <w:rsid w:val="00EC5386"/>
    <w:rsid w:val="00EC55F9"/>
    <w:rsid w:val="00EC56E0"/>
    <w:rsid w:val="00EC584E"/>
    <w:rsid w:val="00EC6492"/>
    <w:rsid w:val="00EC681D"/>
    <w:rsid w:val="00EC68D1"/>
    <w:rsid w:val="00EC72EF"/>
    <w:rsid w:val="00ED0255"/>
    <w:rsid w:val="00ED04EF"/>
    <w:rsid w:val="00ED1225"/>
    <w:rsid w:val="00ED1D22"/>
    <w:rsid w:val="00ED2035"/>
    <w:rsid w:val="00ED220B"/>
    <w:rsid w:val="00ED25AD"/>
    <w:rsid w:val="00ED2765"/>
    <w:rsid w:val="00ED2875"/>
    <w:rsid w:val="00ED2BE6"/>
    <w:rsid w:val="00ED2EF1"/>
    <w:rsid w:val="00ED313D"/>
    <w:rsid w:val="00ED3515"/>
    <w:rsid w:val="00ED36ED"/>
    <w:rsid w:val="00ED3741"/>
    <w:rsid w:val="00ED38E1"/>
    <w:rsid w:val="00ED3EF9"/>
    <w:rsid w:val="00ED455B"/>
    <w:rsid w:val="00ED458B"/>
    <w:rsid w:val="00ED467A"/>
    <w:rsid w:val="00ED48D3"/>
    <w:rsid w:val="00ED4ACD"/>
    <w:rsid w:val="00ED4D1E"/>
    <w:rsid w:val="00ED4DB0"/>
    <w:rsid w:val="00ED50D1"/>
    <w:rsid w:val="00ED52E9"/>
    <w:rsid w:val="00ED5314"/>
    <w:rsid w:val="00ED533F"/>
    <w:rsid w:val="00ED58C1"/>
    <w:rsid w:val="00ED5DB9"/>
    <w:rsid w:val="00ED630B"/>
    <w:rsid w:val="00ED6641"/>
    <w:rsid w:val="00ED6C55"/>
    <w:rsid w:val="00ED6F58"/>
    <w:rsid w:val="00ED71D5"/>
    <w:rsid w:val="00ED755C"/>
    <w:rsid w:val="00ED7906"/>
    <w:rsid w:val="00ED7959"/>
    <w:rsid w:val="00ED7B7B"/>
    <w:rsid w:val="00ED7D7F"/>
    <w:rsid w:val="00ED7F6F"/>
    <w:rsid w:val="00EE0088"/>
    <w:rsid w:val="00EE02E8"/>
    <w:rsid w:val="00EE0419"/>
    <w:rsid w:val="00EE08CE"/>
    <w:rsid w:val="00EE0951"/>
    <w:rsid w:val="00EE0C45"/>
    <w:rsid w:val="00EE0FC6"/>
    <w:rsid w:val="00EE105D"/>
    <w:rsid w:val="00EE11AF"/>
    <w:rsid w:val="00EE147B"/>
    <w:rsid w:val="00EE1979"/>
    <w:rsid w:val="00EE2054"/>
    <w:rsid w:val="00EE2586"/>
    <w:rsid w:val="00EE2962"/>
    <w:rsid w:val="00EE2C5C"/>
    <w:rsid w:val="00EE2E03"/>
    <w:rsid w:val="00EE2F46"/>
    <w:rsid w:val="00EE3512"/>
    <w:rsid w:val="00EE36E3"/>
    <w:rsid w:val="00EE390C"/>
    <w:rsid w:val="00EE5295"/>
    <w:rsid w:val="00EE529A"/>
    <w:rsid w:val="00EE52CF"/>
    <w:rsid w:val="00EE5332"/>
    <w:rsid w:val="00EE55E3"/>
    <w:rsid w:val="00EE58D7"/>
    <w:rsid w:val="00EE660C"/>
    <w:rsid w:val="00EE66F3"/>
    <w:rsid w:val="00EE6B19"/>
    <w:rsid w:val="00EE6C1D"/>
    <w:rsid w:val="00EE6C37"/>
    <w:rsid w:val="00EE7691"/>
    <w:rsid w:val="00EE7D02"/>
    <w:rsid w:val="00EF0895"/>
    <w:rsid w:val="00EF08A5"/>
    <w:rsid w:val="00EF0BFD"/>
    <w:rsid w:val="00EF11C3"/>
    <w:rsid w:val="00EF132E"/>
    <w:rsid w:val="00EF1696"/>
    <w:rsid w:val="00EF1C30"/>
    <w:rsid w:val="00EF1F2A"/>
    <w:rsid w:val="00EF251C"/>
    <w:rsid w:val="00EF2639"/>
    <w:rsid w:val="00EF2859"/>
    <w:rsid w:val="00EF2D58"/>
    <w:rsid w:val="00EF2ECE"/>
    <w:rsid w:val="00EF301F"/>
    <w:rsid w:val="00EF35AB"/>
    <w:rsid w:val="00EF387C"/>
    <w:rsid w:val="00EF38FE"/>
    <w:rsid w:val="00EF3A11"/>
    <w:rsid w:val="00EF573A"/>
    <w:rsid w:val="00EF5DDB"/>
    <w:rsid w:val="00EF676B"/>
    <w:rsid w:val="00EF6B0F"/>
    <w:rsid w:val="00EF758B"/>
    <w:rsid w:val="00EF776C"/>
    <w:rsid w:val="00EF7A5E"/>
    <w:rsid w:val="00EF7DAE"/>
    <w:rsid w:val="00F00513"/>
    <w:rsid w:val="00F005CD"/>
    <w:rsid w:val="00F00662"/>
    <w:rsid w:val="00F00A96"/>
    <w:rsid w:val="00F00C5B"/>
    <w:rsid w:val="00F01217"/>
    <w:rsid w:val="00F019A9"/>
    <w:rsid w:val="00F01E9B"/>
    <w:rsid w:val="00F01F85"/>
    <w:rsid w:val="00F0205F"/>
    <w:rsid w:val="00F02804"/>
    <w:rsid w:val="00F02A0F"/>
    <w:rsid w:val="00F03C8A"/>
    <w:rsid w:val="00F03F66"/>
    <w:rsid w:val="00F040B4"/>
    <w:rsid w:val="00F04337"/>
    <w:rsid w:val="00F047C4"/>
    <w:rsid w:val="00F0530A"/>
    <w:rsid w:val="00F05354"/>
    <w:rsid w:val="00F05E79"/>
    <w:rsid w:val="00F068D0"/>
    <w:rsid w:val="00F07192"/>
    <w:rsid w:val="00F105C6"/>
    <w:rsid w:val="00F10829"/>
    <w:rsid w:val="00F110DB"/>
    <w:rsid w:val="00F11243"/>
    <w:rsid w:val="00F11475"/>
    <w:rsid w:val="00F119B5"/>
    <w:rsid w:val="00F11BBE"/>
    <w:rsid w:val="00F1292D"/>
    <w:rsid w:val="00F129F5"/>
    <w:rsid w:val="00F12FB9"/>
    <w:rsid w:val="00F130EF"/>
    <w:rsid w:val="00F131D6"/>
    <w:rsid w:val="00F13246"/>
    <w:rsid w:val="00F132E0"/>
    <w:rsid w:val="00F13A2A"/>
    <w:rsid w:val="00F13C69"/>
    <w:rsid w:val="00F13CEE"/>
    <w:rsid w:val="00F14605"/>
    <w:rsid w:val="00F1493F"/>
    <w:rsid w:val="00F14E33"/>
    <w:rsid w:val="00F1506D"/>
    <w:rsid w:val="00F153A7"/>
    <w:rsid w:val="00F15879"/>
    <w:rsid w:val="00F158A5"/>
    <w:rsid w:val="00F15A9D"/>
    <w:rsid w:val="00F15AE8"/>
    <w:rsid w:val="00F15E38"/>
    <w:rsid w:val="00F1605E"/>
    <w:rsid w:val="00F1658A"/>
    <w:rsid w:val="00F167EF"/>
    <w:rsid w:val="00F16A0E"/>
    <w:rsid w:val="00F16B97"/>
    <w:rsid w:val="00F16CF9"/>
    <w:rsid w:val="00F16DC0"/>
    <w:rsid w:val="00F170DB"/>
    <w:rsid w:val="00F17130"/>
    <w:rsid w:val="00F17683"/>
    <w:rsid w:val="00F17D54"/>
    <w:rsid w:val="00F17FC4"/>
    <w:rsid w:val="00F20554"/>
    <w:rsid w:val="00F2073B"/>
    <w:rsid w:val="00F208FC"/>
    <w:rsid w:val="00F209A5"/>
    <w:rsid w:val="00F20A0C"/>
    <w:rsid w:val="00F20FCD"/>
    <w:rsid w:val="00F21050"/>
    <w:rsid w:val="00F21A05"/>
    <w:rsid w:val="00F21CB0"/>
    <w:rsid w:val="00F21FFA"/>
    <w:rsid w:val="00F220D3"/>
    <w:rsid w:val="00F2219E"/>
    <w:rsid w:val="00F2291F"/>
    <w:rsid w:val="00F2299C"/>
    <w:rsid w:val="00F2300B"/>
    <w:rsid w:val="00F230C9"/>
    <w:rsid w:val="00F230E9"/>
    <w:rsid w:val="00F23188"/>
    <w:rsid w:val="00F23B90"/>
    <w:rsid w:val="00F23EE1"/>
    <w:rsid w:val="00F24112"/>
    <w:rsid w:val="00F2415A"/>
    <w:rsid w:val="00F24329"/>
    <w:rsid w:val="00F2488A"/>
    <w:rsid w:val="00F25252"/>
    <w:rsid w:val="00F2555B"/>
    <w:rsid w:val="00F256C1"/>
    <w:rsid w:val="00F258B6"/>
    <w:rsid w:val="00F26035"/>
    <w:rsid w:val="00F26851"/>
    <w:rsid w:val="00F26BF4"/>
    <w:rsid w:val="00F26EE0"/>
    <w:rsid w:val="00F26EE6"/>
    <w:rsid w:val="00F27668"/>
    <w:rsid w:val="00F277FC"/>
    <w:rsid w:val="00F27914"/>
    <w:rsid w:val="00F27AA1"/>
    <w:rsid w:val="00F30187"/>
    <w:rsid w:val="00F301E5"/>
    <w:rsid w:val="00F30C9C"/>
    <w:rsid w:val="00F3191D"/>
    <w:rsid w:val="00F31B03"/>
    <w:rsid w:val="00F324E8"/>
    <w:rsid w:val="00F327D9"/>
    <w:rsid w:val="00F32DD1"/>
    <w:rsid w:val="00F332D3"/>
    <w:rsid w:val="00F33528"/>
    <w:rsid w:val="00F33833"/>
    <w:rsid w:val="00F33FD0"/>
    <w:rsid w:val="00F34404"/>
    <w:rsid w:val="00F34648"/>
    <w:rsid w:val="00F3482C"/>
    <w:rsid w:val="00F34C90"/>
    <w:rsid w:val="00F34CDC"/>
    <w:rsid w:val="00F3505C"/>
    <w:rsid w:val="00F3510D"/>
    <w:rsid w:val="00F3545D"/>
    <w:rsid w:val="00F35501"/>
    <w:rsid w:val="00F35589"/>
    <w:rsid w:val="00F35858"/>
    <w:rsid w:val="00F35870"/>
    <w:rsid w:val="00F35DEA"/>
    <w:rsid w:val="00F35EF4"/>
    <w:rsid w:val="00F36512"/>
    <w:rsid w:val="00F366F5"/>
    <w:rsid w:val="00F368A6"/>
    <w:rsid w:val="00F36AD0"/>
    <w:rsid w:val="00F36B77"/>
    <w:rsid w:val="00F37373"/>
    <w:rsid w:val="00F37407"/>
    <w:rsid w:val="00F37546"/>
    <w:rsid w:val="00F37A4A"/>
    <w:rsid w:val="00F37D79"/>
    <w:rsid w:val="00F40082"/>
    <w:rsid w:val="00F41091"/>
    <w:rsid w:val="00F412BF"/>
    <w:rsid w:val="00F41397"/>
    <w:rsid w:val="00F4146C"/>
    <w:rsid w:val="00F41DAE"/>
    <w:rsid w:val="00F41F30"/>
    <w:rsid w:val="00F424BA"/>
    <w:rsid w:val="00F42938"/>
    <w:rsid w:val="00F42CD1"/>
    <w:rsid w:val="00F43014"/>
    <w:rsid w:val="00F4309F"/>
    <w:rsid w:val="00F4326C"/>
    <w:rsid w:val="00F437CD"/>
    <w:rsid w:val="00F43EA0"/>
    <w:rsid w:val="00F4405F"/>
    <w:rsid w:val="00F4418A"/>
    <w:rsid w:val="00F44FA9"/>
    <w:rsid w:val="00F45038"/>
    <w:rsid w:val="00F45320"/>
    <w:rsid w:val="00F4584A"/>
    <w:rsid w:val="00F461E5"/>
    <w:rsid w:val="00F46616"/>
    <w:rsid w:val="00F46B79"/>
    <w:rsid w:val="00F46C15"/>
    <w:rsid w:val="00F47358"/>
    <w:rsid w:val="00F473F5"/>
    <w:rsid w:val="00F4773F"/>
    <w:rsid w:val="00F477B5"/>
    <w:rsid w:val="00F47AB4"/>
    <w:rsid w:val="00F47B29"/>
    <w:rsid w:val="00F47C1E"/>
    <w:rsid w:val="00F500AD"/>
    <w:rsid w:val="00F50864"/>
    <w:rsid w:val="00F508EE"/>
    <w:rsid w:val="00F50D1F"/>
    <w:rsid w:val="00F50ED7"/>
    <w:rsid w:val="00F51288"/>
    <w:rsid w:val="00F5190C"/>
    <w:rsid w:val="00F51B9C"/>
    <w:rsid w:val="00F5214A"/>
    <w:rsid w:val="00F52388"/>
    <w:rsid w:val="00F523B0"/>
    <w:rsid w:val="00F5241F"/>
    <w:rsid w:val="00F52A31"/>
    <w:rsid w:val="00F53153"/>
    <w:rsid w:val="00F53AD1"/>
    <w:rsid w:val="00F544D6"/>
    <w:rsid w:val="00F54732"/>
    <w:rsid w:val="00F547BE"/>
    <w:rsid w:val="00F54A23"/>
    <w:rsid w:val="00F54B4B"/>
    <w:rsid w:val="00F55B06"/>
    <w:rsid w:val="00F55C09"/>
    <w:rsid w:val="00F5609F"/>
    <w:rsid w:val="00F56A66"/>
    <w:rsid w:val="00F573A6"/>
    <w:rsid w:val="00F57BEF"/>
    <w:rsid w:val="00F57E80"/>
    <w:rsid w:val="00F602DD"/>
    <w:rsid w:val="00F60582"/>
    <w:rsid w:val="00F60795"/>
    <w:rsid w:val="00F610A5"/>
    <w:rsid w:val="00F61279"/>
    <w:rsid w:val="00F61A34"/>
    <w:rsid w:val="00F61BE0"/>
    <w:rsid w:val="00F61DA0"/>
    <w:rsid w:val="00F62028"/>
    <w:rsid w:val="00F620C6"/>
    <w:rsid w:val="00F626E9"/>
    <w:rsid w:val="00F62A5E"/>
    <w:rsid w:val="00F62F90"/>
    <w:rsid w:val="00F63090"/>
    <w:rsid w:val="00F63345"/>
    <w:rsid w:val="00F636C0"/>
    <w:rsid w:val="00F63BE7"/>
    <w:rsid w:val="00F63CA7"/>
    <w:rsid w:val="00F64638"/>
    <w:rsid w:val="00F64A59"/>
    <w:rsid w:val="00F64ECF"/>
    <w:rsid w:val="00F64F55"/>
    <w:rsid w:val="00F64F9B"/>
    <w:rsid w:val="00F65142"/>
    <w:rsid w:val="00F66DEF"/>
    <w:rsid w:val="00F674E8"/>
    <w:rsid w:val="00F67594"/>
    <w:rsid w:val="00F67939"/>
    <w:rsid w:val="00F67C0A"/>
    <w:rsid w:val="00F702F5"/>
    <w:rsid w:val="00F7037F"/>
    <w:rsid w:val="00F7053E"/>
    <w:rsid w:val="00F706BF"/>
    <w:rsid w:val="00F70AE6"/>
    <w:rsid w:val="00F70B5B"/>
    <w:rsid w:val="00F71987"/>
    <w:rsid w:val="00F719C7"/>
    <w:rsid w:val="00F72685"/>
    <w:rsid w:val="00F7284F"/>
    <w:rsid w:val="00F7286A"/>
    <w:rsid w:val="00F7360A"/>
    <w:rsid w:val="00F73786"/>
    <w:rsid w:val="00F73951"/>
    <w:rsid w:val="00F73C35"/>
    <w:rsid w:val="00F73F48"/>
    <w:rsid w:val="00F7428B"/>
    <w:rsid w:val="00F7439B"/>
    <w:rsid w:val="00F74524"/>
    <w:rsid w:val="00F745CD"/>
    <w:rsid w:val="00F74920"/>
    <w:rsid w:val="00F74ED1"/>
    <w:rsid w:val="00F7577A"/>
    <w:rsid w:val="00F75872"/>
    <w:rsid w:val="00F75A6B"/>
    <w:rsid w:val="00F75B16"/>
    <w:rsid w:val="00F75EFF"/>
    <w:rsid w:val="00F75FCD"/>
    <w:rsid w:val="00F76096"/>
    <w:rsid w:val="00F77156"/>
    <w:rsid w:val="00F777DB"/>
    <w:rsid w:val="00F779EA"/>
    <w:rsid w:val="00F77BD6"/>
    <w:rsid w:val="00F80BA6"/>
    <w:rsid w:val="00F80D8F"/>
    <w:rsid w:val="00F80EB9"/>
    <w:rsid w:val="00F8116F"/>
    <w:rsid w:val="00F811DF"/>
    <w:rsid w:val="00F81787"/>
    <w:rsid w:val="00F81968"/>
    <w:rsid w:val="00F81BD4"/>
    <w:rsid w:val="00F81FA8"/>
    <w:rsid w:val="00F82072"/>
    <w:rsid w:val="00F8243D"/>
    <w:rsid w:val="00F8275E"/>
    <w:rsid w:val="00F8296C"/>
    <w:rsid w:val="00F829AB"/>
    <w:rsid w:val="00F830E7"/>
    <w:rsid w:val="00F83618"/>
    <w:rsid w:val="00F83A3D"/>
    <w:rsid w:val="00F83CF7"/>
    <w:rsid w:val="00F8419D"/>
    <w:rsid w:val="00F8451E"/>
    <w:rsid w:val="00F847F2"/>
    <w:rsid w:val="00F84FD3"/>
    <w:rsid w:val="00F8507F"/>
    <w:rsid w:val="00F855E5"/>
    <w:rsid w:val="00F856DB"/>
    <w:rsid w:val="00F859E6"/>
    <w:rsid w:val="00F85C23"/>
    <w:rsid w:val="00F85CD4"/>
    <w:rsid w:val="00F85DFF"/>
    <w:rsid w:val="00F86655"/>
    <w:rsid w:val="00F86790"/>
    <w:rsid w:val="00F868A3"/>
    <w:rsid w:val="00F86B70"/>
    <w:rsid w:val="00F86CFF"/>
    <w:rsid w:val="00F87136"/>
    <w:rsid w:val="00F87870"/>
    <w:rsid w:val="00F878E2"/>
    <w:rsid w:val="00F87A9D"/>
    <w:rsid w:val="00F87C83"/>
    <w:rsid w:val="00F87E38"/>
    <w:rsid w:val="00F87F39"/>
    <w:rsid w:val="00F90281"/>
    <w:rsid w:val="00F90F7A"/>
    <w:rsid w:val="00F91615"/>
    <w:rsid w:val="00F9184E"/>
    <w:rsid w:val="00F93202"/>
    <w:rsid w:val="00F93494"/>
    <w:rsid w:val="00F9366B"/>
    <w:rsid w:val="00F93748"/>
    <w:rsid w:val="00F93C8D"/>
    <w:rsid w:val="00F93E31"/>
    <w:rsid w:val="00F94234"/>
    <w:rsid w:val="00F94857"/>
    <w:rsid w:val="00F955BD"/>
    <w:rsid w:val="00F95650"/>
    <w:rsid w:val="00F95708"/>
    <w:rsid w:val="00F95810"/>
    <w:rsid w:val="00F95F56"/>
    <w:rsid w:val="00F96324"/>
    <w:rsid w:val="00F963BF"/>
    <w:rsid w:val="00F96813"/>
    <w:rsid w:val="00F9721B"/>
    <w:rsid w:val="00F9782C"/>
    <w:rsid w:val="00F97993"/>
    <w:rsid w:val="00F97C17"/>
    <w:rsid w:val="00F97D08"/>
    <w:rsid w:val="00F97EE9"/>
    <w:rsid w:val="00FA0098"/>
    <w:rsid w:val="00FA02FC"/>
    <w:rsid w:val="00FA042A"/>
    <w:rsid w:val="00FA04D1"/>
    <w:rsid w:val="00FA0E16"/>
    <w:rsid w:val="00FA11D4"/>
    <w:rsid w:val="00FA1233"/>
    <w:rsid w:val="00FA13E2"/>
    <w:rsid w:val="00FA14EF"/>
    <w:rsid w:val="00FA1AC3"/>
    <w:rsid w:val="00FA20E1"/>
    <w:rsid w:val="00FA2300"/>
    <w:rsid w:val="00FA2373"/>
    <w:rsid w:val="00FA2777"/>
    <w:rsid w:val="00FA27C3"/>
    <w:rsid w:val="00FA2B4D"/>
    <w:rsid w:val="00FA2E9F"/>
    <w:rsid w:val="00FA34C7"/>
    <w:rsid w:val="00FA39FD"/>
    <w:rsid w:val="00FA4387"/>
    <w:rsid w:val="00FA49CC"/>
    <w:rsid w:val="00FA4FE8"/>
    <w:rsid w:val="00FA5E22"/>
    <w:rsid w:val="00FA6D36"/>
    <w:rsid w:val="00FA7219"/>
    <w:rsid w:val="00FA7E1D"/>
    <w:rsid w:val="00FA7EAD"/>
    <w:rsid w:val="00FB01B2"/>
    <w:rsid w:val="00FB0212"/>
    <w:rsid w:val="00FB06E8"/>
    <w:rsid w:val="00FB094B"/>
    <w:rsid w:val="00FB0A0D"/>
    <w:rsid w:val="00FB0B2F"/>
    <w:rsid w:val="00FB0D48"/>
    <w:rsid w:val="00FB1030"/>
    <w:rsid w:val="00FB11D4"/>
    <w:rsid w:val="00FB1D87"/>
    <w:rsid w:val="00FB2105"/>
    <w:rsid w:val="00FB2788"/>
    <w:rsid w:val="00FB2AF0"/>
    <w:rsid w:val="00FB2D5C"/>
    <w:rsid w:val="00FB2F7A"/>
    <w:rsid w:val="00FB3178"/>
    <w:rsid w:val="00FB3505"/>
    <w:rsid w:val="00FB399C"/>
    <w:rsid w:val="00FB4146"/>
    <w:rsid w:val="00FB475D"/>
    <w:rsid w:val="00FB4DB2"/>
    <w:rsid w:val="00FB4F95"/>
    <w:rsid w:val="00FB500C"/>
    <w:rsid w:val="00FB522C"/>
    <w:rsid w:val="00FB573D"/>
    <w:rsid w:val="00FB5F34"/>
    <w:rsid w:val="00FB6141"/>
    <w:rsid w:val="00FB6C06"/>
    <w:rsid w:val="00FB7154"/>
    <w:rsid w:val="00FB74B8"/>
    <w:rsid w:val="00FB7579"/>
    <w:rsid w:val="00FB7CD4"/>
    <w:rsid w:val="00FC0096"/>
    <w:rsid w:val="00FC0235"/>
    <w:rsid w:val="00FC054F"/>
    <w:rsid w:val="00FC093F"/>
    <w:rsid w:val="00FC0DF5"/>
    <w:rsid w:val="00FC10D6"/>
    <w:rsid w:val="00FC10F4"/>
    <w:rsid w:val="00FC17F7"/>
    <w:rsid w:val="00FC2035"/>
    <w:rsid w:val="00FC2621"/>
    <w:rsid w:val="00FC2C16"/>
    <w:rsid w:val="00FC2D50"/>
    <w:rsid w:val="00FC318E"/>
    <w:rsid w:val="00FC3598"/>
    <w:rsid w:val="00FC385D"/>
    <w:rsid w:val="00FC3D39"/>
    <w:rsid w:val="00FC4A4B"/>
    <w:rsid w:val="00FC4C25"/>
    <w:rsid w:val="00FC4DB2"/>
    <w:rsid w:val="00FC5A4A"/>
    <w:rsid w:val="00FC5B2B"/>
    <w:rsid w:val="00FC676A"/>
    <w:rsid w:val="00FC69A6"/>
    <w:rsid w:val="00FC6B04"/>
    <w:rsid w:val="00FC6D18"/>
    <w:rsid w:val="00FC712A"/>
    <w:rsid w:val="00FC7FFB"/>
    <w:rsid w:val="00FD062F"/>
    <w:rsid w:val="00FD0751"/>
    <w:rsid w:val="00FD121E"/>
    <w:rsid w:val="00FD1722"/>
    <w:rsid w:val="00FD1A02"/>
    <w:rsid w:val="00FD1EC3"/>
    <w:rsid w:val="00FD27F0"/>
    <w:rsid w:val="00FD36C1"/>
    <w:rsid w:val="00FD37FA"/>
    <w:rsid w:val="00FD44C2"/>
    <w:rsid w:val="00FD4E49"/>
    <w:rsid w:val="00FD598F"/>
    <w:rsid w:val="00FD5CEA"/>
    <w:rsid w:val="00FD6062"/>
    <w:rsid w:val="00FD64B0"/>
    <w:rsid w:val="00FD68AF"/>
    <w:rsid w:val="00FD6AF3"/>
    <w:rsid w:val="00FD6C19"/>
    <w:rsid w:val="00FD6D42"/>
    <w:rsid w:val="00FD6E6A"/>
    <w:rsid w:val="00FD71DF"/>
    <w:rsid w:val="00FD72C5"/>
    <w:rsid w:val="00FD73B6"/>
    <w:rsid w:val="00FD74E9"/>
    <w:rsid w:val="00FE0571"/>
    <w:rsid w:val="00FE0913"/>
    <w:rsid w:val="00FE0AD9"/>
    <w:rsid w:val="00FE0B2E"/>
    <w:rsid w:val="00FE1546"/>
    <w:rsid w:val="00FE1726"/>
    <w:rsid w:val="00FE19AE"/>
    <w:rsid w:val="00FE19B1"/>
    <w:rsid w:val="00FE1F19"/>
    <w:rsid w:val="00FE1FEA"/>
    <w:rsid w:val="00FE2079"/>
    <w:rsid w:val="00FE21A7"/>
    <w:rsid w:val="00FE2FFD"/>
    <w:rsid w:val="00FE3014"/>
    <w:rsid w:val="00FE3077"/>
    <w:rsid w:val="00FE3F80"/>
    <w:rsid w:val="00FE46A1"/>
    <w:rsid w:val="00FE55A1"/>
    <w:rsid w:val="00FE5CD3"/>
    <w:rsid w:val="00FE617C"/>
    <w:rsid w:val="00FE6347"/>
    <w:rsid w:val="00FE66C9"/>
    <w:rsid w:val="00FE6A68"/>
    <w:rsid w:val="00FE6DC0"/>
    <w:rsid w:val="00FE74BC"/>
    <w:rsid w:val="00FF006B"/>
    <w:rsid w:val="00FF04CE"/>
    <w:rsid w:val="00FF08AD"/>
    <w:rsid w:val="00FF09EE"/>
    <w:rsid w:val="00FF1231"/>
    <w:rsid w:val="00FF17E8"/>
    <w:rsid w:val="00FF1851"/>
    <w:rsid w:val="00FF1E6C"/>
    <w:rsid w:val="00FF23A8"/>
    <w:rsid w:val="00FF2C98"/>
    <w:rsid w:val="00FF3280"/>
    <w:rsid w:val="00FF3804"/>
    <w:rsid w:val="00FF3A7D"/>
    <w:rsid w:val="00FF3D98"/>
    <w:rsid w:val="00FF4209"/>
    <w:rsid w:val="00FF4CDA"/>
    <w:rsid w:val="00FF4DCD"/>
    <w:rsid w:val="00FF5718"/>
    <w:rsid w:val="00FF5DE5"/>
    <w:rsid w:val="00FF613C"/>
    <w:rsid w:val="00FF647D"/>
    <w:rsid w:val="00FF6FD5"/>
    <w:rsid w:val="00FF7949"/>
    <w:rsid w:val="00FF7B78"/>
    <w:rsid w:val="00FF7F9D"/>
    <w:rsid w:val="01395A95"/>
    <w:rsid w:val="0197E0AF"/>
    <w:rsid w:val="01F59D38"/>
    <w:rsid w:val="01F77E20"/>
    <w:rsid w:val="029F37FA"/>
    <w:rsid w:val="02F938BA"/>
    <w:rsid w:val="030638B9"/>
    <w:rsid w:val="03CC418B"/>
    <w:rsid w:val="03D2F6A5"/>
    <w:rsid w:val="043D6CE8"/>
    <w:rsid w:val="045E3A21"/>
    <w:rsid w:val="04701F3B"/>
    <w:rsid w:val="04CF3F73"/>
    <w:rsid w:val="05036AEA"/>
    <w:rsid w:val="0584FBE3"/>
    <w:rsid w:val="0646B75D"/>
    <w:rsid w:val="066860D5"/>
    <w:rsid w:val="073E3263"/>
    <w:rsid w:val="077188D9"/>
    <w:rsid w:val="07918555"/>
    <w:rsid w:val="07DF97BF"/>
    <w:rsid w:val="083B56CD"/>
    <w:rsid w:val="08945C43"/>
    <w:rsid w:val="09A4D9CD"/>
    <w:rsid w:val="0A84C4E1"/>
    <w:rsid w:val="0A95FFB8"/>
    <w:rsid w:val="0AF80F0C"/>
    <w:rsid w:val="0B4DE95D"/>
    <w:rsid w:val="0B5ED9D9"/>
    <w:rsid w:val="0B75D016"/>
    <w:rsid w:val="0B81C875"/>
    <w:rsid w:val="0BE04AD9"/>
    <w:rsid w:val="0C590503"/>
    <w:rsid w:val="0C64DB6A"/>
    <w:rsid w:val="0CC5E837"/>
    <w:rsid w:val="0CCEFE0B"/>
    <w:rsid w:val="0CEEA23A"/>
    <w:rsid w:val="0D84D71B"/>
    <w:rsid w:val="0D874A84"/>
    <w:rsid w:val="0E366266"/>
    <w:rsid w:val="0EAA2440"/>
    <w:rsid w:val="0EE54CB8"/>
    <w:rsid w:val="0EFA4885"/>
    <w:rsid w:val="0F20A77C"/>
    <w:rsid w:val="0F27D4A3"/>
    <w:rsid w:val="0F5A01F2"/>
    <w:rsid w:val="0F94E8D5"/>
    <w:rsid w:val="0FB2695A"/>
    <w:rsid w:val="10077A7C"/>
    <w:rsid w:val="102DB25E"/>
    <w:rsid w:val="112030C5"/>
    <w:rsid w:val="116ACE53"/>
    <w:rsid w:val="11792FAD"/>
    <w:rsid w:val="11B4B67E"/>
    <w:rsid w:val="12DF80DC"/>
    <w:rsid w:val="1377C725"/>
    <w:rsid w:val="13FD12F4"/>
    <w:rsid w:val="1400B964"/>
    <w:rsid w:val="14143168"/>
    <w:rsid w:val="147FED06"/>
    <w:rsid w:val="149EE137"/>
    <w:rsid w:val="14E8790C"/>
    <w:rsid w:val="14FE5437"/>
    <w:rsid w:val="15C16BEB"/>
    <w:rsid w:val="160B86A9"/>
    <w:rsid w:val="163F2CD9"/>
    <w:rsid w:val="1681BDAE"/>
    <w:rsid w:val="16B06312"/>
    <w:rsid w:val="1709C453"/>
    <w:rsid w:val="1710516E"/>
    <w:rsid w:val="17B78DC8"/>
    <w:rsid w:val="17D693EE"/>
    <w:rsid w:val="17EB28C4"/>
    <w:rsid w:val="18A7DFB8"/>
    <w:rsid w:val="18ECD845"/>
    <w:rsid w:val="195867F0"/>
    <w:rsid w:val="19814647"/>
    <w:rsid w:val="19C03BC7"/>
    <w:rsid w:val="1A51E2B8"/>
    <w:rsid w:val="1A902ABE"/>
    <w:rsid w:val="1B1C0259"/>
    <w:rsid w:val="1B2F6DD7"/>
    <w:rsid w:val="1BBE2FA4"/>
    <w:rsid w:val="1C7BF1EE"/>
    <w:rsid w:val="1C948B0D"/>
    <w:rsid w:val="1CE6D3D2"/>
    <w:rsid w:val="1D257C9B"/>
    <w:rsid w:val="1D60B948"/>
    <w:rsid w:val="1D76E7D2"/>
    <w:rsid w:val="1DADB849"/>
    <w:rsid w:val="1E36BF45"/>
    <w:rsid w:val="1E7623FF"/>
    <w:rsid w:val="1EA5367D"/>
    <w:rsid w:val="1ECECD29"/>
    <w:rsid w:val="1F043BA4"/>
    <w:rsid w:val="1F686757"/>
    <w:rsid w:val="1FE7DCAB"/>
    <w:rsid w:val="205A2F3B"/>
    <w:rsid w:val="21309DF1"/>
    <w:rsid w:val="213D508E"/>
    <w:rsid w:val="2159779F"/>
    <w:rsid w:val="2179DE56"/>
    <w:rsid w:val="21F542A5"/>
    <w:rsid w:val="22D920EF"/>
    <w:rsid w:val="22F0FD7B"/>
    <w:rsid w:val="239E0BE4"/>
    <w:rsid w:val="24010C3F"/>
    <w:rsid w:val="24313D6E"/>
    <w:rsid w:val="24C16D69"/>
    <w:rsid w:val="25176F5E"/>
    <w:rsid w:val="2535280D"/>
    <w:rsid w:val="2540F05B"/>
    <w:rsid w:val="2585C818"/>
    <w:rsid w:val="25DA0D89"/>
    <w:rsid w:val="2610C1B1"/>
    <w:rsid w:val="2700E24B"/>
    <w:rsid w:val="273734ED"/>
    <w:rsid w:val="276B84EA"/>
    <w:rsid w:val="279B8F97"/>
    <w:rsid w:val="28BB5108"/>
    <w:rsid w:val="28F66F92"/>
    <w:rsid w:val="29FA53D0"/>
    <w:rsid w:val="2A811131"/>
    <w:rsid w:val="2A9B4C34"/>
    <w:rsid w:val="2BE2C76E"/>
    <w:rsid w:val="2C41088D"/>
    <w:rsid w:val="2C60634E"/>
    <w:rsid w:val="2CA15186"/>
    <w:rsid w:val="2CC1166F"/>
    <w:rsid w:val="2D0E4F0F"/>
    <w:rsid w:val="2D7EFF20"/>
    <w:rsid w:val="2DE42B02"/>
    <w:rsid w:val="2EC347CD"/>
    <w:rsid w:val="2ED1304C"/>
    <w:rsid w:val="2F126ED5"/>
    <w:rsid w:val="2F1435B4"/>
    <w:rsid w:val="2F14FF38"/>
    <w:rsid w:val="2F5D05F6"/>
    <w:rsid w:val="2FD0553A"/>
    <w:rsid w:val="30004361"/>
    <w:rsid w:val="3045EFD1"/>
    <w:rsid w:val="305859F7"/>
    <w:rsid w:val="305FB07D"/>
    <w:rsid w:val="30B66770"/>
    <w:rsid w:val="30C364BB"/>
    <w:rsid w:val="30D9F811"/>
    <w:rsid w:val="30EB8589"/>
    <w:rsid w:val="31368303"/>
    <w:rsid w:val="314AED9B"/>
    <w:rsid w:val="317842B7"/>
    <w:rsid w:val="318CC556"/>
    <w:rsid w:val="31AFA6DB"/>
    <w:rsid w:val="31D67E3A"/>
    <w:rsid w:val="3280EFAF"/>
    <w:rsid w:val="32D57021"/>
    <w:rsid w:val="32E08AE0"/>
    <w:rsid w:val="3472D9E7"/>
    <w:rsid w:val="34A69A03"/>
    <w:rsid w:val="34C26874"/>
    <w:rsid w:val="34D70553"/>
    <w:rsid w:val="356169CB"/>
    <w:rsid w:val="358FBFD9"/>
    <w:rsid w:val="362D189D"/>
    <w:rsid w:val="368B1E59"/>
    <w:rsid w:val="36A77A1C"/>
    <w:rsid w:val="36ACD56A"/>
    <w:rsid w:val="3754053F"/>
    <w:rsid w:val="377FDE42"/>
    <w:rsid w:val="37CCF5EE"/>
    <w:rsid w:val="37E2EA50"/>
    <w:rsid w:val="3843AEDD"/>
    <w:rsid w:val="38C1058A"/>
    <w:rsid w:val="38F5CA3B"/>
    <w:rsid w:val="39377175"/>
    <w:rsid w:val="39606136"/>
    <w:rsid w:val="3963C9C0"/>
    <w:rsid w:val="397B8315"/>
    <w:rsid w:val="39D65972"/>
    <w:rsid w:val="3A74455B"/>
    <w:rsid w:val="3B167725"/>
    <w:rsid w:val="3B244281"/>
    <w:rsid w:val="3BB32212"/>
    <w:rsid w:val="3C22F532"/>
    <w:rsid w:val="3C7BBBB5"/>
    <w:rsid w:val="3C836B53"/>
    <w:rsid w:val="3CAADF07"/>
    <w:rsid w:val="3CF1B4BD"/>
    <w:rsid w:val="3CFB878A"/>
    <w:rsid w:val="3D18FF2E"/>
    <w:rsid w:val="3D3D9B36"/>
    <w:rsid w:val="3DACD6B9"/>
    <w:rsid w:val="3DC6B599"/>
    <w:rsid w:val="3E35F6AB"/>
    <w:rsid w:val="3E6B23D4"/>
    <w:rsid w:val="3E81D5DB"/>
    <w:rsid w:val="3F7617A6"/>
    <w:rsid w:val="3FD28289"/>
    <w:rsid w:val="3FEDFC35"/>
    <w:rsid w:val="40560C07"/>
    <w:rsid w:val="409BA9E7"/>
    <w:rsid w:val="40FA83D6"/>
    <w:rsid w:val="411FE66E"/>
    <w:rsid w:val="412C79B1"/>
    <w:rsid w:val="414FD68E"/>
    <w:rsid w:val="4181EAB9"/>
    <w:rsid w:val="41E826EF"/>
    <w:rsid w:val="42B107BD"/>
    <w:rsid w:val="42C77132"/>
    <w:rsid w:val="4387A876"/>
    <w:rsid w:val="43F90310"/>
    <w:rsid w:val="451477F0"/>
    <w:rsid w:val="452783FB"/>
    <w:rsid w:val="45846CEA"/>
    <w:rsid w:val="471020F6"/>
    <w:rsid w:val="4797C0E1"/>
    <w:rsid w:val="479F4BD4"/>
    <w:rsid w:val="47D6CCB2"/>
    <w:rsid w:val="47DD91F6"/>
    <w:rsid w:val="47FC4C15"/>
    <w:rsid w:val="499D6661"/>
    <w:rsid w:val="49A394D6"/>
    <w:rsid w:val="4A6AC986"/>
    <w:rsid w:val="4A85AAE9"/>
    <w:rsid w:val="4AEBC5DC"/>
    <w:rsid w:val="4B0A90B3"/>
    <w:rsid w:val="4B2F9D1B"/>
    <w:rsid w:val="4B7E2C18"/>
    <w:rsid w:val="4BBA8BA7"/>
    <w:rsid w:val="4C1A77A4"/>
    <w:rsid w:val="4C1D7D15"/>
    <w:rsid w:val="4C5329DA"/>
    <w:rsid w:val="4CABB192"/>
    <w:rsid w:val="4CFE8EC5"/>
    <w:rsid w:val="4D450154"/>
    <w:rsid w:val="4DFB3F39"/>
    <w:rsid w:val="4E2E5996"/>
    <w:rsid w:val="4E98E183"/>
    <w:rsid w:val="4EB318A6"/>
    <w:rsid w:val="4F095F77"/>
    <w:rsid w:val="4FA06521"/>
    <w:rsid w:val="4FE35254"/>
    <w:rsid w:val="5097421D"/>
    <w:rsid w:val="51346B11"/>
    <w:rsid w:val="51803E0E"/>
    <w:rsid w:val="51B69441"/>
    <w:rsid w:val="51D40E03"/>
    <w:rsid w:val="522C938F"/>
    <w:rsid w:val="5284673F"/>
    <w:rsid w:val="52903185"/>
    <w:rsid w:val="53591703"/>
    <w:rsid w:val="5392B582"/>
    <w:rsid w:val="53CE8C76"/>
    <w:rsid w:val="5415945E"/>
    <w:rsid w:val="542511B2"/>
    <w:rsid w:val="546321F0"/>
    <w:rsid w:val="546C634F"/>
    <w:rsid w:val="550D2148"/>
    <w:rsid w:val="5573F607"/>
    <w:rsid w:val="55ECF79F"/>
    <w:rsid w:val="56108883"/>
    <w:rsid w:val="56364EBC"/>
    <w:rsid w:val="56726D10"/>
    <w:rsid w:val="567A451C"/>
    <w:rsid w:val="567A68F1"/>
    <w:rsid w:val="56C08A49"/>
    <w:rsid w:val="56E42588"/>
    <w:rsid w:val="575CB274"/>
    <w:rsid w:val="57C5B3A3"/>
    <w:rsid w:val="57DE01DA"/>
    <w:rsid w:val="580E220D"/>
    <w:rsid w:val="5825D5C5"/>
    <w:rsid w:val="582DCCE8"/>
    <w:rsid w:val="587FE652"/>
    <w:rsid w:val="58CB19D7"/>
    <w:rsid w:val="59C1E926"/>
    <w:rsid w:val="59EC1734"/>
    <w:rsid w:val="59F1DBBD"/>
    <w:rsid w:val="5A78A70F"/>
    <w:rsid w:val="5AFDB9F0"/>
    <w:rsid w:val="5B21C362"/>
    <w:rsid w:val="5B5D7687"/>
    <w:rsid w:val="5BBD70C9"/>
    <w:rsid w:val="5C879AE8"/>
    <w:rsid w:val="5D2C248C"/>
    <w:rsid w:val="5D477B08"/>
    <w:rsid w:val="5D8BCE52"/>
    <w:rsid w:val="5DACA6EA"/>
    <w:rsid w:val="5DCBF3F8"/>
    <w:rsid w:val="5DE5BEC1"/>
    <w:rsid w:val="5E98F507"/>
    <w:rsid w:val="5ED52F14"/>
    <w:rsid w:val="5F25CE38"/>
    <w:rsid w:val="5FB705B3"/>
    <w:rsid w:val="5FCF12EA"/>
    <w:rsid w:val="600025BE"/>
    <w:rsid w:val="60243074"/>
    <w:rsid w:val="604038E0"/>
    <w:rsid w:val="605BC1C0"/>
    <w:rsid w:val="606EBE94"/>
    <w:rsid w:val="6085C8FA"/>
    <w:rsid w:val="60B99D99"/>
    <w:rsid w:val="610394BA"/>
    <w:rsid w:val="6138C9F4"/>
    <w:rsid w:val="621D68F0"/>
    <w:rsid w:val="62ED7357"/>
    <w:rsid w:val="632FD439"/>
    <w:rsid w:val="637EBBA1"/>
    <w:rsid w:val="642AE598"/>
    <w:rsid w:val="64A2840D"/>
    <w:rsid w:val="64F9BFB7"/>
    <w:rsid w:val="6509B46C"/>
    <w:rsid w:val="652668C9"/>
    <w:rsid w:val="656DD185"/>
    <w:rsid w:val="658B8AE9"/>
    <w:rsid w:val="658C7509"/>
    <w:rsid w:val="65C0B43E"/>
    <w:rsid w:val="65F9A79E"/>
    <w:rsid w:val="661402C0"/>
    <w:rsid w:val="661E7035"/>
    <w:rsid w:val="666902F1"/>
    <w:rsid w:val="66BC0E25"/>
    <w:rsid w:val="66EE439E"/>
    <w:rsid w:val="686205AA"/>
    <w:rsid w:val="68669931"/>
    <w:rsid w:val="68C5FA3C"/>
    <w:rsid w:val="68D566CD"/>
    <w:rsid w:val="692CC783"/>
    <w:rsid w:val="6931D3A7"/>
    <w:rsid w:val="69392E32"/>
    <w:rsid w:val="6967E86F"/>
    <w:rsid w:val="6A1837F0"/>
    <w:rsid w:val="6A533B9C"/>
    <w:rsid w:val="6A9256F4"/>
    <w:rsid w:val="6B07713E"/>
    <w:rsid w:val="6B11C591"/>
    <w:rsid w:val="6B4BB58A"/>
    <w:rsid w:val="6B703D13"/>
    <w:rsid w:val="6B92C193"/>
    <w:rsid w:val="6BCE8EC0"/>
    <w:rsid w:val="6BFD9AFE"/>
    <w:rsid w:val="6C480735"/>
    <w:rsid w:val="6C9E7267"/>
    <w:rsid w:val="6CE961CE"/>
    <w:rsid w:val="6D49C574"/>
    <w:rsid w:val="6D909F51"/>
    <w:rsid w:val="6DB47B58"/>
    <w:rsid w:val="6DCA2354"/>
    <w:rsid w:val="6E01EB27"/>
    <w:rsid w:val="6E7D0367"/>
    <w:rsid w:val="6EBDDA44"/>
    <w:rsid w:val="6EE7B7F5"/>
    <w:rsid w:val="6F6CAD4C"/>
    <w:rsid w:val="6F76D13F"/>
    <w:rsid w:val="6FCB65CD"/>
    <w:rsid w:val="70422710"/>
    <w:rsid w:val="707142FB"/>
    <w:rsid w:val="7171C3E6"/>
    <w:rsid w:val="7199727B"/>
    <w:rsid w:val="71D8CB44"/>
    <w:rsid w:val="71E0616D"/>
    <w:rsid w:val="72053421"/>
    <w:rsid w:val="72140C74"/>
    <w:rsid w:val="725D5449"/>
    <w:rsid w:val="7264DC4B"/>
    <w:rsid w:val="728547E8"/>
    <w:rsid w:val="737CF90F"/>
    <w:rsid w:val="738BCC8B"/>
    <w:rsid w:val="73E6CC7D"/>
    <w:rsid w:val="73FB009B"/>
    <w:rsid w:val="747A1818"/>
    <w:rsid w:val="74E9FC27"/>
    <w:rsid w:val="74EADA67"/>
    <w:rsid w:val="7530038A"/>
    <w:rsid w:val="76A5B590"/>
    <w:rsid w:val="76B6DC71"/>
    <w:rsid w:val="77107E0E"/>
    <w:rsid w:val="77483B2B"/>
    <w:rsid w:val="7770401F"/>
    <w:rsid w:val="778DEA12"/>
    <w:rsid w:val="780ABD50"/>
    <w:rsid w:val="780FD3F9"/>
    <w:rsid w:val="783FF8A9"/>
    <w:rsid w:val="78822481"/>
    <w:rsid w:val="78C80CDE"/>
    <w:rsid w:val="79E2D87A"/>
    <w:rsid w:val="7A2C145E"/>
    <w:rsid w:val="7A4A9696"/>
    <w:rsid w:val="7A7F7245"/>
    <w:rsid w:val="7AAAA7DE"/>
    <w:rsid w:val="7AACCD6A"/>
    <w:rsid w:val="7C02DFBF"/>
    <w:rsid w:val="7C45528B"/>
    <w:rsid w:val="7C70DBCC"/>
    <w:rsid w:val="7C9FB29A"/>
    <w:rsid w:val="7CD2A5DD"/>
    <w:rsid w:val="7E5ECD26"/>
    <w:rsid w:val="7EDCCF27"/>
    <w:rsid w:val="7F3A24B3"/>
    <w:rsid w:val="7F5604CD"/>
    <w:rsid w:val="7F73AE29"/>
    <w:rsid w:val="7FC0BB4C"/>
    <w:rsid w:val="7FC3D0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89BDF"/>
  <w15:docId w15:val="{C153C317-F1B7-46A4-928A-456A601F1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050"/>
    <w:pPr>
      <w:spacing w:before="120" w:after="120"/>
    </w:pPr>
    <w:rPr>
      <w:rFonts w:ascii="VIC" w:hAnsi="VIC"/>
      <w:sz w:val="22"/>
      <w:szCs w:val="22"/>
      <w:lang w:eastAsia="en-US"/>
    </w:rPr>
  </w:style>
  <w:style w:type="paragraph" w:styleId="Heading1">
    <w:name w:val="heading 1"/>
    <w:basedOn w:val="Normal"/>
    <w:next w:val="Normal"/>
    <w:link w:val="Heading1Char"/>
    <w:uiPriority w:val="9"/>
    <w:qFormat/>
    <w:rsid w:val="00E77157"/>
    <w:pPr>
      <w:keepNext/>
      <w:keepLines/>
      <w:numPr>
        <w:numId w:val="7"/>
      </w:numPr>
      <w:outlineLvl w:val="0"/>
    </w:pPr>
    <w:rPr>
      <w:rFonts w:ascii="VIC Medium" w:eastAsia="MS Gothic" w:hAnsi="VIC Medium"/>
      <w:bCs/>
      <w:color w:val="003F72"/>
      <w:sz w:val="28"/>
      <w:szCs w:val="32"/>
    </w:rPr>
  </w:style>
  <w:style w:type="paragraph" w:styleId="Heading2">
    <w:name w:val="heading 2"/>
    <w:basedOn w:val="Numberedheadinglist"/>
    <w:next w:val="Normal"/>
    <w:link w:val="Heading2Char"/>
    <w:uiPriority w:val="9"/>
    <w:qFormat/>
    <w:rsid w:val="00570AA8"/>
    <w:pPr>
      <w:numPr>
        <w:ilvl w:val="1"/>
      </w:numPr>
      <w:outlineLvl w:val="1"/>
    </w:pPr>
    <w:rPr>
      <w:sz w:val="24"/>
      <w:szCs w:val="24"/>
    </w:rPr>
  </w:style>
  <w:style w:type="paragraph" w:styleId="Heading3">
    <w:name w:val="heading 3"/>
    <w:basedOn w:val="Numberedheadinglist"/>
    <w:next w:val="Normal"/>
    <w:link w:val="Heading3Char"/>
    <w:uiPriority w:val="9"/>
    <w:qFormat/>
    <w:rsid w:val="00341E57"/>
    <w:pPr>
      <w:numPr>
        <w:ilvl w:val="2"/>
      </w:numPr>
      <w:ind w:left="709" w:hanging="709"/>
      <w:outlineLvl w:val="2"/>
    </w:pPr>
    <w:rPr>
      <w:sz w:val="24"/>
      <w:szCs w:val="24"/>
    </w:rPr>
  </w:style>
  <w:style w:type="paragraph" w:styleId="Heading4">
    <w:name w:val="heading 4"/>
    <w:basedOn w:val="Normal"/>
    <w:next w:val="Normal"/>
    <w:link w:val="Heading4Char"/>
    <w:qFormat/>
    <w:rsid w:val="00AA7232"/>
    <w:pPr>
      <w:keepNext/>
      <w:keepLines/>
      <w:spacing w:before="80" w:after="80"/>
      <w:outlineLvl w:val="3"/>
    </w:pPr>
    <w:rPr>
      <w:rFonts w:eastAsia="MS Gothic"/>
      <w:b/>
      <w:bCs/>
      <w:i/>
      <w:iCs/>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uiPriority w:val="9"/>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unhideWhenUsed/>
    <w:qFormat/>
    <w:locked/>
    <w:rsid w:val="007500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8F445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77157"/>
    <w:rPr>
      <w:rFonts w:ascii="VIC Medium" w:eastAsia="MS Gothic" w:hAnsi="VIC Medium"/>
      <w:bCs/>
      <w:color w:val="003F72"/>
      <w:sz w:val="28"/>
      <w:szCs w:val="32"/>
      <w:lang w:eastAsia="en-US"/>
    </w:rPr>
  </w:style>
  <w:style w:type="character" w:customStyle="1" w:styleId="Heading2Char">
    <w:name w:val="Heading 2 Char"/>
    <w:basedOn w:val="DefaultParagraphFont"/>
    <w:link w:val="Heading2"/>
    <w:uiPriority w:val="9"/>
    <w:locked/>
    <w:rsid w:val="00570AA8"/>
    <w:rPr>
      <w:rFonts w:ascii="VIC Medium" w:eastAsia="MS Gothic" w:hAnsi="VIC Medium"/>
      <w:bCs/>
      <w:color w:val="003F72"/>
      <w:lang w:eastAsia="en-US"/>
    </w:rPr>
  </w:style>
  <w:style w:type="paragraph" w:customStyle="1" w:styleId="Body">
    <w:name w:val="Body"/>
    <w:basedOn w:val="Normal"/>
    <w:rsid w:val="00F53AD1"/>
    <w:pPr>
      <w:widowControl w:val="0"/>
      <w:autoSpaceDE w:val="0"/>
      <w:autoSpaceDN w:val="0"/>
      <w:adjustRightInd w:val="0"/>
      <w:spacing w:line="210" w:lineRule="exact"/>
    </w:pPr>
    <w:rPr>
      <w:rFonts w:cs="Interstate-Regular"/>
      <w:color w:val="000000"/>
      <w:sz w:val="18"/>
      <w:szCs w:val="17"/>
      <w:lang w:val="en-US" w:eastAsia="ja-JP"/>
    </w:rPr>
  </w:style>
  <w:style w:type="character" w:customStyle="1" w:styleId="Heading3Char">
    <w:name w:val="Heading 3 Char"/>
    <w:basedOn w:val="DefaultParagraphFont"/>
    <w:link w:val="Heading3"/>
    <w:uiPriority w:val="9"/>
    <w:locked/>
    <w:rsid w:val="00341E57"/>
    <w:rPr>
      <w:rFonts w:ascii="VIC Medium" w:eastAsia="MS Gothic" w:hAnsi="VIC Medium"/>
      <w:bCs/>
      <w:color w:val="003F72"/>
      <w:lang w:eastAsia="en-US"/>
    </w:rPr>
  </w:style>
  <w:style w:type="character" w:customStyle="1" w:styleId="Heading4Char">
    <w:name w:val="Heading 4 Char"/>
    <w:basedOn w:val="DefaultParagraphFont"/>
    <w:link w:val="Heading4"/>
    <w:locked/>
    <w:rsid w:val="00AA7232"/>
    <w:rPr>
      <w:rFonts w:ascii="VIC" w:eastAsia="MS Gothic" w:hAnsi="VIC"/>
      <w:b/>
      <w:bCs/>
      <w:i/>
      <w:iCs/>
      <w:sz w:val="22"/>
      <w:szCs w:val="22"/>
      <w:lang w:eastAsia="en-US"/>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uiPriority w:val="9"/>
    <w:locked/>
    <w:rsid w:val="005E724F"/>
    <w:rPr>
      <w:rFonts w:ascii="Arial" w:eastAsia="MS Gothic" w:hAnsi="Arial" w:cs="Times New Roman"/>
      <w:i/>
      <w:iCs/>
      <w:color w:val="243F60"/>
      <w:sz w:val="24"/>
      <w:szCs w:val="24"/>
      <w:lang w:val="x-none" w:eastAsia="en-US"/>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customStyle="1" w:styleId="Heading8Char">
    <w:name w:val="Heading 8 Char"/>
    <w:basedOn w:val="DefaultParagraphFont"/>
    <w:link w:val="Heading8"/>
    <w:rsid w:val="0075005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rsid w:val="008F4458"/>
    <w:rPr>
      <w:rFonts w:asciiTheme="majorHAnsi" w:eastAsiaTheme="majorEastAsia" w:hAnsiTheme="majorHAnsi" w:cstheme="majorBidi"/>
      <w:i/>
      <w:iCs/>
      <w:color w:val="404040" w:themeColor="text1" w:themeTint="BF"/>
      <w:sz w:val="20"/>
      <w:szCs w:val="20"/>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41"/>
    <w:rPr>
      <w:rFonts w:ascii="Lucida Grande" w:hAnsi="Lucida Grande"/>
      <w:sz w:val="18"/>
      <w:szCs w:val="18"/>
      <w:lang w:eastAsia="en-US"/>
    </w:rPr>
  </w:style>
  <w:style w:type="paragraph" w:styleId="Header">
    <w:name w:val="header"/>
    <w:aliases w:val="Disclaimer"/>
    <w:basedOn w:val="Normal"/>
    <w:link w:val="HeaderChar"/>
    <w:uiPriority w:val="99"/>
    <w:rsid w:val="00632399"/>
    <w:pPr>
      <w:tabs>
        <w:tab w:val="center" w:pos="4320"/>
        <w:tab w:val="right" w:pos="8640"/>
      </w:tabs>
    </w:pPr>
  </w:style>
  <w:style w:type="character" w:customStyle="1" w:styleId="HeaderChar">
    <w:name w:val="Header Char"/>
    <w:aliases w:val="Disclaimer Char"/>
    <w:basedOn w:val="DefaultParagraphFont"/>
    <w:link w:val="Header"/>
    <w:uiPriority w:val="99"/>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qFormat/>
    <w:rsid w:val="00FF613C"/>
    <w:pPr>
      <w:contextualSpacing/>
    </w:pPr>
    <w:rPr>
      <w:rFonts w:eastAsia="MS Gothic"/>
      <w:color w:val="003F72"/>
      <w:kern w:val="2"/>
      <w:sz w:val="56"/>
      <w:szCs w:val="52"/>
    </w:rPr>
  </w:style>
  <w:style w:type="character" w:customStyle="1" w:styleId="TitleChar">
    <w:name w:val="Title Char"/>
    <w:basedOn w:val="DefaultParagraphFont"/>
    <w:link w:val="Title"/>
    <w:locked/>
    <w:rsid w:val="00FF613C"/>
    <w:rPr>
      <w:rFonts w:ascii="Arial" w:eastAsia="MS Gothic" w:hAnsi="Arial"/>
      <w:color w:val="003F72"/>
      <w:kern w:val="2"/>
      <w:sz w:val="56"/>
      <w:szCs w:val="52"/>
      <w:lang w:val="en-AU" w:eastAsia="en-US" w:bidi="ar-SA"/>
    </w:rPr>
  </w:style>
  <w:style w:type="table" w:styleId="TableGrid">
    <w:name w:val="Table Grid"/>
    <w:basedOn w:val="TableNormal"/>
    <w:uiPriority w:val="39"/>
    <w:rsid w:val="007A4664"/>
    <w:rPr>
      <w:rFonts w:ascii="VIC" w:hAnsi="VIC"/>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styleId="PageNumber">
    <w:name w:val="page number"/>
    <w:basedOn w:val="DefaultParagraphFont"/>
    <w:semiHidden/>
    <w:rsid w:val="007A4664"/>
    <w:rPr>
      <w:rFonts w:ascii="VIC" w:hAnsi="VIC" w:cs="Times New Roman"/>
      <w:color w:val="auto"/>
      <w:sz w:val="28"/>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 w:val="18"/>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Graphheading">
    <w:name w:val="Graph heading"/>
    <w:basedOn w:val="Heading1"/>
    <w:rsid w:val="00522FFA"/>
    <w:rPr>
      <w:sz w:val="24"/>
    </w:rPr>
  </w:style>
  <w:style w:type="paragraph" w:customStyle="1" w:styleId="Tableheading">
    <w:name w:val="Table heading"/>
    <w:basedOn w:val="Heading1"/>
    <w:link w:val="TableheadingChar"/>
    <w:rsid w:val="00522FFA"/>
    <w:rPr>
      <w:sz w:val="24"/>
      <w:szCs w:val="24"/>
      <w:lang w:val="en-US" w:eastAsia="ja-JP"/>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Pagenumber0">
    <w:name w:val="Pagenumber"/>
    <w:basedOn w:val="PageNumber"/>
    <w:rsid w:val="007A4664"/>
    <w:rPr>
      <w:rFonts w:ascii="VIC" w:hAnsi="VIC" w:cs="Times New Roman"/>
      <w:color w:val="003F72"/>
      <w:sz w:val="28"/>
    </w:rPr>
  </w:style>
  <w:style w:type="paragraph" w:customStyle="1" w:styleId="StyleHeading1Before0pt">
    <w:name w:val="Style Heading 1 + Before:  0 pt"/>
    <w:basedOn w:val="Heading1"/>
    <w:rsid w:val="00522FFA"/>
    <w:rPr>
      <w:rFonts w:eastAsia="MS Mincho"/>
      <w:bCs w:val="0"/>
      <w:szCs w:val="20"/>
    </w:rPr>
  </w:style>
  <w:style w:type="character" w:styleId="Emphasis">
    <w:name w:val="Emphasis"/>
    <w:basedOn w:val="DefaultParagraphFont"/>
    <w:uiPriority w:val="20"/>
    <w:qFormat/>
    <w:locked/>
    <w:rsid w:val="007A4664"/>
    <w:rPr>
      <w:rFonts w:ascii="VIC" w:hAnsi="VIC"/>
      <w:i/>
      <w:iCs/>
    </w:rPr>
  </w:style>
  <w:style w:type="paragraph" w:styleId="Subtitle">
    <w:name w:val="Subtitle"/>
    <w:basedOn w:val="Normal"/>
    <w:next w:val="Normal"/>
    <w:link w:val="SubtitleChar"/>
    <w:uiPriority w:val="11"/>
    <w:qFormat/>
    <w:locked/>
    <w:rsid w:val="00DC0C1C"/>
    <w:pPr>
      <w:numPr>
        <w:ilvl w:val="1"/>
      </w:numPr>
    </w:pPr>
    <w:rPr>
      <w:rFonts w:eastAsiaTheme="majorEastAsia" w:cstheme="majorBidi"/>
      <w:i/>
      <w:iCs/>
      <w:color w:val="0083BE"/>
      <w:spacing w:val="15"/>
    </w:rPr>
  </w:style>
  <w:style w:type="character" w:customStyle="1" w:styleId="SubtitleChar">
    <w:name w:val="Subtitle Char"/>
    <w:basedOn w:val="DefaultParagraphFont"/>
    <w:link w:val="Subtitle"/>
    <w:uiPriority w:val="11"/>
    <w:rsid w:val="00DC0C1C"/>
    <w:rPr>
      <w:rFonts w:ascii="Arial" w:eastAsiaTheme="majorEastAsia" w:hAnsi="Arial" w:cstheme="majorBidi"/>
      <w:i/>
      <w:iCs/>
      <w:color w:val="0083BE"/>
      <w:spacing w:val="15"/>
      <w:sz w:val="24"/>
      <w:szCs w:val="24"/>
      <w:lang w:eastAsia="en-US"/>
    </w:rPr>
  </w:style>
  <w:style w:type="character" w:styleId="SubtleEmphasis">
    <w:name w:val="Subtle Emphasis"/>
    <w:basedOn w:val="DefaultParagraphFont"/>
    <w:uiPriority w:val="19"/>
    <w:qFormat/>
    <w:rsid w:val="007A4664"/>
    <w:rPr>
      <w:rFonts w:ascii="VIC" w:hAnsi="VIC"/>
      <w:i/>
      <w:iCs/>
      <w:color w:val="808080" w:themeColor="text1" w:themeTint="7F"/>
    </w:rPr>
  </w:style>
  <w:style w:type="character" w:styleId="IntenseEmphasis">
    <w:name w:val="Intense Emphasis"/>
    <w:basedOn w:val="DefaultParagraphFont"/>
    <w:uiPriority w:val="21"/>
    <w:qFormat/>
    <w:rsid w:val="007A4664"/>
    <w:rPr>
      <w:rFonts w:ascii="VIC" w:hAnsi="VIC"/>
      <w:b/>
      <w:bCs/>
      <w:i/>
      <w:iCs/>
      <w:color w:val="0083BE"/>
    </w:rPr>
  </w:style>
  <w:style w:type="paragraph" w:styleId="IntenseQuote">
    <w:name w:val="Intense Quote"/>
    <w:basedOn w:val="Normal"/>
    <w:next w:val="Normal"/>
    <w:link w:val="IntenseQuoteChar"/>
    <w:uiPriority w:val="30"/>
    <w:qFormat/>
    <w:rsid w:val="00DC0C1C"/>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DC0C1C"/>
    <w:rPr>
      <w:rFonts w:ascii="Arial" w:hAnsi="Arial"/>
      <w:b/>
      <w:bCs/>
      <w:i/>
      <w:iCs/>
      <w:color w:val="0083BE"/>
      <w:szCs w:val="24"/>
      <w:lang w:eastAsia="en-US"/>
    </w:rPr>
  </w:style>
  <w:style w:type="character" w:styleId="SubtleReference">
    <w:name w:val="Subtle Reference"/>
    <w:basedOn w:val="DefaultParagraphFont"/>
    <w:uiPriority w:val="31"/>
    <w:qFormat/>
    <w:rsid w:val="007A4664"/>
    <w:rPr>
      <w:rFonts w:ascii="VIC" w:hAnsi="VIC"/>
      <w:smallCaps/>
      <w:color w:val="003F72"/>
      <w:u w:val="single"/>
    </w:rPr>
  </w:style>
  <w:style w:type="character" w:styleId="IntenseReference">
    <w:name w:val="Intense Reference"/>
    <w:basedOn w:val="DefaultParagraphFont"/>
    <w:uiPriority w:val="32"/>
    <w:qFormat/>
    <w:rsid w:val="007A4664"/>
    <w:rPr>
      <w:rFonts w:ascii="VIC" w:hAnsi="VIC"/>
      <w:b/>
      <w:bCs/>
      <w:smallCaps/>
      <w:color w:val="003F72"/>
      <w:spacing w:val="5"/>
      <w:u w:val="single"/>
    </w:rPr>
  </w:style>
  <w:style w:type="character" w:styleId="BookTitle">
    <w:name w:val="Book Title"/>
    <w:basedOn w:val="DefaultParagraphFont"/>
    <w:uiPriority w:val="33"/>
    <w:qFormat/>
    <w:rsid w:val="00DC0C1C"/>
    <w:rPr>
      <w:rFonts w:ascii="Arial" w:hAnsi="Arial"/>
      <w:b/>
      <w:bCs/>
      <w:smallCaps/>
      <w:spacing w:val="5"/>
    </w:rPr>
  </w:style>
  <w:style w:type="character" w:styleId="Strong">
    <w:name w:val="Strong"/>
    <w:basedOn w:val="DefaultParagraphFont"/>
    <w:uiPriority w:val="22"/>
    <w:qFormat/>
    <w:locked/>
    <w:rsid w:val="007A4664"/>
    <w:rPr>
      <w:rFonts w:ascii="VIC" w:hAnsi="VIC"/>
      <w:b/>
      <w:bCs/>
      <w:i w:val="0"/>
    </w:rPr>
  </w:style>
  <w:style w:type="paragraph" w:styleId="ListParagraph">
    <w:name w:val="List Paragraph"/>
    <w:basedOn w:val="Normal"/>
    <w:link w:val="ListParagraphChar"/>
    <w:uiPriority w:val="34"/>
    <w:qFormat/>
    <w:rsid w:val="00C9506B"/>
    <w:pPr>
      <w:numPr>
        <w:numId w:val="3"/>
      </w:numPr>
      <w:spacing w:after="160" w:line="259" w:lineRule="auto"/>
      <w:contextualSpacing/>
    </w:pPr>
    <w:rPr>
      <w:rFonts w:eastAsiaTheme="minorHAnsi" w:cstheme="minorBidi"/>
      <w:lang w:val="en-US"/>
    </w:rPr>
  </w:style>
  <w:style w:type="character" w:customStyle="1" w:styleId="ListParagraphChar">
    <w:name w:val="List Paragraph Char"/>
    <w:basedOn w:val="DefaultParagraphFont"/>
    <w:link w:val="ListParagraph"/>
    <w:uiPriority w:val="34"/>
    <w:rsid w:val="003F2451"/>
    <w:rPr>
      <w:rFonts w:ascii="VIC" w:eastAsiaTheme="minorHAnsi" w:hAnsi="VIC" w:cstheme="minorBidi"/>
      <w:sz w:val="22"/>
      <w:szCs w:val="22"/>
      <w:lang w:val="en-US" w:eastAsia="en-US"/>
    </w:rPr>
  </w:style>
  <w:style w:type="paragraph" w:customStyle="1" w:styleId="BodyText1">
    <w:name w:val="Body Text1"/>
    <w:basedOn w:val="Normal"/>
    <w:link w:val="BodytextChar"/>
    <w:rsid w:val="00CF1F41"/>
    <w:pPr>
      <w:spacing w:after="80" w:line="220" w:lineRule="exact"/>
    </w:pPr>
    <w:rPr>
      <w:rFonts w:eastAsia="Times New Roman"/>
      <w:sz w:val="18"/>
      <w:szCs w:val="20"/>
    </w:rPr>
  </w:style>
  <w:style w:type="character" w:styleId="CommentReference">
    <w:name w:val="annotation reference"/>
    <w:semiHidden/>
    <w:rsid w:val="00CF1F41"/>
    <w:rPr>
      <w:sz w:val="16"/>
      <w:szCs w:val="16"/>
    </w:rPr>
  </w:style>
  <w:style w:type="paragraph" w:styleId="CommentText">
    <w:name w:val="annotation text"/>
    <w:basedOn w:val="Normal"/>
    <w:link w:val="CommentTextChar"/>
    <w:uiPriority w:val="99"/>
    <w:rsid w:val="00CF1F41"/>
    <w:pPr>
      <w:spacing w:after="80" w:line="220" w:lineRule="exact"/>
    </w:pPr>
    <w:rPr>
      <w:rFonts w:eastAsia="Times New Roman"/>
      <w:szCs w:val="20"/>
    </w:rPr>
  </w:style>
  <w:style w:type="character" w:customStyle="1" w:styleId="CommentTextChar">
    <w:name w:val="Comment Text Char"/>
    <w:basedOn w:val="DefaultParagraphFont"/>
    <w:link w:val="CommentText"/>
    <w:uiPriority w:val="99"/>
    <w:rsid w:val="00CF1F41"/>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CF1F41"/>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CF1F41"/>
    <w:rPr>
      <w:rFonts w:asciiTheme="minorHAnsi" w:eastAsiaTheme="minorHAnsi" w:hAnsiTheme="minorHAnsi" w:cstheme="minorBidi"/>
      <w:b/>
      <w:bCs/>
      <w:lang w:val="en-US" w:eastAsia="en-US"/>
    </w:rPr>
  </w:style>
  <w:style w:type="paragraph" w:customStyle="1" w:styleId="Tabletext0">
    <w:name w:val="Table text"/>
    <w:basedOn w:val="BodyText1"/>
    <w:qFormat/>
    <w:rsid w:val="00CF1F4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CF1F41"/>
    <w:pPr>
      <w:spacing w:after="80" w:line="220" w:lineRule="exact"/>
    </w:pPr>
    <w:rPr>
      <w:rFonts w:eastAsia="Times New Roman"/>
      <w:sz w:val="18"/>
      <w:szCs w:val="20"/>
    </w:rPr>
  </w:style>
  <w:style w:type="character" w:styleId="Hyperlink">
    <w:name w:val="Hyperlink"/>
    <w:uiPriority w:val="99"/>
    <w:rsid w:val="00924E83"/>
    <w:rPr>
      <w:rFonts w:ascii="VIC" w:hAnsi="VIC"/>
      <w:b w:val="0"/>
      <w:i w:val="0"/>
      <w:color w:val="0000FF"/>
      <w:u w:val="single"/>
    </w:rPr>
  </w:style>
  <w:style w:type="paragraph" w:customStyle="1" w:styleId="Definition">
    <w:name w:val="Definition"/>
    <w:basedOn w:val="BodyText2"/>
    <w:rsid w:val="00CF1F4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CF1F41"/>
    <w:rPr>
      <w:rFonts w:asciiTheme="minorHAnsi" w:eastAsiaTheme="minorHAnsi" w:hAnsiTheme="minorHAnsi" w:cstheme="minorBidi"/>
      <w:sz w:val="22"/>
      <w:szCs w:val="22"/>
      <w:lang w:val="en-US" w:eastAsia="en-US"/>
    </w:rPr>
  </w:style>
  <w:style w:type="paragraph" w:customStyle="1" w:styleId="BodyText3">
    <w:name w:val="Body Text3"/>
    <w:basedOn w:val="Normal"/>
    <w:rsid w:val="00CF1F41"/>
    <w:pPr>
      <w:spacing w:after="80" w:line="220" w:lineRule="exact"/>
    </w:pPr>
    <w:rPr>
      <w:rFonts w:eastAsia="Times New Roman"/>
      <w:sz w:val="18"/>
      <w:szCs w:val="20"/>
    </w:rPr>
  </w:style>
  <w:style w:type="character" w:customStyle="1" w:styleId="eop">
    <w:name w:val="eop"/>
    <w:basedOn w:val="DefaultParagraphFont"/>
    <w:rsid w:val="00CF1F41"/>
  </w:style>
  <w:style w:type="paragraph" w:styleId="NormalWeb">
    <w:name w:val="Normal (Web)"/>
    <w:basedOn w:val="Normal"/>
    <w:uiPriority w:val="99"/>
    <w:unhideWhenUsed/>
    <w:rsid w:val="007A4664"/>
    <w:pPr>
      <w:spacing w:before="100" w:beforeAutospacing="1" w:after="100" w:afterAutospacing="1"/>
    </w:pPr>
    <w:rPr>
      <w:rFonts w:eastAsia="Times New Roman"/>
      <w:lang w:eastAsia="en-AU"/>
    </w:rPr>
  </w:style>
  <w:style w:type="paragraph" w:customStyle="1" w:styleId="Default">
    <w:name w:val="Default"/>
    <w:rsid w:val="00CF1F41"/>
    <w:pPr>
      <w:autoSpaceDE w:val="0"/>
      <w:autoSpaceDN w:val="0"/>
      <w:adjustRightInd w:val="0"/>
    </w:pPr>
    <w:rPr>
      <w:rFonts w:eastAsiaTheme="minorHAnsi"/>
      <w:color w:val="000000"/>
      <w:lang w:eastAsia="en-US"/>
    </w:rPr>
  </w:style>
  <w:style w:type="paragraph" w:customStyle="1" w:styleId="BodyText">
    <w:name w:val="_BodyText"/>
    <w:basedOn w:val="Normal"/>
    <w:rsid w:val="00CF1F41"/>
    <w:rPr>
      <w:rFonts w:ascii="Calibri" w:eastAsiaTheme="minorHAnsi" w:hAnsi="Calibri" w:cs="Calibri"/>
      <w:color w:val="474749"/>
      <w:sz w:val="21"/>
      <w:szCs w:val="21"/>
    </w:rPr>
  </w:style>
  <w:style w:type="paragraph" w:customStyle="1" w:styleId="Bullet1">
    <w:name w:val="_Bullet1"/>
    <w:basedOn w:val="Normal"/>
    <w:rsid w:val="00CF1F41"/>
    <w:pPr>
      <w:numPr>
        <w:numId w:val="1"/>
      </w:numPr>
      <w:contextualSpacing/>
    </w:pPr>
    <w:rPr>
      <w:rFonts w:ascii="Calibri" w:eastAsiaTheme="minorHAnsi" w:hAnsi="Calibri" w:cs="Calibri"/>
      <w:color w:val="464749"/>
      <w:sz w:val="21"/>
      <w:szCs w:val="21"/>
    </w:rPr>
  </w:style>
  <w:style w:type="paragraph" w:styleId="FootnoteText">
    <w:name w:val="footnote text"/>
    <w:basedOn w:val="Normal"/>
    <w:link w:val="FootnoteTextChar"/>
    <w:uiPriority w:val="99"/>
    <w:semiHidden/>
    <w:unhideWhenUsed/>
    <w:rsid w:val="00CF1F41"/>
    <w:rPr>
      <w:rFonts w:asciiTheme="minorHAnsi" w:eastAsiaTheme="minorHAnsi" w:hAnsiTheme="minorHAnsi" w:cstheme="minorBidi"/>
      <w:szCs w:val="20"/>
      <w:lang w:val="en-US"/>
    </w:rPr>
  </w:style>
  <w:style w:type="character" w:customStyle="1" w:styleId="FootnoteTextChar">
    <w:name w:val="Footnote Text Char"/>
    <w:basedOn w:val="DefaultParagraphFont"/>
    <w:link w:val="FootnoteText"/>
    <w:uiPriority w:val="99"/>
    <w:semiHidden/>
    <w:rsid w:val="00CF1F4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CF1F41"/>
    <w:rPr>
      <w:vertAlign w:val="superscript"/>
    </w:rPr>
  </w:style>
  <w:style w:type="character" w:styleId="FollowedHyperlink">
    <w:name w:val="FollowedHyperlink"/>
    <w:basedOn w:val="DefaultParagraphFont"/>
    <w:uiPriority w:val="99"/>
    <w:semiHidden/>
    <w:unhideWhenUsed/>
    <w:rsid w:val="007A4664"/>
    <w:rPr>
      <w:rFonts w:ascii="VIC" w:hAnsi="VIC"/>
      <w:color w:val="00B4E1" w:themeColor="followedHyperlink"/>
      <w:u w:val="single"/>
    </w:rPr>
  </w:style>
  <w:style w:type="paragraph" w:customStyle="1" w:styleId="Content">
    <w:name w:val="Content"/>
    <w:qFormat/>
    <w:rsid w:val="00CF1F41"/>
    <w:rPr>
      <w:rFonts w:asciiTheme="minorHAnsi" w:eastAsiaTheme="minorEastAsia" w:hAnsiTheme="minorHAnsi" w:cstheme="minorBidi"/>
      <w:lang w:eastAsia="en-US"/>
    </w:rPr>
  </w:style>
  <w:style w:type="paragraph" w:customStyle="1" w:styleId="BBullet">
    <w:name w:val="BBullet"/>
    <w:qFormat/>
    <w:rsid w:val="006E1AE3"/>
    <w:pPr>
      <w:numPr>
        <w:numId w:val="2"/>
      </w:numPr>
    </w:pPr>
    <w:rPr>
      <w:rFonts w:ascii="VIC" w:eastAsiaTheme="minorEastAsia" w:hAnsi="VIC" w:cstheme="minorBidi"/>
      <w:sz w:val="22"/>
      <w:szCs w:val="22"/>
      <w:lang w:eastAsia="en-US"/>
    </w:rPr>
  </w:style>
  <w:style w:type="character" w:customStyle="1" w:styleId="advancedproofingissue">
    <w:name w:val="advancedproofingissue"/>
    <w:basedOn w:val="DefaultParagraphFont"/>
    <w:rsid w:val="00CF1F41"/>
  </w:style>
  <w:style w:type="character" w:customStyle="1" w:styleId="Mention1">
    <w:name w:val="Mention1"/>
    <w:basedOn w:val="DefaultParagraphFont"/>
    <w:uiPriority w:val="99"/>
    <w:unhideWhenUsed/>
    <w:rsid w:val="00CF1F41"/>
    <w:rPr>
      <w:color w:val="2B579A"/>
      <w:shd w:val="clear" w:color="auto" w:fill="E6E6E6"/>
    </w:rPr>
  </w:style>
  <w:style w:type="paragraph" w:styleId="TOCHeading">
    <w:name w:val="TOC Heading"/>
    <w:basedOn w:val="Heading1"/>
    <w:next w:val="Normal"/>
    <w:uiPriority w:val="39"/>
    <w:unhideWhenUsed/>
    <w:qFormat/>
    <w:rsid w:val="00ED630B"/>
    <w:pPr>
      <w:spacing w:after="180" w:line="259" w:lineRule="auto"/>
      <w:outlineLvl w:val="9"/>
    </w:pPr>
    <w:rPr>
      <w:rFonts w:eastAsiaTheme="majorEastAsia" w:cstheme="majorBidi"/>
      <w:bCs w:val="0"/>
      <w:color w:val="0086A8" w:themeColor="accent1" w:themeShade="BF"/>
      <w:sz w:val="32"/>
      <w:lang w:val="en-US"/>
    </w:rPr>
  </w:style>
  <w:style w:type="paragraph" w:styleId="TOC1">
    <w:name w:val="toc 1"/>
    <w:basedOn w:val="Normal"/>
    <w:next w:val="Normal"/>
    <w:autoRedefine/>
    <w:uiPriority w:val="39"/>
    <w:unhideWhenUsed/>
    <w:locked/>
    <w:rsid w:val="00F46C15"/>
    <w:pPr>
      <w:tabs>
        <w:tab w:val="left" w:pos="440"/>
        <w:tab w:val="right" w:leader="dot" w:pos="10166"/>
      </w:tabs>
      <w:spacing w:after="0"/>
    </w:pPr>
    <w:rPr>
      <w:rFonts w:ascii="VIC Medium" w:hAnsi="VIC Medium"/>
      <w:color w:val="003F72"/>
      <w:sz w:val="24"/>
      <w:szCs w:val="24"/>
    </w:rPr>
  </w:style>
  <w:style w:type="paragraph" w:styleId="TOC2">
    <w:name w:val="toc 2"/>
    <w:basedOn w:val="TOC1"/>
    <w:next w:val="Normal"/>
    <w:autoRedefine/>
    <w:uiPriority w:val="39"/>
    <w:unhideWhenUsed/>
    <w:locked/>
    <w:rsid w:val="00256404"/>
    <w:rPr>
      <w:noProof/>
    </w:rPr>
  </w:style>
  <w:style w:type="paragraph" w:styleId="TOC3">
    <w:name w:val="toc 3"/>
    <w:basedOn w:val="TOC2"/>
    <w:next w:val="Normal"/>
    <w:autoRedefine/>
    <w:uiPriority w:val="39"/>
    <w:unhideWhenUsed/>
    <w:locked/>
    <w:rsid w:val="00F46C15"/>
    <w:pPr>
      <w:tabs>
        <w:tab w:val="decimal" w:pos="440"/>
      </w:tabs>
    </w:pPr>
  </w:style>
  <w:style w:type="paragraph" w:styleId="TOC4">
    <w:name w:val="toc 4"/>
    <w:basedOn w:val="Normal"/>
    <w:next w:val="Normal"/>
    <w:autoRedefine/>
    <w:uiPriority w:val="39"/>
    <w:unhideWhenUsed/>
    <w:locked/>
    <w:rsid w:val="0090276B"/>
    <w:pPr>
      <w:spacing w:after="0"/>
      <w:ind w:left="660"/>
    </w:pPr>
    <w:rPr>
      <w:rFonts w:asciiTheme="minorHAnsi" w:hAnsiTheme="minorHAnsi"/>
      <w:sz w:val="20"/>
      <w:szCs w:val="20"/>
    </w:rPr>
  </w:style>
  <w:style w:type="paragraph" w:styleId="TOC5">
    <w:name w:val="toc 5"/>
    <w:basedOn w:val="Normal"/>
    <w:next w:val="Normal"/>
    <w:autoRedefine/>
    <w:uiPriority w:val="39"/>
    <w:unhideWhenUsed/>
    <w:locked/>
    <w:rsid w:val="0090276B"/>
    <w:pPr>
      <w:spacing w:after="0"/>
      <w:ind w:left="880"/>
    </w:pPr>
    <w:rPr>
      <w:rFonts w:asciiTheme="minorHAnsi" w:hAnsiTheme="minorHAnsi"/>
      <w:sz w:val="20"/>
      <w:szCs w:val="20"/>
    </w:rPr>
  </w:style>
  <w:style w:type="paragraph" w:styleId="TOC6">
    <w:name w:val="toc 6"/>
    <w:basedOn w:val="Normal"/>
    <w:next w:val="Normal"/>
    <w:autoRedefine/>
    <w:uiPriority w:val="39"/>
    <w:unhideWhenUsed/>
    <w:locked/>
    <w:rsid w:val="0090276B"/>
    <w:pPr>
      <w:spacing w:after="0"/>
      <w:ind w:left="1100"/>
    </w:pPr>
    <w:rPr>
      <w:rFonts w:asciiTheme="minorHAnsi" w:hAnsiTheme="minorHAnsi"/>
      <w:sz w:val="20"/>
      <w:szCs w:val="20"/>
    </w:rPr>
  </w:style>
  <w:style w:type="paragraph" w:styleId="TOC7">
    <w:name w:val="toc 7"/>
    <w:basedOn w:val="Normal"/>
    <w:next w:val="Normal"/>
    <w:autoRedefine/>
    <w:uiPriority w:val="39"/>
    <w:unhideWhenUsed/>
    <w:locked/>
    <w:rsid w:val="0090276B"/>
    <w:pPr>
      <w:spacing w:after="0"/>
      <w:ind w:left="1320"/>
    </w:pPr>
    <w:rPr>
      <w:rFonts w:asciiTheme="minorHAnsi" w:hAnsiTheme="minorHAnsi"/>
      <w:sz w:val="20"/>
      <w:szCs w:val="20"/>
    </w:rPr>
  </w:style>
  <w:style w:type="paragraph" w:styleId="TOC8">
    <w:name w:val="toc 8"/>
    <w:basedOn w:val="Normal"/>
    <w:next w:val="Normal"/>
    <w:autoRedefine/>
    <w:uiPriority w:val="39"/>
    <w:unhideWhenUsed/>
    <w:locked/>
    <w:rsid w:val="0090276B"/>
    <w:pPr>
      <w:spacing w:after="0"/>
      <w:ind w:left="1540"/>
    </w:pPr>
    <w:rPr>
      <w:rFonts w:asciiTheme="minorHAnsi" w:hAnsiTheme="minorHAnsi"/>
      <w:sz w:val="20"/>
      <w:szCs w:val="20"/>
    </w:rPr>
  </w:style>
  <w:style w:type="paragraph" w:styleId="TOC9">
    <w:name w:val="toc 9"/>
    <w:basedOn w:val="Normal"/>
    <w:next w:val="Normal"/>
    <w:autoRedefine/>
    <w:uiPriority w:val="39"/>
    <w:unhideWhenUsed/>
    <w:locked/>
    <w:rsid w:val="0090276B"/>
    <w:pPr>
      <w:spacing w:after="0"/>
      <w:ind w:left="1760"/>
    </w:pPr>
    <w:rPr>
      <w:rFonts w:asciiTheme="minorHAnsi" w:hAnsiTheme="minorHAnsi"/>
      <w:sz w:val="20"/>
      <w:szCs w:val="20"/>
    </w:rPr>
  </w:style>
  <w:style w:type="paragraph" w:styleId="Caption">
    <w:name w:val="caption"/>
    <w:basedOn w:val="Normal"/>
    <w:next w:val="Normal"/>
    <w:uiPriority w:val="35"/>
    <w:unhideWhenUsed/>
    <w:qFormat/>
    <w:locked/>
    <w:rsid w:val="00C43ABE"/>
    <w:rPr>
      <w:b/>
      <w:bCs/>
      <w:i/>
      <w:iCs/>
    </w:rPr>
  </w:style>
  <w:style w:type="character" w:customStyle="1" w:styleId="Mention2">
    <w:name w:val="Mention2"/>
    <w:basedOn w:val="DefaultParagraphFont"/>
    <w:uiPriority w:val="99"/>
    <w:unhideWhenUsed/>
    <w:rsid w:val="00CE1AC1"/>
    <w:rPr>
      <w:color w:val="2B579A"/>
      <w:shd w:val="clear" w:color="auto" w:fill="E1DFDD"/>
    </w:rPr>
  </w:style>
  <w:style w:type="paragraph" w:styleId="DocumentMap">
    <w:name w:val="Document Map"/>
    <w:basedOn w:val="Normal"/>
    <w:link w:val="DocumentMapChar"/>
    <w:semiHidden/>
    <w:unhideWhenUsed/>
    <w:rsid w:val="007A4664"/>
    <w:rPr>
      <w:rFonts w:cs="Lucida Grande"/>
    </w:rPr>
  </w:style>
  <w:style w:type="character" w:customStyle="1" w:styleId="DocumentMapChar">
    <w:name w:val="Document Map Char"/>
    <w:basedOn w:val="DefaultParagraphFont"/>
    <w:link w:val="DocumentMap"/>
    <w:semiHidden/>
    <w:rsid w:val="007A4664"/>
    <w:rPr>
      <w:rFonts w:ascii="VIC" w:hAnsi="VIC" w:cs="Lucida Grande"/>
      <w:sz w:val="22"/>
      <w:szCs w:val="22"/>
      <w:lang w:eastAsia="en-US"/>
    </w:rPr>
  </w:style>
  <w:style w:type="character" w:styleId="Mention">
    <w:name w:val="Mention"/>
    <w:basedOn w:val="DefaultParagraphFont"/>
    <w:uiPriority w:val="99"/>
    <w:semiHidden/>
    <w:unhideWhenUsed/>
    <w:rsid w:val="009A1584"/>
    <w:rPr>
      <w:color w:val="2B579A"/>
      <w:shd w:val="clear" w:color="auto" w:fill="E6E6E6"/>
    </w:rPr>
  </w:style>
  <w:style w:type="paragraph" w:customStyle="1" w:styleId="Tableheaderrow0">
    <w:name w:val="Table header row"/>
    <w:basedOn w:val="Heading3"/>
    <w:link w:val="TableheaderrowChar"/>
    <w:qFormat/>
    <w:rsid w:val="009A1584"/>
    <w:rPr>
      <w:color w:val="FFFFFF" w:themeColor="background1"/>
    </w:rPr>
  </w:style>
  <w:style w:type="paragraph" w:customStyle="1" w:styleId="Numberedheadinglist">
    <w:name w:val="Numbered heading list"/>
    <w:basedOn w:val="Heading1"/>
    <w:link w:val="NumberedheadinglistChar"/>
    <w:qFormat/>
    <w:rsid w:val="00C9506B"/>
  </w:style>
  <w:style w:type="character" w:customStyle="1" w:styleId="TableheadingChar">
    <w:name w:val="Table heading Char"/>
    <w:basedOn w:val="Heading1Char"/>
    <w:link w:val="Tableheading"/>
    <w:rsid w:val="009A1584"/>
    <w:rPr>
      <w:rFonts w:ascii="VIC Medium" w:eastAsia="MS Gothic" w:hAnsi="VIC Medium"/>
      <w:bCs/>
      <w:color w:val="003F72"/>
      <w:sz w:val="28"/>
      <w:szCs w:val="32"/>
      <w:lang w:val="en-US" w:eastAsia="ja-JP"/>
    </w:rPr>
  </w:style>
  <w:style w:type="character" w:customStyle="1" w:styleId="TableheaderrowChar">
    <w:name w:val="Table header row Char"/>
    <w:basedOn w:val="TableheadingChar"/>
    <w:link w:val="Tableheaderrow0"/>
    <w:rsid w:val="002764E4"/>
    <w:rPr>
      <w:rFonts w:ascii="VIC Medium" w:eastAsia="MS Gothic" w:hAnsi="VIC Medium"/>
      <w:bCs/>
      <w:color w:val="FFFFFF" w:themeColor="background1"/>
      <w:sz w:val="28"/>
      <w:szCs w:val="32"/>
      <w:lang w:val="en-US" w:eastAsia="en-US"/>
    </w:rPr>
  </w:style>
  <w:style w:type="paragraph" w:customStyle="1" w:styleId="Figure">
    <w:name w:val="Figure"/>
    <w:basedOn w:val="Normal"/>
    <w:link w:val="FigureChar"/>
    <w:qFormat/>
    <w:rsid w:val="00352BCC"/>
  </w:style>
  <w:style w:type="character" w:customStyle="1" w:styleId="NumberedheadinglistChar">
    <w:name w:val="Numbered heading list Char"/>
    <w:basedOn w:val="Heading1Char"/>
    <w:link w:val="Numberedheadinglist"/>
    <w:rsid w:val="00C9506B"/>
    <w:rPr>
      <w:rFonts w:ascii="VIC Medium" w:eastAsia="MS Gothic" w:hAnsi="VIC Medium"/>
      <w:bCs/>
      <w:color w:val="003F72"/>
      <w:sz w:val="28"/>
      <w:szCs w:val="32"/>
      <w:lang w:eastAsia="en-US"/>
    </w:rPr>
  </w:style>
  <w:style w:type="numbering" w:customStyle="1" w:styleId="Numberedheadinglevel114ptlevel212pt">
    <w:name w:val="Numbered heading level 1 14pt level 2 12pt"/>
    <w:uiPriority w:val="99"/>
    <w:rsid w:val="00AC0029"/>
    <w:pPr>
      <w:numPr>
        <w:numId w:val="4"/>
      </w:numPr>
    </w:pPr>
  </w:style>
  <w:style w:type="character" w:customStyle="1" w:styleId="FigureChar">
    <w:name w:val="Figure Char"/>
    <w:basedOn w:val="DefaultParagraphFont"/>
    <w:link w:val="Figure"/>
    <w:rsid w:val="00352BCC"/>
    <w:rPr>
      <w:rFonts w:ascii="VIC" w:hAnsi="VIC"/>
      <w:sz w:val="22"/>
      <w:szCs w:val="22"/>
      <w:lang w:eastAsia="en-US"/>
    </w:rPr>
  </w:style>
  <w:style w:type="numbering" w:customStyle="1" w:styleId="Numberedheadingslevels1to9">
    <w:name w:val="Numbered headings levels 1 to 9"/>
    <w:uiPriority w:val="99"/>
    <w:rsid w:val="00AC0029"/>
    <w:pPr>
      <w:numPr>
        <w:numId w:val="5"/>
      </w:numPr>
    </w:pPr>
  </w:style>
  <w:style w:type="numbering" w:customStyle="1" w:styleId="Numberedheadinglistlevel2onwards">
    <w:name w:val="Numbered heading list level 2 onwards"/>
    <w:uiPriority w:val="99"/>
    <w:rsid w:val="00C9506B"/>
    <w:pPr>
      <w:numPr>
        <w:numId w:val="6"/>
      </w:numPr>
    </w:pPr>
  </w:style>
  <w:style w:type="character" w:styleId="UnresolvedMention">
    <w:name w:val="Unresolved Mention"/>
    <w:basedOn w:val="DefaultParagraphFont"/>
    <w:uiPriority w:val="99"/>
    <w:semiHidden/>
    <w:unhideWhenUsed/>
    <w:rsid w:val="000D3C11"/>
    <w:rPr>
      <w:color w:val="605E5C"/>
      <w:shd w:val="clear" w:color="auto" w:fill="E1DFDD"/>
    </w:rPr>
  </w:style>
  <w:style w:type="paragraph" w:styleId="NoSpacing">
    <w:name w:val="No Spacing"/>
    <w:uiPriority w:val="1"/>
    <w:qFormat/>
    <w:rsid w:val="006C4A02"/>
    <w:rPr>
      <w:rFonts w:ascii="Arial" w:hAnsi="Arial"/>
      <w:sz w:val="18"/>
      <w:lang w:eastAsia="en-US"/>
    </w:rPr>
  </w:style>
  <w:style w:type="paragraph" w:customStyle="1" w:styleId="Bulletbody">
    <w:name w:val="Bullet body"/>
    <w:basedOn w:val="BodyText1"/>
    <w:rsid w:val="00711ADE"/>
    <w:pPr>
      <w:spacing w:after="40"/>
    </w:pPr>
    <w:rPr>
      <w:rFonts w:ascii="Interstate-Light" w:hAnsi="Interstate-Light"/>
    </w:rPr>
  </w:style>
  <w:style w:type="character" w:customStyle="1" w:styleId="BodytextChar">
    <w:name w:val="Body text Char"/>
    <w:link w:val="BodyText1"/>
    <w:rsid w:val="007132FA"/>
    <w:rPr>
      <w:rFonts w:ascii="VIC" w:eastAsia="Times New Roman" w:hAnsi="VIC"/>
      <w:sz w:val="18"/>
      <w:szCs w:val="20"/>
      <w:lang w:eastAsia="en-US"/>
    </w:rPr>
  </w:style>
  <w:style w:type="paragraph" w:customStyle="1" w:styleId="Tablehead">
    <w:name w:val="Table head"/>
    <w:basedOn w:val="Normal"/>
    <w:rsid w:val="00B84539"/>
    <w:pPr>
      <w:spacing w:line="210" w:lineRule="exact"/>
      <w:jc w:val="center"/>
    </w:pPr>
    <w:rPr>
      <w:rFonts w:ascii="MetaBold-Roman" w:eastAsia="Times New Roman" w:hAnsi="MetaBold-Roman"/>
      <w:color w:val="666699"/>
      <w:sz w:val="18"/>
      <w:szCs w:val="20"/>
    </w:rPr>
  </w:style>
  <w:style w:type="paragraph" w:customStyle="1" w:styleId="TableTitle">
    <w:name w:val="Table Title"/>
    <w:basedOn w:val="Normal"/>
    <w:next w:val="Normal"/>
    <w:rsid w:val="00B84539"/>
    <w:pPr>
      <w:spacing w:line="280" w:lineRule="exact"/>
      <w:ind w:left="1702" w:hanging="1418"/>
    </w:pPr>
    <w:rPr>
      <w:rFonts w:ascii="Arial" w:eastAsia="Times New Roman" w:hAnsi="Arial"/>
      <w:b/>
      <w:sz w:val="20"/>
      <w:szCs w:val="24"/>
    </w:rPr>
  </w:style>
  <w:style w:type="paragraph" w:customStyle="1" w:styleId="Titlesecondarypage">
    <w:name w:val="Title secondary page"/>
    <w:basedOn w:val="Normal"/>
    <w:autoRedefine/>
    <w:rsid w:val="00924E83"/>
    <w:rPr>
      <w:rFonts w:asciiTheme="majorHAnsi" w:hAnsiTheme="majorHAnsi" w:cs="Interstate-Regular"/>
      <w:color w:val="003F72"/>
      <w:sz w:val="28"/>
      <w:szCs w:val="32"/>
      <w:lang w:eastAsia="ja-JP"/>
    </w:rPr>
  </w:style>
  <w:style w:type="table" w:styleId="ListTable3-Accent1">
    <w:name w:val="List Table 3 Accent 1"/>
    <w:basedOn w:val="TableNormal"/>
    <w:uiPriority w:val="48"/>
    <w:rsid w:val="0050220C"/>
    <w:rPr>
      <w:sz w:val="20"/>
      <w:szCs w:val="20"/>
    </w:rPr>
    <w:tblPr>
      <w:tblStyleRowBandSize w:val="1"/>
      <w:tblStyleColBandSize w:val="1"/>
      <w:tblBorders>
        <w:top w:val="single" w:sz="4" w:space="0" w:color="00B4E1" w:themeColor="accent1"/>
        <w:left w:val="single" w:sz="4" w:space="0" w:color="00B4E1" w:themeColor="accent1"/>
        <w:bottom w:val="single" w:sz="4" w:space="0" w:color="00B4E1" w:themeColor="accent1"/>
        <w:right w:val="single" w:sz="4" w:space="0" w:color="00B4E1" w:themeColor="accent1"/>
      </w:tblBorders>
    </w:tblPr>
    <w:tblStylePr w:type="firstRow">
      <w:rPr>
        <w:b/>
        <w:bCs/>
        <w:color w:val="FFFFFF" w:themeColor="background1"/>
      </w:rPr>
      <w:tblPr/>
      <w:tcPr>
        <w:shd w:val="clear" w:color="auto" w:fill="00B4E1" w:themeFill="accent1"/>
      </w:tcPr>
    </w:tblStylePr>
    <w:tblStylePr w:type="lastRow">
      <w:rPr>
        <w:b/>
        <w:bCs/>
      </w:rPr>
      <w:tblPr/>
      <w:tcPr>
        <w:tcBorders>
          <w:top w:val="double" w:sz="4" w:space="0" w:color="00B4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1" w:themeColor="accent1"/>
          <w:right w:val="single" w:sz="4" w:space="0" w:color="00B4E1" w:themeColor="accent1"/>
        </w:tcBorders>
      </w:tcPr>
    </w:tblStylePr>
    <w:tblStylePr w:type="band1Horz">
      <w:tblPr/>
      <w:tcPr>
        <w:tcBorders>
          <w:top w:val="single" w:sz="4" w:space="0" w:color="00B4E1" w:themeColor="accent1"/>
          <w:bottom w:val="single" w:sz="4" w:space="0" w:color="00B4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1" w:themeColor="accent1"/>
          <w:left w:val="nil"/>
        </w:tcBorders>
      </w:tcPr>
    </w:tblStylePr>
    <w:tblStylePr w:type="swCell">
      <w:tblPr/>
      <w:tcPr>
        <w:tcBorders>
          <w:top w:val="double" w:sz="4" w:space="0" w:color="00B4E1" w:themeColor="accent1"/>
          <w:right w:val="nil"/>
        </w:tcBorders>
      </w:tcPr>
    </w:tblStylePr>
  </w:style>
  <w:style w:type="numbering" w:customStyle="1" w:styleId="Style7">
    <w:name w:val="Style7"/>
    <w:uiPriority w:val="99"/>
    <w:rsid w:val="003B0CED"/>
    <w:pPr>
      <w:numPr>
        <w:numId w:val="17"/>
      </w:numPr>
    </w:pPr>
  </w:style>
  <w:style w:type="paragraph" w:customStyle="1" w:styleId="SEPPClause">
    <w:name w:val="SEPP Clause"/>
    <w:basedOn w:val="Normal"/>
    <w:rsid w:val="00131F19"/>
    <w:pPr>
      <w:tabs>
        <w:tab w:val="left" w:pos="1134"/>
      </w:tabs>
      <w:spacing w:after="160"/>
      <w:ind w:left="567"/>
      <w:jc w:val="both"/>
    </w:pPr>
    <w:rPr>
      <w:rFonts w:ascii="Times New Roman" w:eastAsia="Times New Roman" w:hAnsi="Times New Roman"/>
      <w:szCs w:val="20"/>
    </w:rPr>
  </w:style>
  <w:style w:type="paragraph" w:styleId="TableofFigures">
    <w:name w:val="table of figures"/>
    <w:basedOn w:val="Normal"/>
    <w:next w:val="Normal"/>
    <w:uiPriority w:val="99"/>
    <w:unhideWhenUsed/>
    <w:rsid w:val="00103381"/>
    <w:pPr>
      <w:spacing w:after="0"/>
    </w:pPr>
  </w:style>
  <w:style w:type="table" w:customStyle="1" w:styleId="Style1">
    <w:name w:val="Style1"/>
    <w:basedOn w:val="TableNormal"/>
    <w:uiPriority w:val="99"/>
    <w:rsid w:val="00AD65E5"/>
    <w:tblPr/>
  </w:style>
  <w:style w:type="table" w:customStyle="1" w:styleId="Style2">
    <w:name w:val="Style2"/>
    <w:basedOn w:val="TableNormal"/>
    <w:uiPriority w:val="99"/>
    <w:rsid w:val="00F1292D"/>
    <w:tblPr/>
  </w:style>
  <w:style w:type="paragraph" w:styleId="BodyText0">
    <w:name w:val="Body Text"/>
    <w:basedOn w:val="Normal"/>
    <w:link w:val="BodyTextChar0"/>
    <w:uiPriority w:val="1"/>
    <w:qFormat/>
    <w:rsid w:val="00114765"/>
    <w:pPr>
      <w:widowControl w:val="0"/>
      <w:autoSpaceDE w:val="0"/>
      <w:autoSpaceDN w:val="0"/>
      <w:spacing w:after="0"/>
    </w:pPr>
    <w:rPr>
      <w:rFonts w:eastAsia="VIC" w:cs="VIC"/>
      <w:sz w:val="20"/>
      <w:lang w:val="en-US"/>
    </w:rPr>
  </w:style>
  <w:style w:type="character" w:customStyle="1" w:styleId="BodyTextChar0">
    <w:name w:val="Body Text Char"/>
    <w:basedOn w:val="DefaultParagraphFont"/>
    <w:link w:val="BodyText0"/>
    <w:uiPriority w:val="1"/>
    <w:rsid w:val="00114765"/>
    <w:rPr>
      <w:rFonts w:ascii="VIC" w:eastAsia="VIC" w:hAnsi="VIC" w:cs="VIC"/>
      <w:sz w:val="20"/>
      <w:szCs w:val="22"/>
      <w:lang w:val="en-US" w:eastAsia="en-US"/>
    </w:rPr>
  </w:style>
  <w:style w:type="character" w:customStyle="1" w:styleId="FootertextChar">
    <w:name w:val="Footer text Char"/>
    <w:basedOn w:val="FooterChar"/>
    <w:link w:val="Footertext"/>
    <w:locked/>
    <w:rsid w:val="00114765"/>
    <w:rPr>
      <w:rFonts w:ascii="VIC" w:eastAsia="VIC" w:hAnsi="VIC" w:cs="VIC"/>
      <w:color w:val="0A3C73"/>
      <w:sz w:val="16"/>
      <w:szCs w:val="20"/>
      <w:lang w:val="x-none" w:eastAsia="en-US" w:bidi="he-IL"/>
    </w:rPr>
  </w:style>
  <w:style w:type="paragraph" w:customStyle="1" w:styleId="Footertext">
    <w:name w:val="Footer text"/>
    <w:basedOn w:val="Footer"/>
    <w:link w:val="FootertextChar"/>
    <w:qFormat/>
    <w:rsid w:val="00114765"/>
    <w:pPr>
      <w:tabs>
        <w:tab w:val="clear" w:pos="4320"/>
        <w:tab w:val="clear" w:pos="8640"/>
        <w:tab w:val="center" w:pos="4680"/>
        <w:tab w:val="right" w:pos="9360"/>
      </w:tabs>
      <w:spacing w:before="240" w:after="240"/>
    </w:pPr>
    <w:rPr>
      <w:rFonts w:eastAsia="VIC" w:cs="VIC"/>
      <w:color w:val="0A3C73"/>
      <w:sz w:val="16"/>
      <w:szCs w:val="20"/>
      <w:lang w:eastAsia="en-AU" w:bidi="he-IL"/>
    </w:rPr>
  </w:style>
  <w:style w:type="character" w:customStyle="1" w:styleId="FooterDocDescriptionChar">
    <w:name w:val="Footer Doc Description Char"/>
    <w:basedOn w:val="DefaultParagraphFont"/>
    <w:link w:val="FooterDocDescription"/>
    <w:locked/>
    <w:rsid w:val="00716FB9"/>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716FB9"/>
    <w:rPr>
      <w:rFonts w:eastAsia="MS Mincho" w:cs="Times New Roman"/>
    </w:rPr>
  </w:style>
  <w:style w:type="character" w:customStyle="1" w:styleId="ui-provider">
    <w:name w:val="ui-provider"/>
    <w:basedOn w:val="DefaultParagraphFont"/>
    <w:rsid w:val="00E70DDD"/>
  </w:style>
  <w:style w:type="paragraph" w:styleId="ListBullet">
    <w:name w:val="List Bullet"/>
    <w:basedOn w:val="ListParagraph"/>
    <w:unhideWhenUsed/>
    <w:rsid w:val="002D070A"/>
    <w:pPr>
      <w:numPr>
        <w:numId w:val="9"/>
      </w:numPr>
      <w:spacing w:after="240"/>
    </w:pPr>
    <w:rPr>
      <w:rFonts w:cs="Arial"/>
    </w:rPr>
  </w:style>
  <w:style w:type="paragraph" w:customStyle="1" w:styleId="AppendixA">
    <w:name w:val="Appendix A"/>
    <w:basedOn w:val="Heading1"/>
    <w:next w:val="Normal"/>
    <w:qFormat/>
    <w:rsid w:val="00F46C15"/>
    <w:pPr>
      <w:numPr>
        <w:numId w:val="25"/>
      </w:numPr>
      <w:spacing w:after="240"/>
      <w:ind w:left="0"/>
    </w:pPr>
  </w:style>
  <w:style w:type="paragraph" w:customStyle="1" w:styleId="AppendixA1">
    <w:name w:val="Appendix A.1"/>
    <w:basedOn w:val="Heading2"/>
    <w:next w:val="Normal"/>
    <w:qFormat/>
    <w:rsid w:val="00F46C15"/>
    <w:pPr>
      <w:numPr>
        <w:numId w:val="25"/>
      </w:numPr>
      <w:ind w:left="709" w:hanging="709"/>
    </w:pPr>
  </w:style>
  <w:style w:type="paragraph" w:customStyle="1" w:styleId="AppendixA11">
    <w:name w:val="Appendix A.1.1"/>
    <w:basedOn w:val="AppendixA1"/>
    <w:next w:val="Normal"/>
    <w:qFormat/>
    <w:rsid w:val="00F46C15"/>
    <w:pPr>
      <w:numPr>
        <w:ilvl w:val="2"/>
      </w:numPr>
      <w:tabs>
        <w:tab w:val="left" w:pos="0"/>
      </w:tabs>
      <w:ind w:left="851" w:hanging="851"/>
    </w:pPr>
  </w:style>
  <w:style w:type="numbering" w:customStyle="1" w:styleId="CurrentList1">
    <w:name w:val="Current List1"/>
    <w:uiPriority w:val="99"/>
    <w:rsid w:val="00F46C15"/>
    <w:pPr>
      <w:numPr>
        <w:numId w:val="27"/>
      </w:numPr>
    </w:pPr>
  </w:style>
  <w:style w:type="paragraph" w:customStyle="1" w:styleId="Tablenotes">
    <w:name w:val="Table notes"/>
    <w:basedOn w:val="NoSpacing"/>
    <w:next w:val="NoSpacing"/>
    <w:qFormat/>
    <w:rsid w:val="00F21050"/>
    <w:rPr>
      <w:rFonts w:asciiTheme="majorHAnsi" w:hAnsiTheme="majorHAns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945">
      <w:bodyDiv w:val="1"/>
      <w:marLeft w:val="0"/>
      <w:marRight w:val="0"/>
      <w:marTop w:val="0"/>
      <w:marBottom w:val="0"/>
      <w:divBdr>
        <w:top w:val="none" w:sz="0" w:space="0" w:color="auto"/>
        <w:left w:val="none" w:sz="0" w:space="0" w:color="auto"/>
        <w:bottom w:val="none" w:sz="0" w:space="0" w:color="auto"/>
        <w:right w:val="none" w:sz="0" w:space="0" w:color="auto"/>
      </w:divBdr>
    </w:div>
    <w:div w:id="57947131">
      <w:bodyDiv w:val="1"/>
      <w:marLeft w:val="0"/>
      <w:marRight w:val="0"/>
      <w:marTop w:val="0"/>
      <w:marBottom w:val="0"/>
      <w:divBdr>
        <w:top w:val="none" w:sz="0" w:space="0" w:color="auto"/>
        <w:left w:val="none" w:sz="0" w:space="0" w:color="auto"/>
        <w:bottom w:val="none" w:sz="0" w:space="0" w:color="auto"/>
        <w:right w:val="none" w:sz="0" w:space="0" w:color="auto"/>
      </w:divBdr>
      <w:divsChild>
        <w:div w:id="1947959165">
          <w:marLeft w:val="0"/>
          <w:marRight w:val="0"/>
          <w:marTop w:val="0"/>
          <w:marBottom w:val="0"/>
          <w:divBdr>
            <w:top w:val="none" w:sz="0" w:space="0" w:color="auto"/>
            <w:left w:val="none" w:sz="0" w:space="0" w:color="auto"/>
            <w:bottom w:val="none" w:sz="0" w:space="0" w:color="auto"/>
            <w:right w:val="none" w:sz="0" w:space="0" w:color="auto"/>
          </w:divBdr>
        </w:div>
      </w:divsChild>
    </w:div>
    <w:div w:id="149904373">
      <w:bodyDiv w:val="1"/>
      <w:marLeft w:val="0"/>
      <w:marRight w:val="0"/>
      <w:marTop w:val="0"/>
      <w:marBottom w:val="0"/>
      <w:divBdr>
        <w:top w:val="none" w:sz="0" w:space="0" w:color="auto"/>
        <w:left w:val="none" w:sz="0" w:space="0" w:color="auto"/>
        <w:bottom w:val="none" w:sz="0" w:space="0" w:color="auto"/>
        <w:right w:val="none" w:sz="0" w:space="0" w:color="auto"/>
      </w:divBdr>
    </w:div>
    <w:div w:id="172381272">
      <w:bodyDiv w:val="1"/>
      <w:marLeft w:val="0"/>
      <w:marRight w:val="0"/>
      <w:marTop w:val="0"/>
      <w:marBottom w:val="0"/>
      <w:divBdr>
        <w:top w:val="none" w:sz="0" w:space="0" w:color="auto"/>
        <w:left w:val="none" w:sz="0" w:space="0" w:color="auto"/>
        <w:bottom w:val="none" w:sz="0" w:space="0" w:color="auto"/>
        <w:right w:val="none" w:sz="0" w:space="0" w:color="auto"/>
      </w:divBdr>
      <w:divsChild>
        <w:div w:id="1346635877">
          <w:marLeft w:val="0"/>
          <w:marRight w:val="0"/>
          <w:marTop w:val="0"/>
          <w:marBottom w:val="0"/>
          <w:divBdr>
            <w:top w:val="none" w:sz="0" w:space="0" w:color="auto"/>
            <w:left w:val="none" w:sz="0" w:space="0" w:color="auto"/>
            <w:bottom w:val="none" w:sz="0" w:space="0" w:color="auto"/>
            <w:right w:val="none" w:sz="0" w:space="0" w:color="auto"/>
          </w:divBdr>
        </w:div>
      </w:divsChild>
    </w:div>
    <w:div w:id="330639746">
      <w:bodyDiv w:val="1"/>
      <w:marLeft w:val="0"/>
      <w:marRight w:val="0"/>
      <w:marTop w:val="0"/>
      <w:marBottom w:val="0"/>
      <w:divBdr>
        <w:top w:val="none" w:sz="0" w:space="0" w:color="auto"/>
        <w:left w:val="none" w:sz="0" w:space="0" w:color="auto"/>
        <w:bottom w:val="none" w:sz="0" w:space="0" w:color="auto"/>
        <w:right w:val="none" w:sz="0" w:space="0" w:color="auto"/>
      </w:divBdr>
    </w:div>
    <w:div w:id="347561858">
      <w:bodyDiv w:val="1"/>
      <w:marLeft w:val="0"/>
      <w:marRight w:val="0"/>
      <w:marTop w:val="0"/>
      <w:marBottom w:val="0"/>
      <w:divBdr>
        <w:top w:val="none" w:sz="0" w:space="0" w:color="auto"/>
        <w:left w:val="none" w:sz="0" w:space="0" w:color="auto"/>
        <w:bottom w:val="none" w:sz="0" w:space="0" w:color="auto"/>
        <w:right w:val="none" w:sz="0" w:space="0" w:color="auto"/>
      </w:divBdr>
      <w:divsChild>
        <w:div w:id="111751440">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214660057">
          <w:marLeft w:val="0"/>
          <w:marRight w:val="0"/>
          <w:marTop w:val="0"/>
          <w:marBottom w:val="0"/>
          <w:divBdr>
            <w:top w:val="none" w:sz="0" w:space="0" w:color="auto"/>
            <w:left w:val="none" w:sz="0" w:space="0" w:color="auto"/>
            <w:bottom w:val="none" w:sz="0" w:space="0" w:color="auto"/>
            <w:right w:val="none" w:sz="0" w:space="0" w:color="auto"/>
          </w:divBdr>
        </w:div>
        <w:div w:id="226653623">
          <w:marLeft w:val="0"/>
          <w:marRight w:val="0"/>
          <w:marTop w:val="0"/>
          <w:marBottom w:val="0"/>
          <w:divBdr>
            <w:top w:val="none" w:sz="0" w:space="0" w:color="auto"/>
            <w:left w:val="none" w:sz="0" w:space="0" w:color="auto"/>
            <w:bottom w:val="none" w:sz="0" w:space="0" w:color="auto"/>
            <w:right w:val="none" w:sz="0" w:space="0" w:color="auto"/>
          </w:divBdr>
        </w:div>
        <w:div w:id="393239321">
          <w:marLeft w:val="0"/>
          <w:marRight w:val="0"/>
          <w:marTop w:val="0"/>
          <w:marBottom w:val="0"/>
          <w:divBdr>
            <w:top w:val="none" w:sz="0" w:space="0" w:color="auto"/>
            <w:left w:val="none" w:sz="0" w:space="0" w:color="auto"/>
            <w:bottom w:val="none" w:sz="0" w:space="0" w:color="auto"/>
            <w:right w:val="none" w:sz="0" w:space="0" w:color="auto"/>
          </w:divBdr>
        </w:div>
        <w:div w:id="620498414">
          <w:marLeft w:val="0"/>
          <w:marRight w:val="0"/>
          <w:marTop w:val="0"/>
          <w:marBottom w:val="0"/>
          <w:divBdr>
            <w:top w:val="none" w:sz="0" w:space="0" w:color="auto"/>
            <w:left w:val="none" w:sz="0" w:space="0" w:color="auto"/>
            <w:bottom w:val="none" w:sz="0" w:space="0" w:color="auto"/>
            <w:right w:val="none" w:sz="0" w:space="0" w:color="auto"/>
          </w:divBdr>
        </w:div>
        <w:div w:id="751513462">
          <w:marLeft w:val="0"/>
          <w:marRight w:val="0"/>
          <w:marTop w:val="0"/>
          <w:marBottom w:val="0"/>
          <w:divBdr>
            <w:top w:val="none" w:sz="0" w:space="0" w:color="auto"/>
            <w:left w:val="none" w:sz="0" w:space="0" w:color="auto"/>
            <w:bottom w:val="none" w:sz="0" w:space="0" w:color="auto"/>
            <w:right w:val="none" w:sz="0" w:space="0" w:color="auto"/>
          </w:divBdr>
        </w:div>
        <w:div w:id="818424587">
          <w:marLeft w:val="0"/>
          <w:marRight w:val="0"/>
          <w:marTop w:val="0"/>
          <w:marBottom w:val="0"/>
          <w:divBdr>
            <w:top w:val="none" w:sz="0" w:space="0" w:color="auto"/>
            <w:left w:val="none" w:sz="0" w:space="0" w:color="auto"/>
            <w:bottom w:val="none" w:sz="0" w:space="0" w:color="auto"/>
            <w:right w:val="none" w:sz="0" w:space="0" w:color="auto"/>
          </w:divBdr>
        </w:div>
        <w:div w:id="854877432">
          <w:marLeft w:val="0"/>
          <w:marRight w:val="0"/>
          <w:marTop w:val="0"/>
          <w:marBottom w:val="0"/>
          <w:divBdr>
            <w:top w:val="none" w:sz="0" w:space="0" w:color="auto"/>
            <w:left w:val="none" w:sz="0" w:space="0" w:color="auto"/>
            <w:bottom w:val="none" w:sz="0" w:space="0" w:color="auto"/>
            <w:right w:val="none" w:sz="0" w:space="0" w:color="auto"/>
          </w:divBdr>
        </w:div>
        <w:div w:id="1144196129">
          <w:marLeft w:val="0"/>
          <w:marRight w:val="0"/>
          <w:marTop w:val="0"/>
          <w:marBottom w:val="0"/>
          <w:divBdr>
            <w:top w:val="none" w:sz="0" w:space="0" w:color="auto"/>
            <w:left w:val="none" w:sz="0" w:space="0" w:color="auto"/>
            <w:bottom w:val="none" w:sz="0" w:space="0" w:color="auto"/>
            <w:right w:val="none" w:sz="0" w:space="0" w:color="auto"/>
          </w:divBdr>
        </w:div>
        <w:div w:id="1208371870">
          <w:marLeft w:val="0"/>
          <w:marRight w:val="0"/>
          <w:marTop w:val="0"/>
          <w:marBottom w:val="0"/>
          <w:divBdr>
            <w:top w:val="none" w:sz="0" w:space="0" w:color="auto"/>
            <w:left w:val="none" w:sz="0" w:space="0" w:color="auto"/>
            <w:bottom w:val="none" w:sz="0" w:space="0" w:color="auto"/>
            <w:right w:val="none" w:sz="0" w:space="0" w:color="auto"/>
          </w:divBdr>
        </w:div>
        <w:div w:id="1260873527">
          <w:marLeft w:val="0"/>
          <w:marRight w:val="0"/>
          <w:marTop w:val="0"/>
          <w:marBottom w:val="0"/>
          <w:divBdr>
            <w:top w:val="none" w:sz="0" w:space="0" w:color="auto"/>
            <w:left w:val="none" w:sz="0" w:space="0" w:color="auto"/>
            <w:bottom w:val="none" w:sz="0" w:space="0" w:color="auto"/>
            <w:right w:val="none" w:sz="0" w:space="0" w:color="auto"/>
          </w:divBdr>
        </w:div>
        <w:div w:id="1269511421">
          <w:marLeft w:val="0"/>
          <w:marRight w:val="0"/>
          <w:marTop w:val="0"/>
          <w:marBottom w:val="0"/>
          <w:divBdr>
            <w:top w:val="none" w:sz="0" w:space="0" w:color="auto"/>
            <w:left w:val="none" w:sz="0" w:space="0" w:color="auto"/>
            <w:bottom w:val="none" w:sz="0" w:space="0" w:color="auto"/>
            <w:right w:val="none" w:sz="0" w:space="0" w:color="auto"/>
          </w:divBdr>
        </w:div>
        <w:div w:id="1579056572">
          <w:marLeft w:val="0"/>
          <w:marRight w:val="0"/>
          <w:marTop w:val="0"/>
          <w:marBottom w:val="0"/>
          <w:divBdr>
            <w:top w:val="none" w:sz="0" w:space="0" w:color="auto"/>
            <w:left w:val="none" w:sz="0" w:space="0" w:color="auto"/>
            <w:bottom w:val="none" w:sz="0" w:space="0" w:color="auto"/>
            <w:right w:val="none" w:sz="0" w:space="0" w:color="auto"/>
          </w:divBdr>
        </w:div>
        <w:div w:id="1584605418">
          <w:marLeft w:val="0"/>
          <w:marRight w:val="0"/>
          <w:marTop w:val="0"/>
          <w:marBottom w:val="0"/>
          <w:divBdr>
            <w:top w:val="none" w:sz="0" w:space="0" w:color="auto"/>
            <w:left w:val="none" w:sz="0" w:space="0" w:color="auto"/>
            <w:bottom w:val="none" w:sz="0" w:space="0" w:color="auto"/>
            <w:right w:val="none" w:sz="0" w:space="0" w:color="auto"/>
          </w:divBdr>
        </w:div>
        <w:div w:id="1759785337">
          <w:marLeft w:val="0"/>
          <w:marRight w:val="0"/>
          <w:marTop w:val="0"/>
          <w:marBottom w:val="0"/>
          <w:divBdr>
            <w:top w:val="none" w:sz="0" w:space="0" w:color="auto"/>
            <w:left w:val="none" w:sz="0" w:space="0" w:color="auto"/>
            <w:bottom w:val="none" w:sz="0" w:space="0" w:color="auto"/>
            <w:right w:val="none" w:sz="0" w:space="0" w:color="auto"/>
          </w:divBdr>
        </w:div>
        <w:div w:id="1811244820">
          <w:marLeft w:val="0"/>
          <w:marRight w:val="0"/>
          <w:marTop w:val="0"/>
          <w:marBottom w:val="0"/>
          <w:divBdr>
            <w:top w:val="none" w:sz="0" w:space="0" w:color="auto"/>
            <w:left w:val="none" w:sz="0" w:space="0" w:color="auto"/>
            <w:bottom w:val="none" w:sz="0" w:space="0" w:color="auto"/>
            <w:right w:val="none" w:sz="0" w:space="0" w:color="auto"/>
          </w:divBdr>
        </w:div>
        <w:div w:id="2067950459">
          <w:marLeft w:val="0"/>
          <w:marRight w:val="0"/>
          <w:marTop w:val="0"/>
          <w:marBottom w:val="0"/>
          <w:divBdr>
            <w:top w:val="none" w:sz="0" w:space="0" w:color="auto"/>
            <w:left w:val="none" w:sz="0" w:space="0" w:color="auto"/>
            <w:bottom w:val="none" w:sz="0" w:space="0" w:color="auto"/>
            <w:right w:val="none" w:sz="0" w:space="0" w:color="auto"/>
          </w:divBdr>
        </w:div>
      </w:divsChild>
    </w:div>
    <w:div w:id="379865882">
      <w:bodyDiv w:val="1"/>
      <w:marLeft w:val="0"/>
      <w:marRight w:val="0"/>
      <w:marTop w:val="0"/>
      <w:marBottom w:val="0"/>
      <w:divBdr>
        <w:top w:val="none" w:sz="0" w:space="0" w:color="auto"/>
        <w:left w:val="none" w:sz="0" w:space="0" w:color="auto"/>
        <w:bottom w:val="none" w:sz="0" w:space="0" w:color="auto"/>
        <w:right w:val="none" w:sz="0" w:space="0" w:color="auto"/>
      </w:divBdr>
    </w:div>
    <w:div w:id="405539045">
      <w:bodyDiv w:val="1"/>
      <w:marLeft w:val="0"/>
      <w:marRight w:val="0"/>
      <w:marTop w:val="0"/>
      <w:marBottom w:val="0"/>
      <w:divBdr>
        <w:top w:val="none" w:sz="0" w:space="0" w:color="auto"/>
        <w:left w:val="none" w:sz="0" w:space="0" w:color="auto"/>
        <w:bottom w:val="none" w:sz="0" w:space="0" w:color="auto"/>
        <w:right w:val="none" w:sz="0" w:space="0" w:color="auto"/>
      </w:divBdr>
    </w:div>
    <w:div w:id="408309011">
      <w:bodyDiv w:val="1"/>
      <w:marLeft w:val="0"/>
      <w:marRight w:val="0"/>
      <w:marTop w:val="0"/>
      <w:marBottom w:val="0"/>
      <w:divBdr>
        <w:top w:val="none" w:sz="0" w:space="0" w:color="auto"/>
        <w:left w:val="none" w:sz="0" w:space="0" w:color="auto"/>
        <w:bottom w:val="none" w:sz="0" w:space="0" w:color="auto"/>
        <w:right w:val="none" w:sz="0" w:space="0" w:color="auto"/>
      </w:divBdr>
      <w:divsChild>
        <w:div w:id="674770831">
          <w:marLeft w:val="0"/>
          <w:marRight w:val="0"/>
          <w:marTop w:val="0"/>
          <w:marBottom w:val="0"/>
          <w:divBdr>
            <w:top w:val="none" w:sz="0" w:space="0" w:color="auto"/>
            <w:left w:val="none" w:sz="0" w:space="0" w:color="auto"/>
            <w:bottom w:val="none" w:sz="0" w:space="0" w:color="auto"/>
            <w:right w:val="none" w:sz="0" w:space="0" w:color="auto"/>
          </w:divBdr>
        </w:div>
      </w:divsChild>
    </w:div>
    <w:div w:id="498812363">
      <w:bodyDiv w:val="1"/>
      <w:marLeft w:val="0"/>
      <w:marRight w:val="0"/>
      <w:marTop w:val="0"/>
      <w:marBottom w:val="0"/>
      <w:divBdr>
        <w:top w:val="none" w:sz="0" w:space="0" w:color="auto"/>
        <w:left w:val="none" w:sz="0" w:space="0" w:color="auto"/>
        <w:bottom w:val="none" w:sz="0" w:space="0" w:color="auto"/>
        <w:right w:val="none" w:sz="0" w:space="0" w:color="auto"/>
      </w:divBdr>
    </w:div>
    <w:div w:id="521895509">
      <w:bodyDiv w:val="1"/>
      <w:marLeft w:val="0"/>
      <w:marRight w:val="0"/>
      <w:marTop w:val="0"/>
      <w:marBottom w:val="0"/>
      <w:divBdr>
        <w:top w:val="none" w:sz="0" w:space="0" w:color="auto"/>
        <w:left w:val="none" w:sz="0" w:space="0" w:color="auto"/>
        <w:bottom w:val="none" w:sz="0" w:space="0" w:color="auto"/>
        <w:right w:val="none" w:sz="0" w:space="0" w:color="auto"/>
      </w:divBdr>
    </w:div>
    <w:div w:id="543640837">
      <w:bodyDiv w:val="1"/>
      <w:marLeft w:val="0"/>
      <w:marRight w:val="0"/>
      <w:marTop w:val="0"/>
      <w:marBottom w:val="0"/>
      <w:divBdr>
        <w:top w:val="none" w:sz="0" w:space="0" w:color="auto"/>
        <w:left w:val="none" w:sz="0" w:space="0" w:color="auto"/>
        <w:bottom w:val="none" w:sz="0" w:space="0" w:color="auto"/>
        <w:right w:val="none" w:sz="0" w:space="0" w:color="auto"/>
      </w:divBdr>
    </w:div>
    <w:div w:id="548958055">
      <w:bodyDiv w:val="1"/>
      <w:marLeft w:val="0"/>
      <w:marRight w:val="0"/>
      <w:marTop w:val="0"/>
      <w:marBottom w:val="0"/>
      <w:divBdr>
        <w:top w:val="none" w:sz="0" w:space="0" w:color="auto"/>
        <w:left w:val="none" w:sz="0" w:space="0" w:color="auto"/>
        <w:bottom w:val="none" w:sz="0" w:space="0" w:color="auto"/>
        <w:right w:val="none" w:sz="0" w:space="0" w:color="auto"/>
      </w:divBdr>
      <w:divsChild>
        <w:div w:id="1406997987">
          <w:marLeft w:val="0"/>
          <w:marRight w:val="0"/>
          <w:marTop w:val="0"/>
          <w:marBottom w:val="0"/>
          <w:divBdr>
            <w:top w:val="none" w:sz="0" w:space="0" w:color="auto"/>
            <w:left w:val="none" w:sz="0" w:space="0" w:color="auto"/>
            <w:bottom w:val="none" w:sz="0" w:space="0" w:color="auto"/>
            <w:right w:val="none" w:sz="0" w:space="0" w:color="auto"/>
          </w:divBdr>
        </w:div>
      </w:divsChild>
    </w:div>
    <w:div w:id="582420502">
      <w:bodyDiv w:val="1"/>
      <w:marLeft w:val="0"/>
      <w:marRight w:val="0"/>
      <w:marTop w:val="0"/>
      <w:marBottom w:val="0"/>
      <w:divBdr>
        <w:top w:val="none" w:sz="0" w:space="0" w:color="auto"/>
        <w:left w:val="none" w:sz="0" w:space="0" w:color="auto"/>
        <w:bottom w:val="none" w:sz="0" w:space="0" w:color="auto"/>
        <w:right w:val="none" w:sz="0" w:space="0" w:color="auto"/>
      </w:divBdr>
    </w:div>
    <w:div w:id="583952621">
      <w:bodyDiv w:val="1"/>
      <w:marLeft w:val="0"/>
      <w:marRight w:val="0"/>
      <w:marTop w:val="0"/>
      <w:marBottom w:val="0"/>
      <w:divBdr>
        <w:top w:val="none" w:sz="0" w:space="0" w:color="auto"/>
        <w:left w:val="none" w:sz="0" w:space="0" w:color="auto"/>
        <w:bottom w:val="none" w:sz="0" w:space="0" w:color="auto"/>
        <w:right w:val="none" w:sz="0" w:space="0" w:color="auto"/>
      </w:divBdr>
      <w:divsChild>
        <w:div w:id="944188617">
          <w:marLeft w:val="0"/>
          <w:marRight w:val="0"/>
          <w:marTop w:val="0"/>
          <w:marBottom w:val="0"/>
          <w:divBdr>
            <w:top w:val="none" w:sz="0" w:space="0" w:color="auto"/>
            <w:left w:val="none" w:sz="0" w:space="0" w:color="auto"/>
            <w:bottom w:val="none" w:sz="0" w:space="0" w:color="auto"/>
            <w:right w:val="none" w:sz="0" w:space="0" w:color="auto"/>
          </w:divBdr>
        </w:div>
        <w:div w:id="1615790291">
          <w:marLeft w:val="0"/>
          <w:marRight w:val="0"/>
          <w:marTop w:val="0"/>
          <w:marBottom w:val="0"/>
          <w:divBdr>
            <w:top w:val="none" w:sz="0" w:space="0" w:color="auto"/>
            <w:left w:val="none" w:sz="0" w:space="0" w:color="auto"/>
            <w:bottom w:val="none" w:sz="0" w:space="0" w:color="auto"/>
            <w:right w:val="none" w:sz="0" w:space="0" w:color="auto"/>
          </w:divBdr>
        </w:div>
        <w:div w:id="2061441832">
          <w:marLeft w:val="0"/>
          <w:marRight w:val="0"/>
          <w:marTop w:val="0"/>
          <w:marBottom w:val="0"/>
          <w:divBdr>
            <w:top w:val="none" w:sz="0" w:space="0" w:color="auto"/>
            <w:left w:val="none" w:sz="0" w:space="0" w:color="auto"/>
            <w:bottom w:val="none" w:sz="0" w:space="0" w:color="auto"/>
            <w:right w:val="none" w:sz="0" w:space="0" w:color="auto"/>
          </w:divBdr>
          <w:divsChild>
            <w:div w:id="178128990">
              <w:marLeft w:val="-75"/>
              <w:marRight w:val="0"/>
              <w:marTop w:val="30"/>
              <w:marBottom w:val="30"/>
              <w:divBdr>
                <w:top w:val="none" w:sz="0" w:space="0" w:color="auto"/>
                <w:left w:val="none" w:sz="0" w:space="0" w:color="auto"/>
                <w:bottom w:val="none" w:sz="0" w:space="0" w:color="auto"/>
                <w:right w:val="none" w:sz="0" w:space="0" w:color="auto"/>
              </w:divBdr>
              <w:divsChild>
                <w:div w:id="75635957">
                  <w:marLeft w:val="0"/>
                  <w:marRight w:val="0"/>
                  <w:marTop w:val="0"/>
                  <w:marBottom w:val="0"/>
                  <w:divBdr>
                    <w:top w:val="none" w:sz="0" w:space="0" w:color="auto"/>
                    <w:left w:val="none" w:sz="0" w:space="0" w:color="auto"/>
                    <w:bottom w:val="none" w:sz="0" w:space="0" w:color="auto"/>
                    <w:right w:val="none" w:sz="0" w:space="0" w:color="auto"/>
                  </w:divBdr>
                  <w:divsChild>
                    <w:div w:id="168981389">
                      <w:marLeft w:val="0"/>
                      <w:marRight w:val="0"/>
                      <w:marTop w:val="0"/>
                      <w:marBottom w:val="0"/>
                      <w:divBdr>
                        <w:top w:val="none" w:sz="0" w:space="0" w:color="auto"/>
                        <w:left w:val="none" w:sz="0" w:space="0" w:color="auto"/>
                        <w:bottom w:val="none" w:sz="0" w:space="0" w:color="auto"/>
                        <w:right w:val="none" w:sz="0" w:space="0" w:color="auto"/>
                      </w:divBdr>
                    </w:div>
                    <w:div w:id="470635816">
                      <w:marLeft w:val="0"/>
                      <w:marRight w:val="0"/>
                      <w:marTop w:val="0"/>
                      <w:marBottom w:val="0"/>
                      <w:divBdr>
                        <w:top w:val="none" w:sz="0" w:space="0" w:color="auto"/>
                        <w:left w:val="none" w:sz="0" w:space="0" w:color="auto"/>
                        <w:bottom w:val="none" w:sz="0" w:space="0" w:color="auto"/>
                        <w:right w:val="none" w:sz="0" w:space="0" w:color="auto"/>
                      </w:divBdr>
                    </w:div>
                    <w:div w:id="1012994778">
                      <w:marLeft w:val="0"/>
                      <w:marRight w:val="0"/>
                      <w:marTop w:val="0"/>
                      <w:marBottom w:val="0"/>
                      <w:divBdr>
                        <w:top w:val="none" w:sz="0" w:space="0" w:color="auto"/>
                        <w:left w:val="none" w:sz="0" w:space="0" w:color="auto"/>
                        <w:bottom w:val="none" w:sz="0" w:space="0" w:color="auto"/>
                        <w:right w:val="none" w:sz="0" w:space="0" w:color="auto"/>
                      </w:divBdr>
                    </w:div>
                    <w:div w:id="1038896936">
                      <w:marLeft w:val="0"/>
                      <w:marRight w:val="0"/>
                      <w:marTop w:val="0"/>
                      <w:marBottom w:val="0"/>
                      <w:divBdr>
                        <w:top w:val="none" w:sz="0" w:space="0" w:color="auto"/>
                        <w:left w:val="none" w:sz="0" w:space="0" w:color="auto"/>
                        <w:bottom w:val="none" w:sz="0" w:space="0" w:color="auto"/>
                        <w:right w:val="none" w:sz="0" w:space="0" w:color="auto"/>
                      </w:divBdr>
                    </w:div>
                    <w:div w:id="1217739935">
                      <w:marLeft w:val="0"/>
                      <w:marRight w:val="0"/>
                      <w:marTop w:val="0"/>
                      <w:marBottom w:val="0"/>
                      <w:divBdr>
                        <w:top w:val="none" w:sz="0" w:space="0" w:color="auto"/>
                        <w:left w:val="none" w:sz="0" w:space="0" w:color="auto"/>
                        <w:bottom w:val="none" w:sz="0" w:space="0" w:color="auto"/>
                        <w:right w:val="none" w:sz="0" w:space="0" w:color="auto"/>
                      </w:divBdr>
                    </w:div>
                    <w:div w:id="1400205476">
                      <w:marLeft w:val="0"/>
                      <w:marRight w:val="0"/>
                      <w:marTop w:val="0"/>
                      <w:marBottom w:val="0"/>
                      <w:divBdr>
                        <w:top w:val="none" w:sz="0" w:space="0" w:color="auto"/>
                        <w:left w:val="none" w:sz="0" w:space="0" w:color="auto"/>
                        <w:bottom w:val="none" w:sz="0" w:space="0" w:color="auto"/>
                        <w:right w:val="none" w:sz="0" w:space="0" w:color="auto"/>
                      </w:divBdr>
                    </w:div>
                    <w:div w:id="1843427613">
                      <w:marLeft w:val="0"/>
                      <w:marRight w:val="0"/>
                      <w:marTop w:val="0"/>
                      <w:marBottom w:val="0"/>
                      <w:divBdr>
                        <w:top w:val="none" w:sz="0" w:space="0" w:color="auto"/>
                        <w:left w:val="none" w:sz="0" w:space="0" w:color="auto"/>
                        <w:bottom w:val="none" w:sz="0" w:space="0" w:color="auto"/>
                        <w:right w:val="none" w:sz="0" w:space="0" w:color="auto"/>
                      </w:divBdr>
                    </w:div>
                  </w:divsChild>
                </w:div>
                <w:div w:id="231354165">
                  <w:marLeft w:val="0"/>
                  <w:marRight w:val="0"/>
                  <w:marTop w:val="0"/>
                  <w:marBottom w:val="0"/>
                  <w:divBdr>
                    <w:top w:val="none" w:sz="0" w:space="0" w:color="auto"/>
                    <w:left w:val="none" w:sz="0" w:space="0" w:color="auto"/>
                    <w:bottom w:val="none" w:sz="0" w:space="0" w:color="auto"/>
                    <w:right w:val="none" w:sz="0" w:space="0" w:color="auto"/>
                  </w:divBdr>
                  <w:divsChild>
                    <w:div w:id="55327975">
                      <w:marLeft w:val="0"/>
                      <w:marRight w:val="0"/>
                      <w:marTop w:val="0"/>
                      <w:marBottom w:val="0"/>
                      <w:divBdr>
                        <w:top w:val="none" w:sz="0" w:space="0" w:color="auto"/>
                        <w:left w:val="none" w:sz="0" w:space="0" w:color="auto"/>
                        <w:bottom w:val="none" w:sz="0" w:space="0" w:color="auto"/>
                        <w:right w:val="none" w:sz="0" w:space="0" w:color="auto"/>
                      </w:divBdr>
                    </w:div>
                    <w:div w:id="91586006">
                      <w:marLeft w:val="0"/>
                      <w:marRight w:val="0"/>
                      <w:marTop w:val="0"/>
                      <w:marBottom w:val="0"/>
                      <w:divBdr>
                        <w:top w:val="none" w:sz="0" w:space="0" w:color="auto"/>
                        <w:left w:val="none" w:sz="0" w:space="0" w:color="auto"/>
                        <w:bottom w:val="none" w:sz="0" w:space="0" w:color="auto"/>
                        <w:right w:val="none" w:sz="0" w:space="0" w:color="auto"/>
                      </w:divBdr>
                    </w:div>
                    <w:div w:id="509754145">
                      <w:marLeft w:val="0"/>
                      <w:marRight w:val="0"/>
                      <w:marTop w:val="0"/>
                      <w:marBottom w:val="0"/>
                      <w:divBdr>
                        <w:top w:val="none" w:sz="0" w:space="0" w:color="auto"/>
                        <w:left w:val="none" w:sz="0" w:space="0" w:color="auto"/>
                        <w:bottom w:val="none" w:sz="0" w:space="0" w:color="auto"/>
                        <w:right w:val="none" w:sz="0" w:space="0" w:color="auto"/>
                      </w:divBdr>
                    </w:div>
                    <w:div w:id="1799107738">
                      <w:marLeft w:val="0"/>
                      <w:marRight w:val="0"/>
                      <w:marTop w:val="0"/>
                      <w:marBottom w:val="0"/>
                      <w:divBdr>
                        <w:top w:val="none" w:sz="0" w:space="0" w:color="auto"/>
                        <w:left w:val="none" w:sz="0" w:space="0" w:color="auto"/>
                        <w:bottom w:val="none" w:sz="0" w:space="0" w:color="auto"/>
                        <w:right w:val="none" w:sz="0" w:space="0" w:color="auto"/>
                      </w:divBdr>
                    </w:div>
                    <w:div w:id="1800879318">
                      <w:marLeft w:val="0"/>
                      <w:marRight w:val="0"/>
                      <w:marTop w:val="0"/>
                      <w:marBottom w:val="0"/>
                      <w:divBdr>
                        <w:top w:val="none" w:sz="0" w:space="0" w:color="auto"/>
                        <w:left w:val="none" w:sz="0" w:space="0" w:color="auto"/>
                        <w:bottom w:val="none" w:sz="0" w:space="0" w:color="auto"/>
                        <w:right w:val="none" w:sz="0" w:space="0" w:color="auto"/>
                      </w:divBdr>
                    </w:div>
                    <w:div w:id="2069183652">
                      <w:marLeft w:val="0"/>
                      <w:marRight w:val="0"/>
                      <w:marTop w:val="0"/>
                      <w:marBottom w:val="0"/>
                      <w:divBdr>
                        <w:top w:val="none" w:sz="0" w:space="0" w:color="auto"/>
                        <w:left w:val="none" w:sz="0" w:space="0" w:color="auto"/>
                        <w:bottom w:val="none" w:sz="0" w:space="0" w:color="auto"/>
                        <w:right w:val="none" w:sz="0" w:space="0" w:color="auto"/>
                      </w:divBdr>
                    </w:div>
                    <w:div w:id="2081827702">
                      <w:marLeft w:val="0"/>
                      <w:marRight w:val="0"/>
                      <w:marTop w:val="0"/>
                      <w:marBottom w:val="0"/>
                      <w:divBdr>
                        <w:top w:val="none" w:sz="0" w:space="0" w:color="auto"/>
                        <w:left w:val="none" w:sz="0" w:space="0" w:color="auto"/>
                        <w:bottom w:val="none" w:sz="0" w:space="0" w:color="auto"/>
                        <w:right w:val="none" w:sz="0" w:space="0" w:color="auto"/>
                      </w:divBdr>
                    </w:div>
                  </w:divsChild>
                </w:div>
                <w:div w:id="392655631">
                  <w:marLeft w:val="0"/>
                  <w:marRight w:val="0"/>
                  <w:marTop w:val="0"/>
                  <w:marBottom w:val="0"/>
                  <w:divBdr>
                    <w:top w:val="none" w:sz="0" w:space="0" w:color="auto"/>
                    <w:left w:val="none" w:sz="0" w:space="0" w:color="auto"/>
                    <w:bottom w:val="none" w:sz="0" w:space="0" w:color="auto"/>
                    <w:right w:val="none" w:sz="0" w:space="0" w:color="auto"/>
                  </w:divBdr>
                  <w:divsChild>
                    <w:div w:id="4207384">
                      <w:marLeft w:val="0"/>
                      <w:marRight w:val="0"/>
                      <w:marTop w:val="0"/>
                      <w:marBottom w:val="0"/>
                      <w:divBdr>
                        <w:top w:val="none" w:sz="0" w:space="0" w:color="auto"/>
                        <w:left w:val="none" w:sz="0" w:space="0" w:color="auto"/>
                        <w:bottom w:val="none" w:sz="0" w:space="0" w:color="auto"/>
                        <w:right w:val="none" w:sz="0" w:space="0" w:color="auto"/>
                      </w:divBdr>
                    </w:div>
                    <w:div w:id="430902479">
                      <w:marLeft w:val="0"/>
                      <w:marRight w:val="0"/>
                      <w:marTop w:val="0"/>
                      <w:marBottom w:val="0"/>
                      <w:divBdr>
                        <w:top w:val="none" w:sz="0" w:space="0" w:color="auto"/>
                        <w:left w:val="none" w:sz="0" w:space="0" w:color="auto"/>
                        <w:bottom w:val="none" w:sz="0" w:space="0" w:color="auto"/>
                        <w:right w:val="none" w:sz="0" w:space="0" w:color="auto"/>
                      </w:divBdr>
                    </w:div>
                    <w:div w:id="1178040999">
                      <w:marLeft w:val="0"/>
                      <w:marRight w:val="0"/>
                      <w:marTop w:val="0"/>
                      <w:marBottom w:val="0"/>
                      <w:divBdr>
                        <w:top w:val="none" w:sz="0" w:space="0" w:color="auto"/>
                        <w:left w:val="none" w:sz="0" w:space="0" w:color="auto"/>
                        <w:bottom w:val="none" w:sz="0" w:space="0" w:color="auto"/>
                        <w:right w:val="none" w:sz="0" w:space="0" w:color="auto"/>
                      </w:divBdr>
                    </w:div>
                    <w:div w:id="1554462891">
                      <w:marLeft w:val="0"/>
                      <w:marRight w:val="0"/>
                      <w:marTop w:val="0"/>
                      <w:marBottom w:val="0"/>
                      <w:divBdr>
                        <w:top w:val="none" w:sz="0" w:space="0" w:color="auto"/>
                        <w:left w:val="none" w:sz="0" w:space="0" w:color="auto"/>
                        <w:bottom w:val="none" w:sz="0" w:space="0" w:color="auto"/>
                        <w:right w:val="none" w:sz="0" w:space="0" w:color="auto"/>
                      </w:divBdr>
                    </w:div>
                  </w:divsChild>
                </w:div>
                <w:div w:id="415444822">
                  <w:marLeft w:val="0"/>
                  <w:marRight w:val="0"/>
                  <w:marTop w:val="0"/>
                  <w:marBottom w:val="0"/>
                  <w:divBdr>
                    <w:top w:val="none" w:sz="0" w:space="0" w:color="auto"/>
                    <w:left w:val="none" w:sz="0" w:space="0" w:color="auto"/>
                    <w:bottom w:val="none" w:sz="0" w:space="0" w:color="auto"/>
                    <w:right w:val="none" w:sz="0" w:space="0" w:color="auto"/>
                  </w:divBdr>
                  <w:divsChild>
                    <w:div w:id="492187957">
                      <w:marLeft w:val="0"/>
                      <w:marRight w:val="0"/>
                      <w:marTop w:val="0"/>
                      <w:marBottom w:val="0"/>
                      <w:divBdr>
                        <w:top w:val="none" w:sz="0" w:space="0" w:color="auto"/>
                        <w:left w:val="none" w:sz="0" w:space="0" w:color="auto"/>
                        <w:bottom w:val="none" w:sz="0" w:space="0" w:color="auto"/>
                        <w:right w:val="none" w:sz="0" w:space="0" w:color="auto"/>
                      </w:divBdr>
                    </w:div>
                    <w:div w:id="1433430633">
                      <w:marLeft w:val="0"/>
                      <w:marRight w:val="0"/>
                      <w:marTop w:val="0"/>
                      <w:marBottom w:val="0"/>
                      <w:divBdr>
                        <w:top w:val="none" w:sz="0" w:space="0" w:color="auto"/>
                        <w:left w:val="none" w:sz="0" w:space="0" w:color="auto"/>
                        <w:bottom w:val="none" w:sz="0" w:space="0" w:color="auto"/>
                        <w:right w:val="none" w:sz="0" w:space="0" w:color="auto"/>
                      </w:divBdr>
                    </w:div>
                    <w:div w:id="1434205552">
                      <w:marLeft w:val="0"/>
                      <w:marRight w:val="0"/>
                      <w:marTop w:val="0"/>
                      <w:marBottom w:val="0"/>
                      <w:divBdr>
                        <w:top w:val="none" w:sz="0" w:space="0" w:color="auto"/>
                        <w:left w:val="none" w:sz="0" w:space="0" w:color="auto"/>
                        <w:bottom w:val="none" w:sz="0" w:space="0" w:color="auto"/>
                        <w:right w:val="none" w:sz="0" w:space="0" w:color="auto"/>
                      </w:divBdr>
                    </w:div>
                  </w:divsChild>
                </w:div>
                <w:div w:id="466317848">
                  <w:marLeft w:val="0"/>
                  <w:marRight w:val="0"/>
                  <w:marTop w:val="0"/>
                  <w:marBottom w:val="0"/>
                  <w:divBdr>
                    <w:top w:val="none" w:sz="0" w:space="0" w:color="auto"/>
                    <w:left w:val="none" w:sz="0" w:space="0" w:color="auto"/>
                    <w:bottom w:val="none" w:sz="0" w:space="0" w:color="auto"/>
                    <w:right w:val="none" w:sz="0" w:space="0" w:color="auto"/>
                  </w:divBdr>
                  <w:divsChild>
                    <w:div w:id="1804539319">
                      <w:marLeft w:val="0"/>
                      <w:marRight w:val="0"/>
                      <w:marTop w:val="0"/>
                      <w:marBottom w:val="0"/>
                      <w:divBdr>
                        <w:top w:val="none" w:sz="0" w:space="0" w:color="auto"/>
                        <w:left w:val="none" w:sz="0" w:space="0" w:color="auto"/>
                        <w:bottom w:val="none" w:sz="0" w:space="0" w:color="auto"/>
                        <w:right w:val="none" w:sz="0" w:space="0" w:color="auto"/>
                      </w:divBdr>
                    </w:div>
                  </w:divsChild>
                </w:div>
                <w:div w:id="509442699">
                  <w:marLeft w:val="0"/>
                  <w:marRight w:val="0"/>
                  <w:marTop w:val="0"/>
                  <w:marBottom w:val="0"/>
                  <w:divBdr>
                    <w:top w:val="none" w:sz="0" w:space="0" w:color="auto"/>
                    <w:left w:val="none" w:sz="0" w:space="0" w:color="auto"/>
                    <w:bottom w:val="none" w:sz="0" w:space="0" w:color="auto"/>
                    <w:right w:val="none" w:sz="0" w:space="0" w:color="auto"/>
                  </w:divBdr>
                  <w:divsChild>
                    <w:div w:id="1390885593">
                      <w:marLeft w:val="0"/>
                      <w:marRight w:val="0"/>
                      <w:marTop w:val="0"/>
                      <w:marBottom w:val="0"/>
                      <w:divBdr>
                        <w:top w:val="none" w:sz="0" w:space="0" w:color="auto"/>
                        <w:left w:val="none" w:sz="0" w:space="0" w:color="auto"/>
                        <w:bottom w:val="none" w:sz="0" w:space="0" w:color="auto"/>
                        <w:right w:val="none" w:sz="0" w:space="0" w:color="auto"/>
                      </w:divBdr>
                    </w:div>
                  </w:divsChild>
                </w:div>
                <w:div w:id="700126892">
                  <w:marLeft w:val="0"/>
                  <w:marRight w:val="0"/>
                  <w:marTop w:val="0"/>
                  <w:marBottom w:val="0"/>
                  <w:divBdr>
                    <w:top w:val="none" w:sz="0" w:space="0" w:color="auto"/>
                    <w:left w:val="none" w:sz="0" w:space="0" w:color="auto"/>
                    <w:bottom w:val="none" w:sz="0" w:space="0" w:color="auto"/>
                    <w:right w:val="none" w:sz="0" w:space="0" w:color="auto"/>
                  </w:divBdr>
                  <w:divsChild>
                    <w:div w:id="668872113">
                      <w:marLeft w:val="0"/>
                      <w:marRight w:val="0"/>
                      <w:marTop w:val="0"/>
                      <w:marBottom w:val="0"/>
                      <w:divBdr>
                        <w:top w:val="none" w:sz="0" w:space="0" w:color="auto"/>
                        <w:left w:val="none" w:sz="0" w:space="0" w:color="auto"/>
                        <w:bottom w:val="none" w:sz="0" w:space="0" w:color="auto"/>
                        <w:right w:val="none" w:sz="0" w:space="0" w:color="auto"/>
                      </w:divBdr>
                    </w:div>
                    <w:div w:id="1032070334">
                      <w:marLeft w:val="0"/>
                      <w:marRight w:val="0"/>
                      <w:marTop w:val="0"/>
                      <w:marBottom w:val="0"/>
                      <w:divBdr>
                        <w:top w:val="none" w:sz="0" w:space="0" w:color="auto"/>
                        <w:left w:val="none" w:sz="0" w:space="0" w:color="auto"/>
                        <w:bottom w:val="none" w:sz="0" w:space="0" w:color="auto"/>
                        <w:right w:val="none" w:sz="0" w:space="0" w:color="auto"/>
                      </w:divBdr>
                    </w:div>
                    <w:div w:id="1947688604">
                      <w:marLeft w:val="0"/>
                      <w:marRight w:val="0"/>
                      <w:marTop w:val="0"/>
                      <w:marBottom w:val="0"/>
                      <w:divBdr>
                        <w:top w:val="none" w:sz="0" w:space="0" w:color="auto"/>
                        <w:left w:val="none" w:sz="0" w:space="0" w:color="auto"/>
                        <w:bottom w:val="none" w:sz="0" w:space="0" w:color="auto"/>
                        <w:right w:val="none" w:sz="0" w:space="0" w:color="auto"/>
                      </w:divBdr>
                    </w:div>
                  </w:divsChild>
                </w:div>
                <w:div w:id="741484240">
                  <w:marLeft w:val="0"/>
                  <w:marRight w:val="0"/>
                  <w:marTop w:val="0"/>
                  <w:marBottom w:val="0"/>
                  <w:divBdr>
                    <w:top w:val="none" w:sz="0" w:space="0" w:color="auto"/>
                    <w:left w:val="none" w:sz="0" w:space="0" w:color="auto"/>
                    <w:bottom w:val="none" w:sz="0" w:space="0" w:color="auto"/>
                    <w:right w:val="none" w:sz="0" w:space="0" w:color="auto"/>
                  </w:divBdr>
                  <w:divsChild>
                    <w:div w:id="439492391">
                      <w:marLeft w:val="0"/>
                      <w:marRight w:val="0"/>
                      <w:marTop w:val="0"/>
                      <w:marBottom w:val="0"/>
                      <w:divBdr>
                        <w:top w:val="none" w:sz="0" w:space="0" w:color="auto"/>
                        <w:left w:val="none" w:sz="0" w:space="0" w:color="auto"/>
                        <w:bottom w:val="none" w:sz="0" w:space="0" w:color="auto"/>
                        <w:right w:val="none" w:sz="0" w:space="0" w:color="auto"/>
                      </w:divBdr>
                    </w:div>
                  </w:divsChild>
                </w:div>
                <w:div w:id="757748191">
                  <w:marLeft w:val="0"/>
                  <w:marRight w:val="0"/>
                  <w:marTop w:val="0"/>
                  <w:marBottom w:val="0"/>
                  <w:divBdr>
                    <w:top w:val="none" w:sz="0" w:space="0" w:color="auto"/>
                    <w:left w:val="none" w:sz="0" w:space="0" w:color="auto"/>
                    <w:bottom w:val="none" w:sz="0" w:space="0" w:color="auto"/>
                    <w:right w:val="none" w:sz="0" w:space="0" w:color="auto"/>
                  </w:divBdr>
                  <w:divsChild>
                    <w:div w:id="1467696945">
                      <w:marLeft w:val="0"/>
                      <w:marRight w:val="0"/>
                      <w:marTop w:val="0"/>
                      <w:marBottom w:val="0"/>
                      <w:divBdr>
                        <w:top w:val="none" w:sz="0" w:space="0" w:color="auto"/>
                        <w:left w:val="none" w:sz="0" w:space="0" w:color="auto"/>
                        <w:bottom w:val="none" w:sz="0" w:space="0" w:color="auto"/>
                        <w:right w:val="none" w:sz="0" w:space="0" w:color="auto"/>
                      </w:divBdr>
                    </w:div>
                  </w:divsChild>
                </w:div>
                <w:div w:id="876043951">
                  <w:marLeft w:val="0"/>
                  <w:marRight w:val="0"/>
                  <w:marTop w:val="0"/>
                  <w:marBottom w:val="0"/>
                  <w:divBdr>
                    <w:top w:val="none" w:sz="0" w:space="0" w:color="auto"/>
                    <w:left w:val="none" w:sz="0" w:space="0" w:color="auto"/>
                    <w:bottom w:val="none" w:sz="0" w:space="0" w:color="auto"/>
                    <w:right w:val="none" w:sz="0" w:space="0" w:color="auto"/>
                  </w:divBdr>
                  <w:divsChild>
                    <w:div w:id="1098063111">
                      <w:marLeft w:val="0"/>
                      <w:marRight w:val="0"/>
                      <w:marTop w:val="0"/>
                      <w:marBottom w:val="0"/>
                      <w:divBdr>
                        <w:top w:val="none" w:sz="0" w:space="0" w:color="auto"/>
                        <w:left w:val="none" w:sz="0" w:space="0" w:color="auto"/>
                        <w:bottom w:val="none" w:sz="0" w:space="0" w:color="auto"/>
                        <w:right w:val="none" w:sz="0" w:space="0" w:color="auto"/>
                      </w:divBdr>
                    </w:div>
                  </w:divsChild>
                </w:div>
                <w:div w:id="897663677">
                  <w:marLeft w:val="0"/>
                  <w:marRight w:val="0"/>
                  <w:marTop w:val="0"/>
                  <w:marBottom w:val="0"/>
                  <w:divBdr>
                    <w:top w:val="none" w:sz="0" w:space="0" w:color="auto"/>
                    <w:left w:val="none" w:sz="0" w:space="0" w:color="auto"/>
                    <w:bottom w:val="none" w:sz="0" w:space="0" w:color="auto"/>
                    <w:right w:val="none" w:sz="0" w:space="0" w:color="auto"/>
                  </w:divBdr>
                  <w:divsChild>
                    <w:div w:id="592471606">
                      <w:marLeft w:val="0"/>
                      <w:marRight w:val="0"/>
                      <w:marTop w:val="0"/>
                      <w:marBottom w:val="0"/>
                      <w:divBdr>
                        <w:top w:val="none" w:sz="0" w:space="0" w:color="auto"/>
                        <w:left w:val="none" w:sz="0" w:space="0" w:color="auto"/>
                        <w:bottom w:val="none" w:sz="0" w:space="0" w:color="auto"/>
                        <w:right w:val="none" w:sz="0" w:space="0" w:color="auto"/>
                      </w:divBdr>
                    </w:div>
                    <w:div w:id="599332943">
                      <w:marLeft w:val="0"/>
                      <w:marRight w:val="0"/>
                      <w:marTop w:val="0"/>
                      <w:marBottom w:val="0"/>
                      <w:divBdr>
                        <w:top w:val="none" w:sz="0" w:space="0" w:color="auto"/>
                        <w:left w:val="none" w:sz="0" w:space="0" w:color="auto"/>
                        <w:bottom w:val="none" w:sz="0" w:space="0" w:color="auto"/>
                        <w:right w:val="none" w:sz="0" w:space="0" w:color="auto"/>
                      </w:divBdr>
                    </w:div>
                    <w:div w:id="1013457657">
                      <w:marLeft w:val="0"/>
                      <w:marRight w:val="0"/>
                      <w:marTop w:val="0"/>
                      <w:marBottom w:val="0"/>
                      <w:divBdr>
                        <w:top w:val="none" w:sz="0" w:space="0" w:color="auto"/>
                        <w:left w:val="none" w:sz="0" w:space="0" w:color="auto"/>
                        <w:bottom w:val="none" w:sz="0" w:space="0" w:color="auto"/>
                        <w:right w:val="none" w:sz="0" w:space="0" w:color="auto"/>
                      </w:divBdr>
                    </w:div>
                  </w:divsChild>
                </w:div>
                <w:div w:id="918175365">
                  <w:marLeft w:val="0"/>
                  <w:marRight w:val="0"/>
                  <w:marTop w:val="0"/>
                  <w:marBottom w:val="0"/>
                  <w:divBdr>
                    <w:top w:val="none" w:sz="0" w:space="0" w:color="auto"/>
                    <w:left w:val="none" w:sz="0" w:space="0" w:color="auto"/>
                    <w:bottom w:val="none" w:sz="0" w:space="0" w:color="auto"/>
                    <w:right w:val="none" w:sz="0" w:space="0" w:color="auto"/>
                  </w:divBdr>
                  <w:divsChild>
                    <w:div w:id="471673143">
                      <w:marLeft w:val="0"/>
                      <w:marRight w:val="0"/>
                      <w:marTop w:val="0"/>
                      <w:marBottom w:val="0"/>
                      <w:divBdr>
                        <w:top w:val="none" w:sz="0" w:space="0" w:color="auto"/>
                        <w:left w:val="none" w:sz="0" w:space="0" w:color="auto"/>
                        <w:bottom w:val="none" w:sz="0" w:space="0" w:color="auto"/>
                        <w:right w:val="none" w:sz="0" w:space="0" w:color="auto"/>
                      </w:divBdr>
                    </w:div>
                    <w:div w:id="1047989830">
                      <w:marLeft w:val="0"/>
                      <w:marRight w:val="0"/>
                      <w:marTop w:val="0"/>
                      <w:marBottom w:val="0"/>
                      <w:divBdr>
                        <w:top w:val="none" w:sz="0" w:space="0" w:color="auto"/>
                        <w:left w:val="none" w:sz="0" w:space="0" w:color="auto"/>
                        <w:bottom w:val="none" w:sz="0" w:space="0" w:color="auto"/>
                        <w:right w:val="none" w:sz="0" w:space="0" w:color="auto"/>
                      </w:divBdr>
                    </w:div>
                  </w:divsChild>
                </w:div>
                <w:div w:id="975262846">
                  <w:marLeft w:val="0"/>
                  <w:marRight w:val="0"/>
                  <w:marTop w:val="0"/>
                  <w:marBottom w:val="0"/>
                  <w:divBdr>
                    <w:top w:val="none" w:sz="0" w:space="0" w:color="auto"/>
                    <w:left w:val="none" w:sz="0" w:space="0" w:color="auto"/>
                    <w:bottom w:val="none" w:sz="0" w:space="0" w:color="auto"/>
                    <w:right w:val="none" w:sz="0" w:space="0" w:color="auto"/>
                  </w:divBdr>
                  <w:divsChild>
                    <w:div w:id="1251037735">
                      <w:marLeft w:val="0"/>
                      <w:marRight w:val="0"/>
                      <w:marTop w:val="0"/>
                      <w:marBottom w:val="0"/>
                      <w:divBdr>
                        <w:top w:val="none" w:sz="0" w:space="0" w:color="auto"/>
                        <w:left w:val="none" w:sz="0" w:space="0" w:color="auto"/>
                        <w:bottom w:val="none" w:sz="0" w:space="0" w:color="auto"/>
                        <w:right w:val="none" w:sz="0" w:space="0" w:color="auto"/>
                      </w:divBdr>
                    </w:div>
                  </w:divsChild>
                </w:div>
                <w:div w:id="1011762602">
                  <w:marLeft w:val="0"/>
                  <w:marRight w:val="0"/>
                  <w:marTop w:val="0"/>
                  <w:marBottom w:val="0"/>
                  <w:divBdr>
                    <w:top w:val="none" w:sz="0" w:space="0" w:color="auto"/>
                    <w:left w:val="none" w:sz="0" w:space="0" w:color="auto"/>
                    <w:bottom w:val="none" w:sz="0" w:space="0" w:color="auto"/>
                    <w:right w:val="none" w:sz="0" w:space="0" w:color="auto"/>
                  </w:divBdr>
                  <w:divsChild>
                    <w:div w:id="1103457900">
                      <w:marLeft w:val="0"/>
                      <w:marRight w:val="0"/>
                      <w:marTop w:val="0"/>
                      <w:marBottom w:val="0"/>
                      <w:divBdr>
                        <w:top w:val="none" w:sz="0" w:space="0" w:color="auto"/>
                        <w:left w:val="none" w:sz="0" w:space="0" w:color="auto"/>
                        <w:bottom w:val="none" w:sz="0" w:space="0" w:color="auto"/>
                        <w:right w:val="none" w:sz="0" w:space="0" w:color="auto"/>
                      </w:divBdr>
                    </w:div>
                  </w:divsChild>
                </w:div>
                <w:div w:id="1157765574">
                  <w:marLeft w:val="0"/>
                  <w:marRight w:val="0"/>
                  <w:marTop w:val="0"/>
                  <w:marBottom w:val="0"/>
                  <w:divBdr>
                    <w:top w:val="none" w:sz="0" w:space="0" w:color="auto"/>
                    <w:left w:val="none" w:sz="0" w:space="0" w:color="auto"/>
                    <w:bottom w:val="none" w:sz="0" w:space="0" w:color="auto"/>
                    <w:right w:val="none" w:sz="0" w:space="0" w:color="auto"/>
                  </w:divBdr>
                  <w:divsChild>
                    <w:div w:id="389546567">
                      <w:marLeft w:val="0"/>
                      <w:marRight w:val="0"/>
                      <w:marTop w:val="0"/>
                      <w:marBottom w:val="0"/>
                      <w:divBdr>
                        <w:top w:val="none" w:sz="0" w:space="0" w:color="auto"/>
                        <w:left w:val="none" w:sz="0" w:space="0" w:color="auto"/>
                        <w:bottom w:val="none" w:sz="0" w:space="0" w:color="auto"/>
                        <w:right w:val="none" w:sz="0" w:space="0" w:color="auto"/>
                      </w:divBdr>
                    </w:div>
                    <w:div w:id="1190947476">
                      <w:marLeft w:val="0"/>
                      <w:marRight w:val="0"/>
                      <w:marTop w:val="0"/>
                      <w:marBottom w:val="0"/>
                      <w:divBdr>
                        <w:top w:val="none" w:sz="0" w:space="0" w:color="auto"/>
                        <w:left w:val="none" w:sz="0" w:space="0" w:color="auto"/>
                        <w:bottom w:val="none" w:sz="0" w:space="0" w:color="auto"/>
                        <w:right w:val="none" w:sz="0" w:space="0" w:color="auto"/>
                      </w:divBdr>
                    </w:div>
                    <w:div w:id="2016837276">
                      <w:marLeft w:val="0"/>
                      <w:marRight w:val="0"/>
                      <w:marTop w:val="0"/>
                      <w:marBottom w:val="0"/>
                      <w:divBdr>
                        <w:top w:val="none" w:sz="0" w:space="0" w:color="auto"/>
                        <w:left w:val="none" w:sz="0" w:space="0" w:color="auto"/>
                        <w:bottom w:val="none" w:sz="0" w:space="0" w:color="auto"/>
                        <w:right w:val="none" w:sz="0" w:space="0" w:color="auto"/>
                      </w:divBdr>
                    </w:div>
                  </w:divsChild>
                </w:div>
                <w:div w:id="1195575715">
                  <w:marLeft w:val="0"/>
                  <w:marRight w:val="0"/>
                  <w:marTop w:val="0"/>
                  <w:marBottom w:val="0"/>
                  <w:divBdr>
                    <w:top w:val="none" w:sz="0" w:space="0" w:color="auto"/>
                    <w:left w:val="none" w:sz="0" w:space="0" w:color="auto"/>
                    <w:bottom w:val="none" w:sz="0" w:space="0" w:color="auto"/>
                    <w:right w:val="none" w:sz="0" w:space="0" w:color="auto"/>
                  </w:divBdr>
                  <w:divsChild>
                    <w:div w:id="974992926">
                      <w:marLeft w:val="0"/>
                      <w:marRight w:val="0"/>
                      <w:marTop w:val="0"/>
                      <w:marBottom w:val="0"/>
                      <w:divBdr>
                        <w:top w:val="none" w:sz="0" w:space="0" w:color="auto"/>
                        <w:left w:val="none" w:sz="0" w:space="0" w:color="auto"/>
                        <w:bottom w:val="none" w:sz="0" w:space="0" w:color="auto"/>
                        <w:right w:val="none" w:sz="0" w:space="0" w:color="auto"/>
                      </w:divBdr>
                    </w:div>
                  </w:divsChild>
                </w:div>
                <w:div w:id="1217356114">
                  <w:marLeft w:val="0"/>
                  <w:marRight w:val="0"/>
                  <w:marTop w:val="0"/>
                  <w:marBottom w:val="0"/>
                  <w:divBdr>
                    <w:top w:val="none" w:sz="0" w:space="0" w:color="auto"/>
                    <w:left w:val="none" w:sz="0" w:space="0" w:color="auto"/>
                    <w:bottom w:val="none" w:sz="0" w:space="0" w:color="auto"/>
                    <w:right w:val="none" w:sz="0" w:space="0" w:color="auto"/>
                  </w:divBdr>
                  <w:divsChild>
                    <w:div w:id="905993625">
                      <w:marLeft w:val="0"/>
                      <w:marRight w:val="0"/>
                      <w:marTop w:val="0"/>
                      <w:marBottom w:val="0"/>
                      <w:divBdr>
                        <w:top w:val="none" w:sz="0" w:space="0" w:color="auto"/>
                        <w:left w:val="none" w:sz="0" w:space="0" w:color="auto"/>
                        <w:bottom w:val="none" w:sz="0" w:space="0" w:color="auto"/>
                        <w:right w:val="none" w:sz="0" w:space="0" w:color="auto"/>
                      </w:divBdr>
                    </w:div>
                    <w:div w:id="1736783408">
                      <w:marLeft w:val="0"/>
                      <w:marRight w:val="0"/>
                      <w:marTop w:val="0"/>
                      <w:marBottom w:val="0"/>
                      <w:divBdr>
                        <w:top w:val="none" w:sz="0" w:space="0" w:color="auto"/>
                        <w:left w:val="none" w:sz="0" w:space="0" w:color="auto"/>
                        <w:bottom w:val="none" w:sz="0" w:space="0" w:color="auto"/>
                        <w:right w:val="none" w:sz="0" w:space="0" w:color="auto"/>
                      </w:divBdr>
                    </w:div>
                    <w:div w:id="1802461539">
                      <w:marLeft w:val="0"/>
                      <w:marRight w:val="0"/>
                      <w:marTop w:val="0"/>
                      <w:marBottom w:val="0"/>
                      <w:divBdr>
                        <w:top w:val="none" w:sz="0" w:space="0" w:color="auto"/>
                        <w:left w:val="none" w:sz="0" w:space="0" w:color="auto"/>
                        <w:bottom w:val="none" w:sz="0" w:space="0" w:color="auto"/>
                        <w:right w:val="none" w:sz="0" w:space="0" w:color="auto"/>
                      </w:divBdr>
                    </w:div>
                  </w:divsChild>
                </w:div>
                <w:div w:id="1247150925">
                  <w:marLeft w:val="0"/>
                  <w:marRight w:val="0"/>
                  <w:marTop w:val="0"/>
                  <w:marBottom w:val="0"/>
                  <w:divBdr>
                    <w:top w:val="none" w:sz="0" w:space="0" w:color="auto"/>
                    <w:left w:val="none" w:sz="0" w:space="0" w:color="auto"/>
                    <w:bottom w:val="none" w:sz="0" w:space="0" w:color="auto"/>
                    <w:right w:val="none" w:sz="0" w:space="0" w:color="auto"/>
                  </w:divBdr>
                  <w:divsChild>
                    <w:div w:id="1244294844">
                      <w:marLeft w:val="0"/>
                      <w:marRight w:val="0"/>
                      <w:marTop w:val="0"/>
                      <w:marBottom w:val="0"/>
                      <w:divBdr>
                        <w:top w:val="none" w:sz="0" w:space="0" w:color="auto"/>
                        <w:left w:val="none" w:sz="0" w:space="0" w:color="auto"/>
                        <w:bottom w:val="none" w:sz="0" w:space="0" w:color="auto"/>
                        <w:right w:val="none" w:sz="0" w:space="0" w:color="auto"/>
                      </w:divBdr>
                    </w:div>
                  </w:divsChild>
                </w:div>
                <w:div w:id="1536041743">
                  <w:marLeft w:val="0"/>
                  <w:marRight w:val="0"/>
                  <w:marTop w:val="0"/>
                  <w:marBottom w:val="0"/>
                  <w:divBdr>
                    <w:top w:val="none" w:sz="0" w:space="0" w:color="auto"/>
                    <w:left w:val="none" w:sz="0" w:space="0" w:color="auto"/>
                    <w:bottom w:val="none" w:sz="0" w:space="0" w:color="auto"/>
                    <w:right w:val="none" w:sz="0" w:space="0" w:color="auto"/>
                  </w:divBdr>
                  <w:divsChild>
                    <w:div w:id="14158104">
                      <w:marLeft w:val="0"/>
                      <w:marRight w:val="0"/>
                      <w:marTop w:val="0"/>
                      <w:marBottom w:val="0"/>
                      <w:divBdr>
                        <w:top w:val="none" w:sz="0" w:space="0" w:color="auto"/>
                        <w:left w:val="none" w:sz="0" w:space="0" w:color="auto"/>
                        <w:bottom w:val="none" w:sz="0" w:space="0" w:color="auto"/>
                        <w:right w:val="none" w:sz="0" w:space="0" w:color="auto"/>
                      </w:divBdr>
                    </w:div>
                    <w:div w:id="91633391">
                      <w:marLeft w:val="0"/>
                      <w:marRight w:val="0"/>
                      <w:marTop w:val="0"/>
                      <w:marBottom w:val="0"/>
                      <w:divBdr>
                        <w:top w:val="none" w:sz="0" w:space="0" w:color="auto"/>
                        <w:left w:val="none" w:sz="0" w:space="0" w:color="auto"/>
                        <w:bottom w:val="none" w:sz="0" w:space="0" w:color="auto"/>
                        <w:right w:val="none" w:sz="0" w:space="0" w:color="auto"/>
                      </w:divBdr>
                    </w:div>
                    <w:div w:id="110634305">
                      <w:marLeft w:val="0"/>
                      <w:marRight w:val="0"/>
                      <w:marTop w:val="0"/>
                      <w:marBottom w:val="0"/>
                      <w:divBdr>
                        <w:top w:val="none" w:sz="0" w:space="0" w:color="auto"/>
                        <w:left w:val="none" w:sz="0" w:space="0" w:color="auto"/>
                        <w:bottom w:val="none" w:sz="0" w:space="0" w:color="auto"/>
                        <w:right w:val="none" w:sz="0" w:space="0" w:color="auto"/>
                      </w:divBdr>
                    </w:div>
                    <w:div w:id="770052150">
                      <w:marLeft w:val="0"/>
                      <w:marRight w:val="0"/>
                      <w:marTop w:val="0"/>
                      <w:marBottom w:val="0"/>
                      <w:divBdr>
                        <w:top w:val="none" w:sz="0" w:space="0" w:color="auto"/>
                        <w:left w:val="none" w:sz="0" w:space="0" w:color="auto"/>
                        <w:bottom w:val="none" w:sz="0" w:space="0" w:color="auto"/>
                        <w:right w:val="none" w:sz="0" w:space="0" w:color="auto"/>
                      </w:divBdr>
                    </w:div>
                    <w:div w:id="905148986">
                      <w:marLeft w:val="0"/>
                      <w:marRight w:val="0"/>
                      <w:marTop w:val="0"/>
                      <w:marBottom w:val="0"/>
                      <w:divBdr>
                        <w:top w:val="none" w:sz="0" w:space="0" w:color="auto"/>
                        <w:left w:val="none" w:sz="0" w:space="0" w:color="auto"/>
                        <w:bottom w:val="none" w:sz="0" w:space="0" w:color="auto"/>
                        <w:right w:val="none" w:sz="0" w:space="0" w:color="auto"/>
                      </w:divBdr>
                    </w:div>
                    <w:div w:id="1819689408">
                      <w:marLeft w:val="0"/>
                      <w:marRight w:val="0"/>
                      <w:marTop w:val="0"/>
                      <w:marBottom w:val="0"/>
                      <w:divBdr>
                        <w:top w:val="none" w:sz="0" w:space="0" w:color="auto"/>
                        <w:left w:val="none" w:sz="0" w:space="0" w:color="auto"/>
                        <w:bottom w:val="none" w:sz="0" w:space="0" w:color="auto"/>
                        <w:right w:val="none" w:sz="0" w:space="0" w:color="auto"/>
                      </w:divBdr>
                    </w:div>
                    <w:div w:id="1937206849">
                      <w:marLeft w:val="0"/>
                      <w:marRight w:val="0"/>
                      <w:marTop w:val="0"/>
                      <w:marBottom w:val="0"/>
                      <w:divBdr>
                        <w:top w:val="none" w:sz="0" w:space="0" w:color="auto"/>
                        <w:left w:val="none" w:sz="0" w:space="0" w:color="auto"/>
                        <w:bottom w:val="none" w:sz="0" w:space="0" w:color="auto"/>
                        <w:right w:val="none" w:sz="0" w:space="0" w:color="auto"/>
                      </w:divBdr>
                    </w:div>
                  </w:divsChild>
                </w:div>
                <w:div w:id="1588810663">
                  <w:marLeft w:val="0"/>
                  <w:marRight w:val="0"/>
                  <w:marTop w:val="0"/>
                  <w:marBottom w:val="0"/>
                  <w:divBdr>
                    <w:top w:val="none" w:sz="0" w:space="0" w:color="auto"/>
                    <w:left w:val="none" w:sz="0" w:space="0" w:color="auto"/>
                    <w:bottom w:val="none" w:sz="0" w:space="0" w:color="auto"/>
                    <w:right w:val="none" w:sz="0" w:space="0" w:color="auto"/>
                  </w:divBdr>
                  <w:divsChild>
                    <w:div w:id="129444249">
                      <w:marLeft w:val="0"/>
                      <w:marRight w:val="0"/>
                      <w:marTop w:val="0"/>
                      <w:marBottom w:val="0"/>
                      <w:divBdr>
                        <w:top w:val="none" w:sz="0" w:space="0" w:color="auto"/>
                        <w:left w:val="none" w:sz="0" w:space="0" w:color="auto"/>
                        <w:bottom w:val="none" w:sz="0" w:space="0" w:color="auto"/>
                        <w:right w:val="none" w:sz="0" w:space="0" w:color="auto"/>
                      </w:divBdr>
                    </w:div>
                  </w:divsChild>
                </w:div>
                <w:div w:id="1602032250">
                  <w:marLeft w:val="0"/>
                  <w:marRight w:val="0"/>
                  <w:marTop w:val="0"/>
                  <w:marBottom w:val="0"/>
                  <w:divBdr>
                    <w:top w:val="none" w:sz="0" w:space="0" w:color="auto"/>
                    <w:left w:val="none" w:sz="0" w:space="0" w:color="auto"/>
                    <w:bottom w:val="none" w:sz="0" w:space="0" w:color="auto"/>
                    <w:right w:val="none" w:sz="0" w:space="0" w:color="auto"/>
                  </w:divBdr>
                  <w:divsChild>
                    <w:div w:id="20055209">
                      <w:marLeft w:val="0"/>
                      <w:marRight w:val="0"/>
                      <w:marTop w:val="0"/>
                      <w:marBottom w:val="0"/>
                      <w:divBdr>
                        <w:top w:val="none" w:sz="0" w:space="0" w:color="auto"/>
                        <w:left w:val="none" w:sz="0" w:space="0" w:color="auto"/>
                        <w:bottom w:val="none" w:sz="0" w:space="0" w:color="auto"/>
                        <w:right w:val="none" w:sz="0" w:space="0" w:color="auto"/>
                      </w:divBdr>
                    </w:div>
                    <w:div w:id="1224221434">
                      <w:marLeft w:val="0"/>
                      <w:marRight w:val="0"/>
                      <w:marTop w:val="0"/>
                      <w:marBottom w:val="0"/>
                      <w:divBdr>
                        <w:top w:val="none" w:sz="0" w:space="0" w:color="auto"/>
                        <w:left w:val="none" w:sz="0" w:space="0" w:color="auto"/>
                        <w:bottom w:val="none" w:sz="0" w:space="0" w:color="auto"/>
                        <w:right w:val="none" w:sz="0" w:space="0" w:color="auto"/>
                      </w:divBdr>
                    </w:div>
                    <w:div w:id="2010865063">
                      <w:marLeft w:val="0"/>
                      <w:marRight w:val="0"/>
                      <w:marTop w:val="0"/>
                      <w:marBottom w:val="0"/>
                      <w:divBdr>
                        <w:top w:val="none" w:sz="0" w:space="0" w:color="auto"/>
                        <w:left w:val="none" w:sz="0" w:space="0" w:color="auto"/>
                        <w:bottom w:val="none" w:sz="0" w:space="0" w:color="auto"/>
                        <w:right w:val="none" w:sz="0" w:space="0" w:color="auto"/>
                      </w:divBdr>
                    </w:div>
                  </w:divsChild>
                </w:div>
                <w:div w:id="1660111576">
                  <w:marLeft w:val="0"/>
                  <w:marRight w:val="0"/>
                  <w:marTop w:val="0"/>
                  <w:marBottom w:val="0"/>
                  <w:divBdr>
                    <w:top w:val="none" w:sz="0" w:space="0" w:color="auto"/>
                    <w:left w:val="none" w:sz="0" w:space="0" w:color="auto"/>
                    <w:bottom w:val="none" w:sz="0" w:space="0" w:color="auto"/>
                    <w:right w:val="none" w:sz="0" w:space="0" w:color="auto"/>
                  </w:divBdr>
                  <w:divsChild>
                    <w:div w:id="1701783637">
                      <w:marLeft w:val="0"/>
                      <w:marRight w:val="0"/>
                      <w:marTop w:val="0"/>
                      <w:marBottom w:val="0"/>
                      <w:divBdr>
                        <w:top w:val="none" w:sz="0" w:space="0" w:color="auto"/>
                        <w:left w:val="none" w:sz="0" w:space="0" w:color="auto"/>
                        <w:bottom w:val="none" w:sz="0" w:space="0" w:color="auto"/>
                        <w:right w:val="none" w:sz="0" w:space="0" w:color="auto"/>
                      </w:divBdr>
                    </w:div>
                  </w:divsChild>
                </w:div>
                <w:div w:id="1696736103">
                  <w:marLeft w:val="0"/>
                  <w:marRight w:val="0"/>
                  <w:marTop w:val="0"/>
                  <w:marBottom w:val="0"/>
                  <w:divBdr>
                    <w:top w:val="none" w:sz="0" w:space="0" w:color="auto"/>
                    <w:left w:val="none" w:sz="0" w:space="0" w:color="auto"/>
                    <w:bottom w:val="none" w:sz="0" w:space="0" w:color="auto"/>
                    <w:right w:val="none" w:sz="0" w:space="0" w:color="auto"/>
                  </w:divBdr>
                  <w:divsChild>
                    <w:div w:id="1021006996">
                      <w:marLeft w:val="0"/>
                      <w:marRight w:val="0"/>
                      <w:marTop w:val="0"/>
                      <w:marBottom w:val="0"/>
                      <w:divBdr>
                        <w:top w:val="none" w:sz="0" w:space="0" w:color="auto"/>
                        <w:left w:val="none" w:sz="0" w:space="0" w:color="auto"/>
                        <w:bottom w:val="none" w:sz="0" w:space="0" w:color="auto"/>
                        <w:right w:val="none" w:sz="0" w:space="0" w:color="auto"/>
                      </w:divBdr>
                    </w:div>
                  </w:divsChild>
                </w:div>
                <w:div w:id="1709447959">
                  <w:marLeft w:val="0"/>
                  <w:marRight w:val="0"/>
                  <w:marTop w:val="0"/>
                  <w:marBottom w:val="0"/>
                  <w:divBdr>
                    <w:top w:val="none" w:sz="0" w:space="0" w:color="auto"/>
                    <w:left w:val="none" w:sz="0" w:space="0" w:color="auto"/>
                    <w:bottom w:val="none" w:sz="0" w:space="0" w:color="auto"/>
                    <w:right w:val="none" w:sz="0" w:space="0" w:color="auto"/>
                  </w:divBdr>
                  <w:divsChild>
                    <w:div w:id="1001156398">
                      <w:marLeft w:val="0"/>
                      <w:marRight w:val="0"/>
                      <w:marTop w:val="0"/>
                      <w:marBottom w:val="0"/>
                      <w:divBdr>
                        <w:top w:val="none" w:sz="0" w:space="0" w:color="auto"/>
                        <w:left w:val="none" w:sz="0" w:space="0" w:color="auto"/>
                        <w:bottom w:val="none" w:sz="0" w:space="0" w:color="auto"/>
                        <w:right w:val="none" w:sz="0" w:space="0" w:color="auto"/>
                      </w:divBdr>
                    </w:div>
                    <w:div w:id="1947879594">
                      <w:marLeft w:val="0"/>
                      <w:marRight w:val="0"/>
                      <w:marTop w:val="0"/>
                      <w:marBottom w:val="0"/>
                      <w:divBdr>
                        <w:top w:val="none" w:sz="0" w:space="0" w:color="auto"/>
                        <w:left w:val="none" w:sz="0" w:space="0" w:color="auto"/>
                        <w:bottom w:val="none" w:sz="0" w:space="0" w:color="auto"/>
                        <w:right w:val="none" w:sz="0" w:space="0" w:color="auto"/>
                      </w:divBdr>
                    </w:div>
                  </w:divsChild>
                </w:div>
                <w:div w:id="1739941309">
                  <w:marLeft w:val="0"/>
                  <w:marRight w:val="0"/>
                  <w:marTop w:val="0"/>
                  <w:marBottom w:val="0"/>
                  <w:divBdr>
                    <w:top w:val="none" w:sz="0" w:space="0" w:color="auto"/>
                    <w:left w:val="none" w:sz="0" w:space="0" w:color="auto"/>
                    <w:bottom w:val="none" w:sz="0" w:space="0" w:color="auto"/>
                    <w:right w:val="none" w:sz="0" w:space="0" w:color="auto"/>
                  </w:divBdr>
                  <w:divsChild>
                    <w:div w:id="1751389912">
                      <w:marLeft w:val="0"/>
                      <w:marRight w:val="0"/>
                      <w:marTop w:val="0"/>
                      <w:marBottom w:val="0"/>
                      <w:divBdr>
                        <w:top w:val="none" w:sz="0" w:space="0" w:color="auto"/>
                        <w:left w:val="none" w:sz="0" w:space="0" w:color="auto"/>
                        <w:bottom w:val="none" w:sz="0" w:space="0" w:color="auto"/>
                        <w:right w:val="none" w:sz="0" w:space="0" w:color="auto"/>
                      </w:divBdr>
                    </w:div>
                  </w:divsChild>
                </w:div>
                <w:div w:id="1833833071">
                  <w:marLeft w:val="0"/>
                  <w:marRight w:val="0"/>
                  <w:marTop w:val="0"/>
                  <w:marBottom w:val="0"/>
                  <w:divBdr>
                    <w:top w:val="none" w:sz="0" w:space="0" w:color="auto"/>
                    <w:left w:val="none" w:sz="0" w:space="0" w:color="auto"/>
                    <w:bottom w:val="none" w:sz="0" w:space="0" w:color="auto"/>
                    <w:right w:val="none" w:sz="0" w:space="0" w:color="auto"/>
                  </w:divBdr>
                  <w:divsChild>
                    <w:div w:id="361177800">
                      <w:marLeft w:val="0"/>
                      <w:marRight w:val="0"/>
                      <w:marTop w:val="0"/>
                      <w:marBottom w:val="0"/>
                      <w:divBdr>
                        <w:top w:val="none" w:sz="0" w:space="0" w:color="auto"/>
                        <w:left w:val="none" w:sz="0" w:space="0" w:color="auto"/>
                        <w:bottom w:val="none" w:sz="0" w:space="0" w:color="auto"/>
                        <w:right w:val="none" w:sz="0" w:space="0" w:color="auto"/>
                      </w:divBdr>
                    </w:div>
                    <w:div w:id="587156401">
                      <w:marLeft w:val="0"/>
                      <w:marRight w:val="0"/>
                      <w:marTop w:val="0"/>
                      <w:marBottom w:val="0"/>
                      <w:divBdr>
                        <w:top w:val="none" w:sz="0" w:space="0" w:color="auto"/>
                        <w:left w:val="none" w:sz="0" w:space="0" w:color="auto"/>
                        <w:bottom w:val="none" w:sz="0" w:space="0" w:color="auto"/>
                        <w:right w:val="none" w:sz="0" w:space="0" w:color="auto"/>
                      </w:divBdr>
                    </w:div>
                    <w:div w:id="1693262384">
                      <w:marLeft w:val="0"/>
                      <w:marRight w:val="0"/>
                      <w:marTop w:val="0"/>
                      <w:marBottom w:val="0"/>
                      <w:divBdr>
                        <w:top w:val="none" w:sz="0" w:space="0" w:color="auto"/>
                        <w:left w:val="none" w:sz="0" w:space="0" w:color="auto"/>
                        <w:bottom w:val="none" w:sz="0" w:space="0" w:color="auto"/>
                        <w:right w:val="none" w:sz="0" w:space="0" w:color="auto"/>
                      </w:divBdr>
                    </w:div>
                  </w:divsChild>
                </w:div>
                <w:div w:id="1888878882">
                  <w:marLeft w:val="0"/>
                  <w:marRight w:val="0"/>
                  <w:marTop w:val="0"/>
                  <w:marBottom w:val="0"/>
                  <w:divBdr>
                    <w:top w:val="none" w:sz="0" w:space="0" w:color="auto"/>
                    <w:left w:val="none" w:sz="0" w:space="0" w:color="auto"/>
                    <w:bottom w:val="none" w:sz="0" w:space="0" w:color="auto"/>
                    <w:right w:val="none" w:sz="0" w:space="0" w:color="auto"/>
                  </w:divBdr>
                  <w:divsChild>
                    <w:div w:id="75133287">
                      <w:marLeft w:val="0"/>
                      <w:marRight w:val="0"/>
                      <w:marTop w:val="0"/>
                      <w:marBottom w:val="0"/>
                      <w:divBdr>
                        <w:top w:val="none" w:sz="0" w:space="0" w:color="auto"/>
                        <w:left w:val="none" w:sz="0" w:space="0" w:color="auto"/>
                        <w:bottom w:val="none" w:sz="0" w:space="0" w:color="auto"/>
                        <w:right w:val="none" w:sz="0" w:space="0" w:color="auto"/>
                      </w:divBdr>
                    </w:div>
                    <w:div w:id="400837012">
                      <w:marLeft w:val="0"/>
                      <w:marRight w:val="0"/>
                      <w:marTop w:val="0"/>
                      <w:marBottom w:val="0"/>
                      <w:divBdr>
                        <w:top w:val="none" w:sz="0" w:space="0" w:color="auto"/>
                        <w:left w:val="none" w:sz="0" w:space="0" w:color="auto"/>
                        <w:bottom w:val="none" w:sz="0" w:space="0" w:color="auto"/>
                        <w:right w:val="none" w:sz="0" w:space="0" w:color="auto"/>
                      </w:divBdr>
                    </w:div>
                    <w:div w:id="562329210">
                      <w:marLeft w:val="0"/>
                      <w:marRight w:val="0"/>
                      <w:marTop w:val="0"/>
                      <w:marBottom w:val="0"/>
                      <w:divBdr>
                        <w:top w:val="none" w:sz="0" w:space="0" w:color="auto"/>
                        <w:left w:val="none" w:sz="0" w:space="0" w:color="auto"/>
                        <w:bottom w:val="none" w:sz="0" w:space="0" w:color="auto"/>
                        <w:right w:val="none" w:sz="0" w:space="0" w:color="auto"/>
                      </w:divBdr>
                    </w:div>
                    <w:div w:id="795293027">
                      <w:marLeft w:val="0"/>
                      <w:marRight w:val="0"/>
                      <w:marTop w:val="0"/>
                      <w:marBottom w:val="0"/>
                      <w:divBdr>
                        <w:top w:val="none" w:sz="0" w:space="0" w:color="auto"/>
                        <w:left w:val="none" w:sz="0" w:space="0" w:color="auto"/>
                        <w:bottom w:val="none" w:sz="0" w:space="0" w:color="auto"/>
                        <w:right w:val="none" w:sz="0" w:space="0" w:color="auto"/>
                      </w:divBdr>
                    </w:div>
                    <w:div w:id="1005747203">
                      <w:marLeft w:val="0"/>
                      <w:marRight w:val="0"/>
                      <w:marTop w:val="0"/>
                      <w:marBottom w:val="0"/>
                      <w:divBdr>
                        <w:top w:val="none" w:sz="0" w:space="0" w:color="auto"/>
                        <w:left w:val="none" w:sz="0" w:space="0" w:color="auto"/>
                        <w:bottom w:val="none" w:sz="0" w:space="0" w:color="auto"/>
                        <w:right w:val="none" w:sz="0" w:space="0" w:color="auto"/>
                      </w:divBdr>
                    </w:div>
                    <w:div w:id="1309742541">
                      <w:marLeft w:val="0"/>
                      <w:marRight w:val="0"/>
                      <w:marTop w:val="0"/>
                      <w:marBottom w:val="0"/>
                      <w:divBdr>
                        <w:top w:val="none" w:sz="0" w:space="0" w:color="auto"/>
                        <w:left w:val="none" w:sz="0" w:space="0" w:color="auto"/>
                        <w:bottom w:val="none" w:sz="0" w:space="0" w:color="auto"/>
                        <w:right w:val="none" w:sz="0" w:space="0" w:color="auto"/>
                      </w:divBdr>
                    </w:div>
                    <w:div w:id="1788305433">
                      <w:marLeft w:val="0"/>
                      <w:marRight w:val="0"/>
                      <w:marTop w:val="0"/>
                      <w:marBottom w:val="0"/>
                      <w:divBdr>
                        <w:top w:val="none" w:sz="0" w:space="0" w:color="auto"/>
                        <w:left w:val="none" w:sz="0" w:space="0" w:color="auto"/>
                        <w:bottom w:val="none" w:sz="0" w:space="0" w:color="auto"/>
                        <w:right w:val="none" w:sz="0" w:space="0" w:color="auto"/>
                      </w:divBdr>
                    </w:div>
                  </w:divsChild>
                </w:div>
                <w:div w:id="1944343421">
                  <w:marLeft w:val="0"/>
                  <w:marRight w:val="0"/>
                  <w:marTop w:val="0"/>
                  <w:marBottom w:val="0"/>
                  <w:divBdr>
                    <w:top w:val="none" w:sz="0" w:space="0" w:color="auto"/>
                    <w:left w:val="none" w:sz="0" w:space="0" w:color="auto"/>
                    <w:bottom w:val="none" w:sz="0" w:space="0" w:color="auto"/>
                    <w:right w:val="none" w:sz="0" w:space="0" w:color="auto"/>
                  </w:divBdr>
                  <w:divsChild>
                    <w:div w:id="476921156">
                      <w:marLeft w:val="0"/>
                      <w:marRight w:val="0"/>
                      <w:marTop w:val="0"/>
                      <w:marBottom w:val="0"/>
                      <w:divBdr>
                        <w:top w:val="none" w:sz="0" w:space="0" w:color="auto"/>
                        <w:left w:val="none" w:sz="0" w:space="0" w:color="auto"/>
                        <w:bottom w:val="none" w:sz="0" w:space="0" w:color="auto"/>
                        <w:right w:val="none" w:sz="0" w:space="0" w:color="auto"/>
                      </w:divBdr>
                    </w:div>
                  </w:divsChild>
                </w:div>
                <w:div w:id="1992830875">
                  <w:marLeft w:val="0"/>
                  <w:marRight w:val="0"/>
                  <w:marTop w:val="0"/>
                  <w:marBottom w:val="0"/>
                  <w:divBdr>
                    <w:top w:val="none" w:sz="0" w:space="0" w:color="auto"/>
                    <w:left w:val="none" w:sz="0" w:space="0" w:color="auto"/>
                    <w:bottom w:val="none" w:sz="0" w:space="0" w:color="auto"/>
                    <w:right w:val="none" w:sz="0" w:space="0" w:color="auto"/>
                  </w:divBdr>
                  <w:divsChild>
                    <w:div w:id="1475293517">
                      <w:marLeft w:val="0"/>
                      <w:marRight w:val="0"/>
                      <w:marTop w:val="0"/>
                      <w:marBottom w:val="0"/>
                      <w:divBdr>
                        <w:top w:val="none" w:sz="0" w:space="0" w:color="auto"/>
                        <w:left w:val="none" w:sz="0" w:space="0" w:color="auto"/>
                        <w:bottom w:val="none" w:sz="0" w:space="0" w:color="auto"/>
                        <w:right w:val="none" w:sz="0" w:space="0" w:color="auto"/>
                      </w:divBdr>
                    </w:div>
                  </w:divsChild>
                </w:div>
                <w:div w:id="2054309660">
                  <w:marLeft w:val="0"/>
                  <w:marRight w:val="0"/>
                  <w:marTop w:val="0"/>
                  <w:marBottom w:val="0"/>
                  <w:divBdr>
                    <w:top w:val="none" w:sz="0" w:space="0" w:color="auto"/>
                    <w:left w:val="none" w:sz="0" w:space="0" w:color="auto"/>
                    <w:bottom w:val="none" w:sz="0" w:space="0" w:color="auto"/>
                    <w:right w:val="none" w:sz="0" w:space="0" w:color="auto"/>
                  </w:divBdr>
                  <w:divsChild>
                    <w:div w:id="510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8926">
      <w:bodyDiv w:val="1"/>
      <w:marLeft w:val="0"/>
      <w:marRight w:val="0"/>
      <w:marTop w:val="0"/>
      <w:marBottom w:val="0"/>
      <w:divBdr>
        <w:top w:val="none" w:sz="0" w:space="0" w:color="auto"/>
        <w:left w:val="none" w:sz="0" w:space="0" w:color="auto"/>
        <w:bottom w:val="none" w:sz="0" w:space="0" w:color="auto"/>
        <w:right w:val="none" w:sz="0" w:space="0" w:color="auto"/>
      </w:divBdr>
      <w:divsChild>
        <w:div w:id="279145757">
          <w:marLeft w:val="0"/>
          <w:marRight w:val="0"/>
          <w:marTop w:val="0"/>
          <w:marBottom w:val="0"/>
          <w:divBdr>
            <w:top w:val="none" w:sz="0" w:space="0" w:color="auto"/>
            <w:left w:val="none" w:sz="0" w:space="0" w:color="auto"/>
            <w:bottom w:val="none" w:sz="0" w:space="0" w:color="auto"/>
            <w:right w:val="none" w:sz="0" w:space="0" w:color="auto"/>
          </w:divBdr>
          <w:divsChild>
            <w:div w:id="1610159289">
              <w:marLeft w:val="0"/>
              <w:marRight w:val="0"/>
              <w:marTop w:val="30"/>
              <w:marBottom w:val="30"/>
              <w:divBdr>
                <w:top w:val="none" w:sz="0" w:space="0" w:color="auto"/>
                <w:left w:val="none" w:sz="0" w:space="0" w:color="auto"/>
                <w:bottom w:val="none" w:sz="0" w:space="0" w:color="auto"/>
                <w:right w:val="none" w:sz="0" w:space="0" w:color="auto"/>
              </w:divBdr>
              <w:divsChild>
                <w:div w:id="16974575">
                  <w:marLeft w:val="0"/>
                  <w:marRight w:val="0"/>
                  <w:marTop w:val="0"/>
                  <w:marBottom w:val="0"/>
                  <w:divBdr>
                    <w:top w:val="none" w:sz="0" w:space="0" w:color="auto"/>
                    <w:left w:val="none" w:sz="0" w:space="0" w:color="auto"/>
                    <w:bottom w:val="none" w:sz="0" w:space="0" w:color="auto"/>
                    <w:right w:val="none" w:sz="0" w:space="0" w:color="auto"/>
                  </w:divBdr>
                  <w:divsChild>
                    <w:div w:id="693307707">
                      <w:marLeft w:val="0"/>
                      <w:marRight w:val="0"/>
                      <w:marTop w:val="0"/>
                      <w:marBottom w:val="0"/>
                      <w:divBdr>
                        <w:top w:val="none" w:sz="0" w:space="0" w:color="auto"/>
                        <w:left w:val="none" w:sz="0" w:space="0" w:color="auto"/>
                        <w:bottom w:val="none" w:sz="0" w:space="0" w:color="auto"/>
                        <w:right w:val="none" w:sz="0" w:space="0" w:color="auto"/>
                      </w:divBdr>
                    </w:div>
                    <w:div w:id="871769888">
                      <w:marLeft w:val="0"/>
                      <w:marRight w:val="0"/>
                      <w:marTop w:val="0"/>
                      <w:marBottom w:val="0"/>
                      <w:divBdr>
                        <w:top w:val="none" w:sz="0" w:space="0" w:color="auto"/>
                        <w:left w:val="none" w:sz="0" w:space="0" w:color="auto"/>
                        <w:bottom w:val="none" w:sz="0" w:space="0" w:color="auto"/>
                        <w:right w:val="none" w:sz="0" w:space="0" w:color="auto"/>
                      </w:divBdr>
                    </w:div>
                    <w:div w:id="1579511880">
                      <w:marLeft w:val="0"/>
                      <w:marRight w:val="0"/>
                      <w:marTop w:val="0"/>
                      <w:marBottom w:val="0"/>
                      <w:divBdr>
                        <w:top w:val="none" w:sz="0" w:space="0" w:color="auto"/>
                        <w:left w:val="none" w:sz="0" w:space="0" w:color="auto"/>
                        <w:bottom w:val="none" w:sz="0" w:space="0" w:color="auto"/>
                        <w:right w:val="none" w:sz="0" w:space="0" w:color="auto"/>
                      </w:divBdr>
                    </w:div>
                    <w:div w:id="1975409815">
                      <w:marLeft w:val="0"/>
                      <w:marRight w:val="0"/>
                      <w:marTop w:val="0"/>
                      <w:marBottom w:val="0"/>
                      <w:divBdr>
                        <w:top w:val="none" w:sz="0" w:space="0" w:color="auto"/>
                        <w:left w:val="none" w:sz="0" w:space="0" w:color="auto"/>
                        <w:bottom w:val="none" w:sz="0" w:space="0" w:color="auto"/>
                        <w:right w:val="none" w:sz="0" w:space="0" w:color="auto"/>
                      </w:divBdr>
                    </w:div>
                  </w:divsChild>
                </w:div>
                <w:div w:id="96606530">
                  <w:marLeft w:val="0"/>
                  <w:marRight w:val="0"/>
                  <w:marTop w:val="0"/>
                  <w:marBottom w:val="0"/>
                  <w:divBdr>
                    <w:top w:val="none" w:sz="0" w:space="0" w:color="auto"/>
                    <w:left w:val="none" w:sz="0" w:space="0" w:color="auto"/>
                    <w:bottom w:val="none" w:sz="0" w:space="0" w:color="auto"/>
                    <w:right w:val="none" w:sz="0" w:space="0" w:color="auto"/>
                  </w:divBdr>
                  <w:divsChild>
                    <w:div w:id="134957248">
                      <w:marLeft w:val="0"/>
                      <w:marRight w:val="0"/>
                      <w:marTop w:val="0"/>
                      <w:marBottom w:val="0"/>
                      <w:divBdr>
                        <w:top w:val="none" w:sz="0" w:space="0" w:color="auto"/>
                        <w:left w:val="none" w:sz="0" w:space="0" w:color="auto"/>
                        <w:bottom w:val="none" w:sz="0" w:space="0" w:color="auto"/>
                        <w:right w:val="none" w:sz="0" w:space="0" w:color="auto"/>
                      </w:divBdr>
                    </w:div>
                    <w:div w:id="398093283">
                      <w:marLeft w:val="0"/>
                      <w:marRight w:val="0"/>
                      <w:marTop w:val="0"/>
                      <w:marBottom w:val="0"/>
                      <w:divBdr>
                        <w:top w:val="none" w:sz="0" w:space="0" w:color="auto"/>
                        <w:left w:val="none" w:sz="0" w:space="0" w:color="auto"/>
                        <w:bottom w:val="none" w:sz="0" w:space="0" w:color="auto"/>
                        <w:right w:val="none" w:sz="0" w:space="0" w:color="auto"/>
                      </w:divBdr>
                    </w:div>
                    <w:div w:id="2055033370">
                      <w:marLeft w:val="0"/>
                      <w:marRight w:val="0"/>
                      <w:marTop w:val="0"/>
                      <w:marBottom w:val="0"/>
                      <w:divBdr>
                        <w:top w:val="none" w:sz="0" w:space="0" w:color="auto"/>
                        <w:left w:val="none" w:sz="0" w:space="0" w:color="auto"/>
                        <w:bottom w:val="none" w:sz="0" w:space="0" w:color="auto"/>
                        <w:right w:val="none" w:sz="0" w:space="0" w:color="auto"/>
                      </w:divBdr>
                    </w:div>
                    <w:div w:id="2114938741">
                      <w:marLeft w:val="0"/>
                      <w:marRight w:val="0"/>
                      <w:marTop w:val="0"/>
                      <w:marBottom w:val="0"/>
                      <w:divBdr>
                        <w:top w:val="none" w:sz="0" w:space="0" w:color="auto"/>
                        <w:left w:val="none" w:sz="0" w:space="0" w:color="auto"/>
                        <w:bottom w:val="none" w:sz="0" w:space="0" w:color="auto"/>
                        <w:right w:val="none" w:sz="0" w:space="0" w:color="auto"/>
                      </w:divBdr>
                    </w:div>
                  </w:divsChild>
                </w:div>
                <w:div w:id="251596875">
                  <w:marLeft w:val="0"/>
                  <w:marRight w:val="0"/>
                  <w:marTop w:val="0"/>
                  <w:marBottom w:val="0"/>
                  <w:divBdr>
                    <w:top w:val="none" w:sz="0" w:space="0" w:color="auto"/>
                    <w:left w:val="none" w:sz="0" w:space="0" w:color="auto"/>
                    <w:bottom w:val="none" w:sz="0" w:space="0" w:color="auto"/>
                    <w:right w:val="none" w:sz="0" w:space="0" w:color="auto"/>
                  </w:divBdr>
                  <w:divsChild>
                    <w:div w:id="93284764">
                      <w:marLeft w:val="0"/>
                      <w:marRight w:val="0"/>
                      <w:marTop w:val="0"/>
                      <w:marBottom w:val="0"/>
                      <w:divBdr>
                        <w:top w:val="none" w:sz="0" w:space="0" w:color="auto"/>
                        <w:left w:val="none" w:sz="0" w:space="0" w:color="auto"/>
                        <w:bottom w:val="none" w:sz="0" w:space="0" w:color="auto"/>
                        <w:right w:val="none" w:sz="0" w:space="0" w:color="auto"/>
                      </w:divBdr>
                    </w:div>
                    <w:div w:id="161434290">
                      <w:marLeft w:val="0"/>
                      <w:marRight w:val="0"/>
                      <w:marTop w:val="0"/>
                      <w:marBottom w:val="0"/>
                      <w:divBdr>
                        <w:top w:val="none" w:sz="0" w:space="0" w:color="auto"/>
                        <w:left w:val="none" w:sz="0" w:space="0" w:color="auto"/>
                        <w:bottom w:val="none" w:sz="0" w:space="0" w:color="auto"/>
                        <w:right w:val="none" w:sz="0" w:space="0" w:color="auto"/>
                      </w:divBdr>
                    </w:div>
                    <w:div w:id="781807108">
                      <w:marLeft w:val="0"/>
                      <w:marRight w:val="0"/>
                      <w:marTop w:val="0"/>
                      <w:marBottom w:val="0"/>
                      <w:divBdr>
                        <w:top w:val="none" w:sz="0" w:space="0" w:color="auto"/>
                        <w:left w:val="none" w:sz="0" w:space="0" w:color="auto"/>
                        <w:bottom w:val="none" w:sz="0" w:space="0" w:color="auto"/>
                        <w:right w:val="none" w:sz="0" w:space="0" w:color="auto"/>
                      </w:divBdr>
                    </w:div>
                    <w:div w:id="801727587">
                      <w:marLeft w:val="0"/>
                      <w:marRight w:val="0"/>
                      <w:marTop w:val="0"/>
                      <w:marBottom w:val="0"/>
                      <w:divBdr>
                        <w:top w:val="none" w:sz="0" w:space="0" w:color="auto"/>
                        <w:left w:val="none" w:sz="0" w:space="0" w:color="auto"/>
                        <w:bottom w:val="none" w:sz="0" w:space="0" w:color="auto"/>
                        <w:right w:val="none" w:sz="0" w:space="0" w:color="auto"/>
                      </w:divBdr>
                    </w:div>
                    <w:div w:id="1480221219">
                      <w:marLeft w:val="0"/>
                      <w:marRight w:val="0"/>
                      <w:marTop w:val="0"/>
                      <w:marBottom w:val="0"/>
                      <w:divBdr>
                        <w:top w:val="none" w:sz="0" w:space="0" w:color="auto"/>
                        <w:left w:val="none" w:sz="0" w:space="0" w:color="auto"/>
                        <w:bottom w:val="none" w:sz="0" w:space="0" w:color="auto"/>
                        <w:right w:val="none" w:sz="0" w:space="0" w:color="auto"/>
                      </w:divBdr>
                    </w:div>
                    <w:div w:id="1905141219">
                      <w:marLeft w:val="0"/>
                      <w:marRight w:val="0"/>
                      <w:marTop w:val="0"/>
                      <w:marBottom w:val="0"/>
                      <w:divBdr>
                        <w:top w:val="none" w:sz="0" w:space="0" w:color="auto"/>
                        <w:left w:val="none" w:sz="0" w:space="0" w:color="auto"/>
                        <w:bottom w:val="none" w:sz="0" w:space="0" w:color="auto"/>
                        <w:right w:val="none" w:sz="0" w:space="0" w:color="auto"/>
                      </w:divBdr>
                    </w:div>
                  </w:divsChild>
                </w:div>
                <w:div w:id="380904736">
                  <w:marLeft w:val="0"/>
                  <w:marRight w:val="0"/>
                  <w:marTop w:val="0"/>
                  <w:marBottom w:val="0"/>
                  <w:divBdr>
                    <w:top w:val="none" w:sz="0" w:space="0" w:color="auto"/>
                    <w:left w:val="none" w:sz="0" w:space="0" w:color="auto"/>
                    <w:bottom w:val="none" w:sz="0" w:space="0" w:color="auto"/>
                    <w:right w:val="none" w:sz="0" w:space="0" w:color="auto"/>
                  </w:divBdr>
                  <w:divsChild>
                    <w:div w:id="46611068">
                      <w:marLeft w:val="0"/>
                      <w:marRight w:val="0"/>
                      <w:marTop w:val="0"/>
                      <w:marBottom w:val="0"/>
                      <w:divBdr>
                        <w:top w:val="none" w:sz="0" w:space="0" w:color="auto"/>
                        <w:left w:val="none" w:sz="0" w:space="0" w:color="auto"/>
                        <w:bottom w:val="none" w:sz="0" w:space="0" w:color="auto"/>
                        <w:right w:val="none" w:sz="0" w:space="0" w:color="auto"/>
                      </w:divBdr>
                    </w:div>
                    <w:div w:id="964965544">
                      <w:marLeft w:val="0"/>
                      <w:marRight w:val="0"/>
                      <w:marTop w:val="0"/>
                      <w:marBottom w:val="0"/>
                      <w:divBdr>
                        <w:top w:val="none" w:sz="0" w:space="0" w:color="auto"/>
                        <w:left w:val="none" w:sz="0" w:space="0" w:color="auto"/>
                        <w:bottom w:val="none" w:sz="0" w:space="0" w:color="auto"/>
                        <w:right w:val="none" w:sz="0" w:space="0" w:color="auto"/>
                      </w:divBdr>
                    </w:div>
                    <w:div w:id="2019774323">
                      <w:marLeft w:val="0"/>
                      <w:marRight w:val="0"/>
                      <w:marTop w:val="0"/>
                      <w:marBottom w:val="0"/>
                      <w:divBdr>
                        <w:top w:val="none" w:sz="0" w:space="0" w:color="auto"/>
                        <w:left w:val="none" w:sz="0" w:space="0" w:color="auto"/>
                        <w:bottom w:val="none" w:sz="0" w:space="0" w:color="auto"/>
                        <w:right w:val="none" w:sz="0" w:space="0" w:color="auto"/>
                      </w:divBdr>
                    </w:div>
                    <w:div w:id="2056005741">
                      <w:marLeft w:val="0"/>
                      <w:marRight w:val="0"/>
                      <w:marTop w:val="0"/>
                      <w:marBottom w:val="0"/>
                      <w:divBdr>
                        <w:top w:val="none" w:sz="0" w:space="0" w:color="auto"/>
                        <w:left w:val="none" w:sz="0" w:space="0" w:color="auto"/>
                        <w:bottom w:val="none" w:sz="0" w:space="0" w:color="auto"/>
                        <w:right w:val="none" w:sz="0" w:space="0" w:color="auto"/>
                      </w:divBdr>
                    </w:div>
                  </w:divsChild>
                </w:div>
                <w:div w:id="704447312">
                  <w:marLeft w:val="0"/>
                  <w:marRight w:val="0"/>
                  <w:marTop w:val="0"/>
                  <w:marBottom w:val="0"/>
                  <w:divBdr>
                    <w:top w:val="none" w:sz="0" w:space="0" w:color="auto"/>
                    <w:left w:val="none" w:sz="0" w:space="0" w:color="auto"/>
                    <w:bottom w:val="none" w:sz="0" w:space="0" w:color="auto"/>
                    <w:right w:val="none" w:sz="0" w:space="0" w:color="auto"/>
                  </w:divBdr>
                  <w:divsChild>
                    <w:div w:id="686449787">
                      <w:marLeft w:val="0"/>
                      <w:marRight w:val="0"/>
                      <w:marTop w:val="0"/>
                      <w:marBottom w:val="0"/>
                      <w:divBdr>
                        <w:top w:val="none" w:sz="0" w:space="0" w:color="auto"/>
                        <w:left w:val="none" w:sz="0" w:space="0" w:color="auto"/>
                        <w:bottom w:val="none" w:sz="0" w:space="0" w:color="auto"/>
                        <w:right w:val="none" w:sz="0" w:space="0" w:color="auto"/>
                      </w:divBdr>
                    </w:div>
                    <w:div w:id="1499225819">
                      <w:marLeft w:val="0"/>
                      <w:marRight w:val="0"/>
                      <w:marTop w:val="0"/>
                      <w:marBottom w:val="0"/>
                      <w:divBdr>
                        <w:top w:val="none" w:sz="0" w:space="0" w:color="auto"/>
                        <w:left w:val="none" w:sz="0" w:space="0" w:color="auto"/>
                        <w:bottom w:val="none" w:sz="0" w:space="0" w:color="auto"/>
                        <w:right w:val="none" w:sz="0" w:space="0" w:color="auto"/>
                      </w:divBdr>
                    </w:div>
                    <w:div w:id="1742406041">
                      <w:marLeft w:val="0"/>
                      <w:marRight w:val="0"/>
                      <w:marTop w:val="0"/>
                      <w:marBottom w:val="0"/>
                      <w:divBdr>
                        <w:top w:val="none" w:sz="0" w:space="0" w:color="auto"/>
                        <w:left w:val="none" w:sz="0" w:space="0" w:color="auto"/>
                        <w:bottom w:val="none" w:sz="0" w:space="0" w:color="auto"/>
                        <w:right w:val="none" w:sz="0" w:space="0" w:color="auto"/>
                      </w:divBdr>
                    </w:div>
                    <w:div w:id="2141150147">
                      <w:marLeft w:val="0"/>
                      <w:marRight w:val="0"/>
                      <w:marTop w:val="0"/>
                      <w:marBottom w:val="0"/>
                      <w:divBdr>
                        <w:top w:val="none" w:sz="0" w:space="0" w:color="auto"/>
                        <w:left w:val="none" w:sz="0" w:space="0" w:color="auto"/>
                        <w:bottom w:val="none" w:sz="0" w:space="0" w:color="auto"/>
                        <w:right w:val="none" w:sz="0" w:space="0" w:color="auto"/>
                      </w:divBdr>
                    </w:div>
                  </w:divsChild>
                </w:div>
                <w:div w:id="1036151471">
                  <w:marLeft w:val="0"/>
                  <w:marRight w:val="0"/>
                  <w:marTop w:val="0"/>
                  <w:marBottom w:val="0"/>
                  <w:divBdr>
                    <w:top w:val="none" w:sz="0" w:space="0" w:color="auto"/>
                    <w:left w:val="none" w:sz="0" w:space="0" w:color="auto"/>
                    <w:bottom w:val="none" w:sz="0" w:space="0" w:color="auto"/>
                    <w:right w:val="none" w:sz="0" w:space="0" w:color="auto"/>
                  </w:divBdr>
                  <w:divsChild>
                    <w:div w:id="471674579">
                      <w:marLeft w:val="0"/>
                      <w:marRight w:val="0"/>
                      <w:marTop w:val="0"/>
                      <w:marBottom w:val="0"/>
                      <w:divBdr>
                        <w:top w:val="none" w:sz="0" w:space="0" w:color="auto"/>
                        <w:left w:val="none" w:sz="0" w:space="0" w:color="auto"/>
                        <w:bottom w:val="none" w:sz="0" w:space="0" w:color="auto"/>
                        <w:right w:val="none" w:sz="0" w:space="0" w:color="auto"/>
                      </w:divBdr>
                    </w:div>
                    <w:div w:id="1488322828">
                      <w:marLeft w:val="0"/>
                      <w:marRight w:val="0"/>
                      <w:marTop w:val="0"/>
                      <w:marBottom w:val="0"/>
                      <w:divBdr>
                        <w:top w:val="none" w:sz="0" w:space="0" w:color="auto"/>
                        <w:left w:val="none" w:sz="0" w:space="0" w:color="auto"/>
                        <w:bottom w:val="none" w:sz="0" w:space="0" w:color="auto"/>
                        <w:right w:val="none" w:sz="0" w:space="0" w:color="auto"/>
                      </w:divBdr>
                    </w:div>
                    <w:div w:id="1708604412">
                      <w:marLeft w:val="0"/>
                      <w:marRight w:val="0"/>
                      <w:marTop w:val="0"/>
                      <w:marBottom w:val="0"/>
                      <w:divBdr>
                        <w:top w:val="none" w:sz="0" w:space="0" w:color="auto"/>
                        <w:left w:val="none" w:sz="0" w:space="0" w:color="auto"/>
                        <w:bottom w:val="none" w:sz="0" w:space="0" w:color="auto"/>
                        <w:right w:val="none" w:sz="0" w:space="0" w:color="auto"/>
                      </w:divBdr>
                    </w:div>
                    <w:div w:id="1902518333">
                      <w:marLeft w:val="0"/>
                      <w:marRight w:val="0"/>
                      <w:marTop w:val="0"/>
                      <w:marBottom w:val="0"/>
                      <w:divBdr>
                        <w:top w:val="none" w:sz="0" w:space="0" w:color="auto"/>
                        <w:left w:val="none" w:sz="0" w:space="0" w:color="auto"/>
                        <w:bottom w:val="none" w:sz="0" w:space="0" w:color="auto"/>
                        <w:right w:val="none" w:sz="0" w:space="0" w:color="auto"/>
                      </w:divBdr>
                    </w:div>
                  </w:divsChild>
                </w:div>
                <w:div w:id="1270431269">
                  <w:marLeft w:val="0"/>
                  <w:marRight w:val="0"/>
                  <w:marTop w:val="0"/>
                  <w:marBottom w:val="0"/>
                  <w:divBdr>
                    <w:top w:val="none" w:sz="0" w:space="0" w:color="auto"/>
                    <w:left w:val="none" w:sz="0" w:space="0" w:color="auto"/>
                    <w:bottom w:val="none" w:sz="0" w:space="0" w:color="auto"/>
                    <w:right w:val="none" w:sz="0" w:space="0" w:color="auto"/>
                  </w:divBdr>
                  <w:divsChild>
                    <w:div w:id="481848962">
                      <w:marLeft w:val="0"/>
                      <w:marRight w:val="0"/>
                      <w:marTop w:val="0"/>
                      <w:marBottom w:val="0"/>
                      <w:divBdr>
                        <w:top w:val="none" w:sz="0" w:space="0" w:color="auto"/>
                        <w:left w:val="none" w:sz="0" w:space="0" w:color="auto"/>
                        <w:bottom w:val="none" w:sz="0" w:space="0" w:color="auto"/>
                        <w:right w:val="none" w:sz="0" w:space="0" w:color="auto"/>
                      </w:divBdr>
                    </w:div>
                    <w:div w:id="711465805">
                      <w:marLeft w:val="0"/>
                      <w:marRight w:val="0"/>
                      <w:marTop w:val="0"/>
                      <w:marBottom w:val="0"/>
                      <w:divBdr>
                        <w:top w:val="none" w:sz="0" w:space="0" w:color="auto"/>
                        <w:left w:val="none" w:sz="0" w:space="0" w:color="auto"/>
                        <w:bottom w:val="none" w:sz="0" w:space="0" w:color="auto"/>
                        <w:right w:val="none" w:sz="0" w:space="0" w:color="auto"/>
                      </w:divBdr>
                    </w:div>
                    <w:div w:id="1461335846">
                      <w:marLeft w:val="0"/>
                      <w:marRight w:val="0"/>
                      <w:marTop w:val="0"/>
                      <w:marBottom w:val="0"/>
                      <w:divBdr>
                        <w:top w:val="none" w:sz="0" w:space="0" w:color="auto"/>
                        <w:left w:val="none" w:sz="0" w:space="0" w:color="auto"/>
                        <w:bottom w:val="none" w:sz="0" w:space="0" w:color="auto"/>
                        <w:right w:val="none" w:sz="0" w:space="0" w:color="auto"/>
                      </w:divBdr>
                    </w:div>
                  </w:divsChild>
                </w:div>
                <w:div w:id="1423916131">
                  <w:marLeft w:val="0"/>
                  <w:marRight w:val="0"/>
                  <w:marTop w:val="0"/>
                  <w:marBottom w:val="0"/>
                  <w:divBdr>
                    <w:top w:val="none" w:sz="0" w:space="0" w:color="auto"/>
                    <w:left w:val="none" w:sz="0" w:space="0" w:color="auto"/>
                    <w:bottom w:val="none" w:sz="0" w:space="0" w:color="auto"/>
                    <w:right w:val="none" w:sz="0" w:space="0" w:color="auto"/>
                  </w:divBdr>
                  <w:divsChild>
                    <w:div w:id="387068891">
                      <w:marLeft w:val="0"/>
                      <w:marRight w:val="0"/>
                      <w:marTop w:val="0"/>
                      <w:marBottom w:val="0"/>
                      <w:divBdr>
                        <w:top w:val="none" w:sz="0" w:space="0" w:color="auto"/>
                        <w:left w:val="none" w:sz="0" w:space="0" w:color="auto"/>
                        <w:bottom w:val="none" w:sz="0" w:space="0" w:color="auto"/>
                        <w:right w:val="none" w:sz="0" w:space="0" w:color="auto"/>
                      </w:divBdr>
                    </w:div>
                    <w:div w:id="1401247312">
                      <w:marLeft w:val="0"/>
                      <w:marRight w:val="0"/>
                      <w:marTop w:val="0"/>
                      <w:marBottom w:val="0"/>
                      <w:divBdr>
                        <w:top w:val="none" w:sz="0" w:space="0" w:color="auto"/>
                        <w:left w:val="none" w:sz="0" w:space="0" w:color="auto"/>
                        <w:bottom w:val="none" w:sz="0" w:space="0" w:color="auto"/>
                        <w:right w:val="none" w:sz="0" w:space="0" w:color="auto"/>
                      </w:divBdr>
                    </w:div>
                    <w:div w:id="1518469306">
                      <w:marLeft w:val="0"/>
                      <w:marRight w:val="0"/>
                      <w:marTop w:val="0"/>
                      <w:marBottom w:val="0"/>
                      <w:divBdr>
                        <w:top w:val="none" w:sz="0" w:space="0" w:color="auto"/>
                        <w:left w:val="none" w:sz="0" w:space="0" w:color="auto"/>
                        <w:bottom w:val="none" w:sz="0" w:space="0" w:color="auto"/>
                        <w:right w:val="none" w:sz="0" w:space="0" w:color="auto"/>
                      </w:divBdr>
                    </w:div>
                    <w:div w:id="1733116104">
                      <w:marLeft w:val="0"/>
                      <w:marRight w:val="0"/>
                      <w:marTop w:val="0"/>
                      <w:marBottom w:val="0"/>
                      <w:divBdr>
                        <w:top w:val="none" w:sz="0" w:space="0" w:color="auto"/>
                        <w:left w:val="none" w:sz="0" w:space="0" w:color="auto"/>
                        <w:bottom w:val="none" w:sz="0" w:space="0" w:color="auto"/>
                        <w:right w:val="none" w:sz="0" w:space="0" w:color="auto"/>
                      </w:divBdr>
                    </w:div>
                    <w:div w:id="1946769562">
                      <w:marLeft w:val="0"/>
                      <w:marRight w:val="0"/>
                      <w:marTop w:val="0"/>
                      <w:marBottom w:val="0"/>
                      <w:divBdr>
                        <w:top w:val="none" w:sz="0" w:space="0" w:color="auto"/>
                        <w:left w:val="none" w:sz="0" w:space="0" w:color="auto"/>
                        <w:bottom w:val="none" w:sz="0" w:space="0" w:color="auto"/>
                        <w:right w:val="none" w:sz="0" w:space="0" w:color="auto"/>
                      </w:divBdr>
                    </w:div>
                  </w:divsChild>
                </w:div>
                <w:div w:id="1871844060">
                  <w:marLeft w:val="0"/>
                  <w:marRight w:val="0"/>
                  <w:marTop w:val="0"/>
                  <w:marBottom w:val="0"/>
                  <w:divBdr>
                    <w:top w:val="none" w:sz="0" w:space="0" w:color="auto"/>
                    <w:left w:val="none" w:sz="0" w:space="0" w:color="auto"/>
                    <w:bottom w:val="none" w:sz="0" w:space="0" w:color="auto"/>
                    <w:right w:val="none" w:sz="0" w:space="0" w:color="auto"/>
                  </w:divBdr>
                  <w:divsChild>
                    <w:div w:id="283269482">
                      <w:marLeft w:val="0"/>
                      <w:marRight w:val="0"/>
                      <w:marTop w:val="0"/>
                      <w:marBottom w:val="0"/>
                      <w:divBdr>
                        <w:top w:val="none" w:sz="0" w:space="0" w:color="auto"/>
                        <w:left w:val="none" w:sz="0" w:space="0" w:color="auto"/>
                        <w:bottom w:val="none" w:sz="0" w:space="0" w:color="auto"/>
                        <w:right w:val="none" w:sz="0" w:space="0" w:color="auto"/>
                      </w:divBdr>
                    </w:div>
                    <w:div w:id="410080529">
                      <w:marLeft w:val="0"/>
                      <w:marRight w:val="0"/>
                      <w:marTop w:val="0"/>
                      <w:marBottom w:val="0"/>
                      <w:divBdr>
                        <w:top w:val="none" w:sz="0" w:space="0" w:color="auto"/>
                        <w:left w:val="none" w:sz="0" w:space="0" w:color="auto"/>
                        <w:bottom w:val="none" w:sz="0" w:space="0" w:color="auto"/>
                        <w:right w:val="none" w:sz="0" w:space="0" w:color="auto"/>
                      </w:divBdr>
                    </w:div>
                    <w:div w:id="1367683850">
                      <w:marLeft w:val="0"/>
                      <w:marRight w:val="0"/>
                      <w:marTop w:val="0"/>
                      <w:marBottom w:val="0"/>
                      <w:divBdr>
                        <w:top w:val="none" w:sz="0" w:space="0" w:color="auto"/>
                        <w:left w:val="none" w:sz="0" w:space="0" w:color="auto"/>
                        <w:bottom w:val="none" w:sz="0" w:space="0" w:color="auto"/>
                        <w:right w:val="none" w:sz="0" w:space="0" w:color="auto"/>
                      </w:divBdr>
                    </w:div>
                    <w:div w:id="13842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2947">
          <w:marLeft w:val="0"/>
          <w:marRight w:val="0"/>
          <w:marTop w:val="0"/>
          <w:marBottom w:val="0"/>
          <w:divBdr>
            <w:top w:val="none" w:sz="0" w:space="0" w:color="auto"/>
            <w:left w:val="none" w:sz="0" w:space="0" w:color="auto"/>
            <w:bottom w:val="none" w:sz="0" w:space="0" w:color="auto"/>
            <w:right w:val="none" w:sz="0" w:space="0" w:color="auto"/>
          </w:divBdr>
        </w:div>
      </w:divsChild>
    </w:div>
    <w:div w:id="653533194">
      <w:bodyDiv w:val="1"/>
      <w:marLeft w:val="0"/>
      <w:marRight w:val="0"/>
      <w:marTop w:val="0"/>
      <w:marBottom w:val="0"/>
      <w:divBdr>
        <w:top w:val="none" w:sz="0" w:space="0" w:color="auto"/>
        <w:left w:val="none" w:sz="0" w:space="0" w:color="auto"/>
        <w:bottom w:val="none" w:sz="0" w:space="0" w:color="auto"/>
        <w:right w:val="none" w:sz="0" w:space="0" w:color="auto"/>
      </w:divBdr>
    </w:div>
    <w:div w:id="700907770">
      <w:bodyDiv w:val="1"/>
      <w:marLeft w:val="0"/>
      <w:marRight w:val="0"/>
      <w:marTop w:val="0"/>
      <w:marBottom w:val="0"/>
      <w:divBdr>
        <w:top w:val="none" w:sz="0" w:space="0" w:color="auto"/>
        <w:left w:val="none" w:sz="0" w:space="0" w:color="auto"/>
        <w:bottom w:val="none" w:sz="0" w:space="0" w:color="auto"/>
        <w:right w:val="none" w:sz="0" w:space="0" w:color="auto"/>
      </w:divBdr>
    </w:div>
    <w:div w:id="707679539">
      <w:bodyDiv w:val="1"/>
      <w:marLeft w:val="0"/>
      <w:marRight w:val="0"/>
      <w:marTop w:val="0"/>
      <w:marBottom w:val="0"/>
      <w:divBdr>
        <w:top w:val="none" w:sz="0" w:space="0" w:color="auto"/>
        <w:left w:val="none" w:sz="0" w:space="0" w:color="auto"/>
        <w:bottom w:val="none" w:sz="0" w:space="0" w:color="auto"/>
        <w:right w:val="none" w:sz="0" w:space="0" w:color="auto"/>
      </w:divBdr>
      <w:divsChild>
        <w:div w:id="111094425">
          <w:marLeft w:val="0"/>
          <w:marRight w:val="0"/>
          <w:marTop w:val="0"/>
          <w:marBottom w:val="0"/>
          <w:divBdr>
            <w:top w:val="none" w:sz="0" w:space="0" w:color="auto"/>
            <w:left w:val="none" w:sz="0" w:space="0" w:color="auto"/>
            <w:bottom w:val="none" w:sz="0" w:space="0" w:color="auto"/>
            <w:right w:val="none" w:sz="0" w:space="0" w:color="auto"/>
          </w:divBdr>
        </w:div>
        <w:div w:id="1027175009">
          <w:marLeft w:val="0"/>
          <w:marRight w:val="0"/>
          <w:marTop w:val="0"/>
          <w:marBottom w:val="0"/>
          <w:divBdr>
            <w:top w:val="none" w:sz="0" w:space="0" w:color="auto"/>
            <w:left w:val="none" w:sz="0" w:space="0" w:color="auto"/>
            <w:bottom w:val="none" w:sz="0" w:space="0" w:color="auto"/>
            <w:right w:val="none" w:sz="0" w:space="0" w:color="auto"/>
          </w:divBdr>
        </w:div>
      </w:divsChild>
    </w:div>
    <w:div w:id="774249615">
      <w:bodyDiv w:val="1"/>
      <w:marLeft w:val="0"/>
      <w:marRight w:val="0"/>
      <w:marTop w:val="0"/>
      <w:marBottom w:val="0"/>
      <w:divBdr>
        <w:top w:val="none" w:sz="0" w:space="0" w:color="auto"/>
        <w:left w:val="none" w:sz="0" w:space="0" w:color="auto"/>
        <w:bottom w:val="none" w:sz="0" w:space="0" w:color="auto"/>
        <w:right w:val="none" w:sz="0" w:space="0" w:color="auto"/>
      </w:divBdr>
      <w:divsChild>
        <w:div w:id="150798557">
          <w:marLeft w:val="0"/>
          <w:marRight w:val="0"/>
          <w:marTop w:val="0"/>
          <w:marBottom w:val="0"/>
          <w:divBdr>
            <w:top w:val="none" w:sz="0" w:space="0" w:color="auto"/>
            <w:left w:val="none" w:sz="0" w:space="0" w:color="auto"/>
            <w:bottom w:val="none" w:sz="0" w:space="0" w:color="auto"/>
            <w:right w:val="none" w:sz="0" w:space="0" w:color="auto"/>
          </w:divBdr>
        </w:div>
        <w:div w:id="959145077">
          <w:marLeft w:val="0"/>
          <w:marRight w:val="0"/>
          <w:marTop w:val="0"/>
          <w:marBottom w:val="0"/>
          <w:divBdr>
            <w:top w:val="none" w:sz="0" w:space="0" w:color="auto"/>
            <w:left w:val="none" w:sz="0" w:space="0" w:color="auto"/>
            <w:bottom w:val="none" w:sz="0" w:space="0" w:color="auto"/>
            <w:right w:val="none" w:sz="0" w:space="0" w:color="auto"/>
          </w:divBdr>
        </w:div>
        <w:div w:id="1135834250">
          <w:marLeft w:val="0"/>
          <w:marRight w:val="0"/>
          <w:marTop w:val="0"/>
          <w:marBottom w:val="0"/>
          <w:divBdr>
            <w:top w:val="none" w:sz="0" w:space="0" w:color="auto"/>
            <w:left w:val="none" w:sz="0" w:space="0" w:color="auto"/>
            <w:bottom w:val="none" w:sz="0" w:space="0" w:color="auto"/>
            <w:right w:val="none" w:sz="0" w:space="0" w:color="auto"/>
          </w:divBdr>
          <w:divsChild>
            <w:div w:id="166362613">
              <w:marLeft w:val="-75"/>
              <w:marRight w:val="0"/>
              <w:marTop w:val="30"/>
              <w:marBottom w:val="30"/>
              <w:divBdr>
                <w:top w:val="none" w:sz="0" w:space="0" w:color="auto"/>
                <w:left w:val="none" w:sz="0" w:space="0" w:color="auto"/>
                <w:bottom w:val="none" w:sz="0" w:space="0" w:color="auto"/>
                <w:right w:val="none" w:sz="0" w:space="0" w:color="auto"/>
              </w:divBdr>
              <w:divsChild>
                <w:div w:id="11880371">
                  <w:marLeft w:val="0"/>
                  <w:marRight w:val="0"/>
                  <w:marTop w:val="0"/>
                  <w:marBottom w:val="0"/>
                  <w:divBdr>
                    <w:top w:val="none" w:sz="0" w:space="0" w:color="auto"/>
                    <w:left w:val="none" w:sz="0" w:space="0" w:color="auto"/>
                    <w:bottom w:val="none" w:sz="0" w:space="0" w:color="auto"/>
                    <w:right w:val="none" w:sz="0" w:space="0" w:color="auto"/>
                  </w:divBdr>
                  <w:divsChild>
                    <w:div w:id="958335060">
                      <w:marLeft w:val="0"/>
                      <w:marRight w:val="0"/>
                      <w:marTop w:val="0"/>
                      <w:marBottom w:val="0"/>
                      <w:divBdr>
                        <w:top w:val="none" w:sz="0" w:space="0" w:color="auto"/>
                        <w:left w:val="none" w:sz="0" w:space="0" w:color="auto"/>
                        <w:bottom w:val="none" w:sz="0" w:space="0" w:color="auto"/>
                        <w:right w:val="none" w:sz="0" w:space="0" w:color="auto"/>
                      </w:divBdr>
                    </w:div>
                  </w:divsChild>
                </w:div>
                <w:div w:id="23481417">
                  <w:marLeft w:val="0"/>
                  <w:marRight w:val="0"/>
                  <w:marTop w:val="0"/>
                  <w:marBottom w:val="0"/>
                  <w:divBdr>
                    <w:top w:val="none" w:sz="0" w:space="0" w:color="auto"/>
                    <w:left w:val="none" w:sz="0" w:space="0" w:color="auto"/>
                    <w:bottom w:val="none" w:sz="0" w:space="0" w:color="auto"/>
                    <w:right w:val="none" w:sz="0" w:space="0" w:color="auto"/>
                  </w:divBdr>
                  <w:divsChild>
                    <w:div w:id="53046620">
                      <w:marLeft w:val="0"/>
                      <w:marRight w:val="0"/>
                      <w:marTop w:val="0"/>
                      <w:marBottom w:val="0"/>
                      <w:divBdr>
                        <w:top w:val="none" w:sz="0" w:space="0" w:color="auto"/>
                        <w:left w:val="none" w:sz="0" w:space="0" w:color="auto"/>
                        <w:bottom w:val="none" w:sz="0" w:space="0" w:color="auto"/>
                        <w:right w:val="none" w:sz="0" w:space="0" w:color="auto"/>
                      </w:divBdr>
                    </w:div>
                    <w:div w:id="960452612">
                      <w:marLeft w:val="0"/>
                      <w:marRight w:val="0"/>
                      <w:marTop w:val="0"/>
                      <w:marBottom w:val="0"/>
                      <w:divBdr>
                        <w:top w:val="none" w:sz="0" w:space="0" w:color="auto"/>
                        <w:left w:val="none" w:sz="0" w:space="0" w:color="auto"/>
                        <w:bottom w:val="none" w:sz="0" w:space="0" w:color="auto"/>
                        <w:right w:val="none" w:sz="0" w:space="0" w:color="auto"/>
                      </w:divBdr>
                    </w:div>
                    <w:div w:id="1137837936">
                      <w:marLeft w:val="0"/>
                      <w:marRight w:val="0"/>
                      <w:marTop w:val="0"/>
                      <w:marBottom w:val="0"/>
                      <w:divBdr>
                        <w:top w:val="none" w:sz="0" w:space="0" w:color="auto"/>
                        <w:left w:val="none" w:sz="0" w:space="0" w:color="auto"/>
                        <w:bottom w:val="none" w:sz="0" w:space="0" w:color="auto"/>
                        <w:right w:val="none" w:sz="0" w:space="0" w:color="auto"/>
                      </w:divBdr>
                    </w:div>
                    <w:div w:id="1431657742">
                      <w:marLeft w:val="0"/>
                      <w:marRight w:val="0"/>
                      <w:marTop w:val="0"/>
                      <w:marBottom w:val="0"/>
                      <w:divBdr>
                        <w:top w:val="none" w:sz="0" w:space="0" w:color="auto"/>
                        <w:left w:val="none" w:sz="0" w:space="0" w:color="auto"/>
                        <w:bottom w:val="none" w:sz="0" w:space="0" w:color="auto"/>
                        <w:right w:val="none" w:sz="0" w:space="0" w:color="auto"/>
                      </w:divBdr>
                    </w:div>
                    <w:div w:id="1435780009">
                      <w:marLeft w:val="0"/>
                      <w:marRight w:val="0"/>
                      <w:marTop w:val="0"/>
                      <w:marBottom w:val="0"/>
                      <w:divBdr>
                        <w:top w:val="none" w:sz="0" w:space="0" w:color="auto"/>
                        <w:left w:val="none" w:sz="0" w:space="0" w:color="auto"/>
                        <w:bottom w:val="none" w:sz="0" w:space="0" w:color="auto"/>
                        <w:right w:val="none" w:sz="0" w:space="0" w:color="auto"/>
                      </w:divBdr>
                    </w:div>
                    <w:div w:id="1649751270">
                      <w:marLeft w:val="0"/>
                      <w:marRight w:val="0"/>
                      <w:marTop w:val="0"/>
                      <w:marBottom w:val="0"/>
                      <w:divBdr>
                        <w:top w:val="none" w:sz="0" w:space="0" w:color="auto"/>
                        <w:left w:val="none" w:sz="0" w:space="0" w:color="auto"/>
                        <w:bottom w:val="none" w:sz="0" w:space="0" w:color="auto"/>
                        <w:right w:val="none" w:sz="0" w:space="0" w:color="auto"/>
                      </w:divBdr>
                    </w:div>
                    <w:div w:id="2020807980">
                      <w:marLeft w:val="0"/>
                      <w:marRight w:val="0"/>
                      <w:marTop w:val="0"/>
                      <w:marBottom w:val="0"/>
                      <w:divBdr>
                        <w:top w:val="none" w:sz="0" w:space="0" w:color="auto"/>
                        <w:left w:val="none" w:sz="0" w:space="0" w:color="auto"/>
                        <w:bottom w:val="none" w:sz="0" w:space="0" w:color="auto"/>
                        <w:right w:val="none" w:sz="0" w:space="0" w:color="auto"/>
                      </w:divBdr>
                    </w:div>
                  </w:divsChild>
                </w:div>
                <w:div w:id="148402014">
                  <w:marLeft w:val="0"/>
                  <w:marRight w:val="0"/>
                  <w:marTop w:val="0"/>
                  <w:marBottom w:val="0"/>
                  <w:divBdr>
                    <w:top w:val="none" w:sz="0" w:space="0" w:color="auto"/>
                    <w:left w:val="none" w:sz="0" w:space="0" w:color="auto"/>
                    <w:bottom w:val="none" w:sz="0" w:space="0" w:color="auto"/>
                    <w:right w:val="none" w:sz="0" w:space="0" w:color="auto"/>
                  </w:divBdr>
                  <w:divsChild>
                    <w:div w:id="1454136080">
                      <w:marLeft w:val="0"/>
                      <w:marRight w:val="0"/>
                      <w:marTop w:val="0"/>
                      <w:marBottom w:val="0"/>
                      <w:divBdr>
                        <w:top w:val="none" w:sz="0" w:space="0" w:color="auto"/>
                        <w:left w:val="none" w:sz="0" w:space="0" w:color="auto"/>
                        <w:bottom w:val="none" w:sz="0" w:space="0" w:color="auto"/>
                        <w:right w:val="none" w:sz="0" w:space="0" w:color="auto"/>
                      </w:divBdr>
                    </w:div>
                  </w:divsChild>
                </w:div>
                <w:div w:id="194774994">
                  <w:marLeft w:val="0"/>
                  <w:marRight w:val="0"/>
                  <w:marTop w:val="0"/>
                  <w:marBottom w:val="0"/>
                  <w:divBdr>
                    <w:top w:val="none" w:sz="0" w:space="0" w:color="auto"/>
                    <w:left w:val="none" w:sz="0" w:space="0" w:color="auto"/>
                    <w:bottom w:val="none" w:sz="0" w:space="0" w:color="auto"/>
                    <w:right w:val="none" w:sz="0" w:space="0" w:color="auto"/>
                  </w:divBdr>
                  <w:divsChild>
                    <w:div w:id="1663385845">
                      <w:marLeft w:val="0"/>
                      <w:marRight w:val="0"/>
                      <w:marTop w:val="0"/>
                      <w:marBottom w:val="0"/>
                      <w:divBdr>
                        <w:top w:val="none" w:sz="0" w:space="0" w:color="auto"/>
                        <w:left w:val="none" w:sz="0" w:space="0" w:color="auto"/>
                        <w:bottom w:val="none" w:sz="0" w:space="0" w:color="auto"/>
                        <w:right w:val="none" w:sz="0" w:space="0" w:color="auto"/>
                      </w:divBdr>
                    </w:div>
                  </w:divsChild>
                </w:div>
                <w:div w:id="211037639">
                  <w:marLeft w:val="0"/>
                  <w:marRight w:val="0"/>
                  <w:marTop w:val="0"/>
                  <w:marBottom w:val="0"/>
                  <w:divBdr>
                    <w:top w:val="none" w:sz="0" w:space="0" w:color="auto"/>
                    <w:left w:val="none" w:sz="0" w:space="0" w:color="auto"/>
                    <w:bottom w:val="none" w:sz="0" w:space="0" w:color="auto"/>
                    <w:right w:val="none" w:sz="0" w:space="0" w:color="auto"/>
                  </w:divBdr>
                  <w:divsChild>
                    <w:div w:id="1503856948">
                      <w:marLeft w:val="0"/>
                      <w:marRight w:val="0"/>
                      <w:marTop w:val="0"/>
                      <w:marBottom w:val="0"/>
                      <w:divBdr>
                        <w:top w:val="none" w:sz="0" w:space="0" w:color="auto"/>
                        <w:left w:val="none" w:sz="0" w:space="0" w:color="auto"/>
                        <w:bottom w:val="none" w:sz="0" w:space="0" w:color="auto"/>
                        <w:right w:val="none" w:sz="0" w:space="0" w:color="auto"/>
                      </w:divBdr>
                    </w:div>
                  </w:divsChild>
                </w:div>
                <w:div w:id="226693195">
                  <w:marLeft w:val="0"/>
                  <w:marRight w:val="0"/>
                  <w:marTop w:val="0"/>
                  <w:marBottom w:val="0"/>
                  <w:divBdr>
                    <w:top w:val="none" w:sz="0" w:space="0" w:color="auto"/>
                    <w:left w:val="none" w:sz="0" w:space="0" w:color="auto"/>
                    <w:bottom w:val="none" w:sz="0" w:space="0" w:color="auto"/>
                    <w:right w:val="none" w:sz="0" w:space="0" w:color="auto"/>
                  </w:divBdr>
                  <w:divsChild>
                    <w:div w:id="409739006">
                      <w:marLeft w:val="0"/>
                      <w:marRight w:val="0"/>
                      <w:marTop w:val="0"/>
                      <w:marBottom w:val="0"/>
                      <w:divBdr>
                        <w:top w:val="none" w:sz="0" w:space="0" w:color="auto"/>
                        <w:left w:val="none" w:sz="0" w:space="0" w:color="auto"/>
                        <w:bottom w:val="none" w:sz="0" w:space="0" w:color="auto"/>
                        <w:right w:val="none" w:sz="0" w:space="0" w:color="auto"/>
                      </w:divBdr>
                    </w:div>
                  </w:divsChild>
                </w:div>
                <w:div w:id="381446759">
                  <w:marLeft w:val="0"/>
                  <w:marRight w:val="0"/>
                  <w:marTop w:val="0"/>
                  <w:marBottom w:val="0"/>
                  <w:divBdr>
                    <w:top w:val="none" w:sz="0" w:space="0" w:color="auto"/>
                    <w:left w:val="none" w:sz="0" w:space="0" w:color="auto"/>
                    <w:bottom w:val="none" w:sz="0" w:space="0" w:color="auto"/>
                    <w:right w:val="none" w:sz="0" w:space="0" w:color="auto"/>
                  </w:divBdr>
                  <w:divsChild>
                    <w:div w:id="64422626">
                      <w:marLeft w:val="0"/>
                      <w:marRight w:val="0"/>
                      <w:marTop w:val="0"/>
                      <w:marBottom w:val="0"/>
                      <w:divBdr>
                        <w:top w:val="none" w:sz="0" w:space="0" w:color="auto"/>
                        <w:left w:val="none" w:sz="0" w:space="0" w:color="auto"/>
                        <w:bottom w:val="none" w:sz="0" w:space="0" w:color="auto"/>
                        <w:right w:val="none" w:sz="0" w:space="0" w:color="auto"/>
                      </w:divBdr>
                    </w:div>
                    <w:div w:id="85731599">
                      <w:marLeft w:val="0"/>
                      <w:marRight w:val="0"/>
                      <w:marTop w:val="0"/>
                      <w:marBottom w:val="0"/>
                      <w:divBdr>
                        <w:top w:val="none" w:sz="0" w:space="0" w:color="auto"/>
                        <w:left w:val="none" w:sz="0" w:space="0" w:color="auto"/>
                        <w:bottom w:val="none" w:sz="0" w:space="0" w:color="auto"/>
                        <w:right w:val="none" w:sz="0" w:space="0" w:color="auto"/>
                      </w:divBdr>
                    </w:div>
                    <w:div w:id="890506501">
                      <w:marLeft w:val="0"/>
                      <w:marRight w:val="0"/>
                      <w:marTop w:val="0"/>
                      <w:marBottom w:val="0"/>
                      <w:divBdr>
                        <w:top w:val="none" w:sz="0" w:space="0" w:color="auto"/>
                        <w:left w:val="none" w:sz="0" w:space="0" w:color="auto"/>
                        <w:bottom w:val="none" w:sz="0" w:space="0" w:color="auto"/>
                        <w:right w:val="none" w:sz="0" w:space="0" w:color="auto"/>
                      </w:divBdr>
                    </w:div>
                  </w:divsChild>
                </w:div>
                <w:div w:id="481778635">
                  <w:marLeft w:val="0"/>
                  <w:marRight w:val="0"/>
                  <w:marTop w:val="0"/>
                  <w:marBottom w:val="0"/>
                  <w:divBdr>
                    <w:top w:val="none" w:sz="0" w:space="0" w:color="auto"/>
                    <w:left w:val="none" w:sz="0" w:space="0" w:color="auto"/>
                    <w:bottom w:val="none" w:sz="0" w:space="0" w:color="auto"/>
                    <w:right w:val="none" w:sz="0" w:space="0" w:color="auto"/>
                  </w:divBdr>
                  <w:divsChild>
                    <w:div w:id="1716468604">
                      <w:marLeft w:val="0"/>
                      <w:marRight w:val="0"/>
                      <w:marTop w:val="0"/>
                      <w:marBottom w:val="0"/>
                      <w:divBdr>
                        <w:top w:val="none" w:sz="0" w:space="0" w:color="auto"/>
                        <w:left w:val="none" w:sz="0" w:space="0" w:color="auto"/>
                        <w:bottom w:val="none" w:sz="0" w:space="0" w:color="auto"/>
                        <w:right w:val="none" w:sz="0" w:space="0" w:color="auto"/>
                      </w:divBdr>
                    </w:div>
                  </w:divsChild>
                </w:div>
                <w:div w:id="518544183">
                  <w:marLeft w:val="0"/>
                  <w:marRight w:val="0"/>
                  <w:marTop w:val="0"/>
                  <w:marBottom w:val="0"/>
                  <w:divBdr>
                    <w:top w:val="none" w:sz="0" w:space="0" w:color="auto"/>
                    <w:left w:val="none" w:sz="0" w:space="0" w:color="auto"/>
                    <w:bottom w:val="none" w:sz="0" w:space="0" w:color="auto"/>
                    <w:right w:val="none" w:sz="0" w:space="0" w:color="auto"/>
                  </w:divBdr>
                  <w:divsChild>
                    <w:div w:id="458763995">
                      <w:marLeft w:val="0"/>
                      <w:marRight w:val="0"/>
                      <w:marTop w:val="0"/>
                      <w:marBottom w:val="0"/>
                      <w:divBdr>
                        <w:top w:val="none" w:sz="0" w:space="0" w:color="auto"/>
                        <w:left w:val="none" w:sz="0" w:space="0" w:color="auto"/>
                        <w:bottom w:val="none" w:sz="0" w:space="0" w:color="auto"/>
                        <w:right w:val="none" w:sz="0" w:space="0" w:color="auto"/>
                      </w:divBdr>
                    </w:div>
                  </w:divsChild>
                </w:div>
                <w:div w:id="605819205">
                  <w:marLeft w:val="0"/>
                  <w:marRight w:val="0"/>
                  <w:marTop w:val="0"/>
                  <w:marBottom w:val="0"/>
                  <w:divBdr>
                    <w:top w:val="none" w:sz="0" w:space="0" w:color="auto"/>
                    <w:left w:val="none" w:sz="0" w:space="0" w:color="auto"/>
                    <w:bottom w:val="none" w:sz="0" w:space="0" w:color="auto"/>
                    <w:right w:val="none" w:sz="0" w:space="0" w:color="auto"/>
                  </w:divBdr>
                  <w:divsChild>
                    <w:div w:id="227231757">
                      <w:marLeft w:val="0"/>
                      <w:marRight w:val="0"/>
                      <w:marTop w:val="0"/>
                      <w:marBottom w:val="0"/>
                      <w:divBdr>
                        <w:top w:val="none" w:sz="0" w:space="0" w:color="auto"/>
                        <w:left w:val="none" w:sz="0" w:space="0" w:color="auto"/>
                        <w:bottom w:val="none" w:sz="0" w:space="0" w:color="auto"/>
                        <w:right w:val="none" w:sz="0" w:space="0" w:color="auto"/>
                      </w:divBdr>
                    </w:div>
                    <w:div w:id="961423547">
                      <w:marLeft w:val="0"/>
                      <w:marRight w:val="0"/>
                      <w:marTop w:val="0"/>
                      <w:marBottom w:val="0"/>
                      <w:divBdr>
                        <w:top w:val="none" w:sz="0" w:space="0" w:color="auto"/>
                        <w:left w:val="none" w:sz="0" w:space="0" w:color="auto"/>
                        <w:bottom w:val="none" w:sz="0" w:space="0" w:color="auto"/>
                        <w:right w:val="none" w:sz="0" w:space="0" w:color="auto"/>
                      </w:divBdr>
                    </w:div>
                  </w:divsChild>
                </w:div>
                <w:div w:id="648558857">
                  <w:marLeft w:val="0"/>
                  <w:marRight w:val="0"/>
                  <w:marTop w:val="0"/>
                  <w:marBottom w:val="0"/>
                  <w:divBdr>
                    <w:top w:val="none" w:sz="0" w:space="0" w:color="auto"/>
                    <w:left w:val="none" w:sz="0" w:space="0" w:color="auto"/>
                    <w:bottom w:val="none" w:sz="0" w:space="0" w:color="auto"/>
                    <w:right w:val="none" w:sz="0" w:space="0" w:color="auto"/>
                  </w:divBdr>
                  <w:divsChild>
                    <w:div w:id="1338650722">
                      <w:marLeft w:val="0"/>
                      <w:marRight w:val="0"/>
                      <w:marTop w:val="0"/>
                      <w:marBottom w:val="0"/>
                      <w:divBdr>
                        <w:top w:val="none" w:sz="0" w:space="0" w:color="auto"/>
                        <w:left w:val="none" w:sz="0" w:space="0" w:color="auto"/>
                        <w:bottom w:val="none" w:sz="0" w:space="0" w:color="auto"/>
                        <w:right w:val="none" w:sz="0" w:space="0" w:color="auto"/>
                      </w:divBdr>
                    </w:div>
                  </w:divsChild>
                </w:div>
                <w:div w:id="817377433">
                  <w:marLeft w:val="0"/>
                  <w:marRight w:val="0"/>
                  <w:marTop w:val="0"/>
                  <w:marBottom w:val="0"/>
                  <w:divBdr>
                    <w:top w:val="none" w:sz="0" w:space="0" w:color="auto"/>
                    <w:left w:val="none" w:sz="0" w:space="0" w:color="auto"/>
                    <w:bottom w:val="none" w:sz="0" w:space="0" w:color="auto"/>
                    <w:right w:val="none" w:sz="0" w:space="0" w:color="auto"/>
                  </w:divBdr>
                  <w:divsChild>
                    <w:div w:id="709036114">
                      <w:marLeft w:val="0"/>
                      <w:marRight w:val="0"/>
                      <w:marTop w:val="0"/>
                      <w:marBottom w:val="0"/>
                      <w:divBdr>
                        <w:top w:val="none" w:sz="0" w:space="0" w:color="auto"/>
                        <w:left w:val="none" w:sz="0" w:space="0" w:color="auto"/>
                        <w:bottom w:val="none" w:sz="0" w:space="0" w:color="auto"/>
                        <w:right w:val="none" w:sz="0" w:space="0" w:color="auto"/>
                      </w:divBdr>
                    </w:div>
                  </w:divsChild>
                </w:div>
                <w:div w:id="1018312249">
                  <w:marLeft w:val="0"/>
                  <w:marRight w:val="0"/>
                  <w:marTop w:val="0"/>
                  <w:marBottom w:val="0"/>
                  <w:divBdr>
                    <w:top w:val="none" w:sz="0" w:space="0" w:color="auto"/>
                    <w:left w:val="none" w:sz="0" w:space="0" w:color="auto"/>
                    <w:bottom w:val="none" w:sz="0" w:space="0" w:color="auto"/>
                    <w:right w:val="none" w:sz="0" w:space="0" w:color="auto"/>
                  </w:divBdr>
                  <w:divsChild>
                    <w:div w:id="1311014442">
                      <w:marLeft w:val="0"/>
                      <w:marRight w:val="0"/>
                      <w:marTop w:val="0"/>
                      <w:marBottom w:val="0"/>
                      <w:divBdr>
                        <w:top w:val="none" w:sz="0" w:space="0" w:color="auto"/>
                        <w:left w:val="none" w:sz="0" w:space="0" w:color="auto"/>
                        <w:bottom w:val="none" w:sz="0" w:space="0" w:color="auto"/>
                        <w:right w:val="none" w:sz="0" w:space="0" w:color="auto"/>
                      </w:divBdr>
                    </w:div>
                    <w:div w:id="1553226437">
                      <w:marLeft w:val="0"/>
                      <w:marRight w:val="0"/>
                      <w:marTop w:val="0"/>
                      <w:marBottom w:val="0"/>
                      <w:divBdr>
                        <w:top w:val="none" w:sz="0" w:space="0" w:color="auto"/>
                        <w:left w:val="none" w:sz="0" w:space="0" w:color="auto"/>
                        <w:bottom w:val="none" w:sz="0" w:space="0" w:color="auto"/>
                        <w:right w:val="none" w:sz="0" w:space="0" w:color="auto"/>
                      </w:divBdr>
                    </w:div>
                    <w:div w:id="1757827717">
                      <w:marLeft w:val="0"/>
                      <w:marRight w:val="0"/>
                      <w:marTop w:val="0"/>
                      <w:marBottom w:val="0"/>
                      <w:divBdr>
                        <w:top w:val="none" w:sz="0" w:space="0" w:color="auto"/>
                        <w:left w:val="none" w:sz="0" w:space="0" w:color="auto"/>
                        <w:bottom w:val="none" w:sz="0" w:space="0" w:color="auto"/>
                        <w:right w:val="none" w:sz="0" w:space="0" w:color="auto"/>
                      </w:divBdr>
                    </w:div>
                  </w:divsChild>
                </w:div>
                <w:div w:id="1124885873">
                  <w:marLeft w:val="0"/>
                  <w:marRight w:val="0"/>
                  <w:marTop w:val="0"/>
                  <w:marBottom w:val="0"/>
                  <w:divBdr>
                    <w:top w:val="none" w:sz="0" w:space="0" w:color="auto"/>
                    <w:left w:val="none" w:sz="0" w:space="0" w:color="auto"/>
                    <w:bottom w:val="none" w:sz="0" w:space="0" w:color="auto"/>
                    <w:right w:val="none" w:sz="0" w:space="0" w:color="auto"/>
                  </w:divBdr>
                  <w:divsChild>
                    <w:div w:id="529690126">
                      <w:marLeft w:val="0"/>
                      <w:marRight w:val="0"/>
                      <w:marTop w:val="0"/>
                      <w:marBottom w:val="0"/>
                      <w:divBdr>
                        <w:top w:val="none" w:sz="0" w:space="0" w:color="auto"/>
                        <w:left w:val="none" w:sz="0" w:space="0" w:color="auto"/>
                        <w:bottom w:val="none" w:sz="0" w:space="0" w:color="auto"/>
                        <w:right w:val="none" w:sz="0" w:space="0" w:color="auto"/>
                      </w:divBdr>
                    </w:div>
                    <w:div w:id="755709969">
                      <w:marLeft w:val="0"/>
                      <w:marRight w:val="0"/>
                      <w:marTop w:val="0"/>
                      <w:marBottom w:val="0"/>
                      <w:divBdr>
                        <w:top w:val="none" w:sz="0" w:space="0" w:color="auto"/>
                        <w:left w:val="none" w:sz="0" w:space="0" w:color="auto"/>
                        <w:bottom w:val="none" w:sz="0" w:space="0" w:color="auto"/>
                        <w:right w:val="none" w:sz="0" w:space="0" w:color="auto"/>
                      </w:divBdr>
                    </w:div>
                    <w:div w:id="812718570">
                      <w:marLeft w:val="0"/>
                      <w:marRight w:val="0"/>
                      <w:marTop w:val="0"/>
                      <w:marBottom w:val="0"/>
                      <w:divBdr>
                        <w:top w:val="none" w:sz="0" w:space="0" w:color="auto"/>
                        <w:left w:val="none" w:sz="0" w:space="0" w:color="auto"/>
                        <w:bottom w:val="none" w:sz="0" w:space="0" w:color="auto"/>
                        <w:right w:val="none" w:sz="0" w:space="0" w:color="auto"/>
                      </w:divBdr>
                    </w:div>
                    <w:div w:id="1124689707">
                      <w:marLeft w:val="0"/>
                      <w:marRight w:val="0"/>
                      <w:marTop w:val="0"/>
                      <w:marBottom w:val="0"/>
                      <w:divBdr>
                        <w:top w:val="none" w:sz="0" w:space="0" w:color="auto"/>
                        <w:left w:val="none" w:sz="0" w:space="0" w:color="auto"/>
                        <w:bottom w:val="none" w:sz="0" w:space="0" w:color="auto"/>
                        <w:right w:val="none" w:sz="0" w:space="0" w:color="auto"/>
                      </w:divBdr>
                    </w:div>
                    <w:div w:id="1684042074">
                      <w:marLeft w:val="0"/>
                      <w:marRight w:val="0"/>
                      <w:marTop w:val="0"/>
                      <w:marBottom w:val="0"/>
                      <w:divBdr>
                        <w:top w:val="none" w:sz="0" w:space="0" w:color="auto"/>
                        <w:left w:val="none" w:sz="0" w:space="0" w:color="auto"/>
                        <w:bottom w:val="none" w:sz="0" w:space="0" w:color="auto"/>
                        <w:right w:val="none" w:sz="0" w:space="0" w:color="auto"/>
                      </w:divBdr>
                    </w:div>
                    <w:div w:id="1921525905">
                      <w:marLeft w:val="0"/>
                      <w:marRight w:val="0"/>
                      <w:marTop w:val="0"/>
                      <w:marBottom w:val="0"/>
                      <w:divBdr>
                        <w:top w:val="none" w:sz="0" w:space="0" w:color="auto"/>
                        <w:left w:val="none" w:sz="0" w:space="0" w:color="auto"/>
                        <w:bottom w:val="none" w:sz="0" w:space="0" w:color="auto"/>
                        <w:right w:val="none" w:sz="0" w:space="0" w:color="auto"/>
                      </w:divBdr>
                    </w:div>
                    <w:div w:id="2079283167">
                      <w:marLeft w:val="0"/>
                      <w:marRight w:val="0"/>
                      <w:marTop w:val="0"/>
                      <w:marBottom w:val="0"/>
                      <w:divBdr>
                        <w:top w:val="none" w:sz="0" w:space="0" w:color="auto"/>
                        <w:left w:val="none" w:sz="0" w:space="0" w:color="auto"/>
                        <w:bottom w:val="none" w:sz="0" w:space="0" w:color="auto"/>
                        <w:right w:val="none" w:sz="0" w:space="0" w:color="auto"/>
                      </w:divBdr>
                    </w:div>
                  </w:divsChild>
                </w:div>
                <w:div w:id="1199272313">
                  <w:marLeft w:val="0"/>
                  <w:marRight w:val="0"/>
                  <w:marTop w:val="0"/>
                  <w:marBottom w:val="0"/>
                  <w:divBdr>
                    <w:top w:val="none" w:sz="0" w:space="0" w:color="auto"/>
                    <w:left w:val="none" w:sz="0" w:space="0" w:color="auto"/>
                    <w:bottom w:val="none" w:sz="0" w:space="0" w:color="auto"/>
                    <w:right w:val="none" w:sz="0" w:space="0" w:color="auto"/>
                  </w:divBdr>
                  <w:divsChild>
                    <w:div w:id="265620573">
                      <w:marLeft w:val="0"/>
                      <w:marRight w:val="0"/>
                      <w:marTop w:val="0"/>
                      <w:marBottom w:val="0"/>
                      <w:divBdr>
                        <w:top w:val="none" w:sz="0" w:space="0" w:color="auto"/>
                        <w:left w:val="none" w:sz="0" w:space="0" w:color="auto"/>
                        <w:bottom w:val="none" w:sz="0" w:space="0" w:color="auto"/>
                        <w:right w:val="none" w:sz="0" w:space="0" w:color="auto"/>
                      </w:divBdr>
                    </w:div>
                  </w:divsChild>
                </w:div>
                <w:div w:id="1416898672">
                  <w:marLeft w:val="0"/>
                  <w:marRight w:val="0"/>
                  <w:marTop w:val="0"/>
                  <w:marBottom w:val="0"/>
                  <w:divBdr>
                    <w:top w:val="none" w:sz="0" w:space="0" w:color="auto"/>
                    <w:left w:val="none" w:sz="0" w:space="0" w:color="auto"/>
                    <w:bottom w:val="none" w:sz="0" w:space="0" w:color="auto"/>
                    <w:right w:val="none" w:sz="0" w:space="0" w:color="auto"/>
                  </w:divBdr>
                  <w:divsChild>
                    <w:div w:id="1329865726">
                      <w:marLeft w:val="0"/>
                      <w:marRight w:val="0"/>
                      <w:marTop w:val="0"/>
                      <w:marBottom w:val="0"/>
                      <w:divBdr>
                        <w:top w:val="none" w:sz="0" w:space="0" w:color="auto"/>
                        <w:left w:val="none" w:sz="0" w:space="0" w:color="auto"/>
                        <w:bottom w:val="none" w:sz="0" w:space="0" w:color="auto"/>
                        <w:right w:val="none" w:sz="0" w:space="0" w:color="auto"/>
                      </w:divBdr>
                    </w:div>
                    <w:div w:id="1582445086">
                      <w:marLeft w:val="0"/>
                      <w:marRight w:val="0"/>
                      <w:marTop w:val="0"/>
                      <w:marBottom w:val="0"/>
                      <w:divBdr>
                        <w:top w:val="none" w:sz="0" w:space="0" w:color="auto"/>
                        <w:left w:val="none" w:sz="0" w:space="0" w:color="auto"/>
                        <w:bottom w:val="none" w:sz="0" w:space="0" w:color="auto"/>
                        <w:right w:val="none" w:sz="0" w:space="0" w:color="auto"/>
                      </w:divBdr>
                    </w:div>
                    <w:div w:id="1716538686">
                      <w:marLeft w:val="0"/>
                      <w:marRight w:val="0"/>
                      <w:marTop w:val="0"/>
                      <w:marBottom w:val="0"/>
                      <w:divBdr>
                        <w:top w:val="none" w:sz="0" w:space="0" w:color="auto"/>
                        <w:left w:val="none" w:sz="0" w:space="0" w:color="auto"/>
                        <w:bottom w:val="none" w:sz="0" w:space="0" w:color="auto"/>
                        <w:right w:val="none" w:sz="0" w:space="0" w:color="auto"/>
                      </w:divBdr>
                    </w:div>
                  </w:divsChild>
                </w:div>
                <w:div w:id="1494372511">
                  <w:marLeft w:val="0"/>
                  <w:marRight w:val="0"/>
                  <w:marTop w:val="0"/>
                  <w:marBottom w:val="0"/>
                  <w:divBdr>
                    <w:top w:val="none" w:sz="0" w:space="0" w:color="auto"/>
                    <w:left w:val="none" w:sz="0" w:space="0" w:color="auto"/>
                    <w:bottom w:val="none" w:sz="0" w:space="0" w:color="auto"/>
                    <w:right w:val="none" w:sz="0" w:space="0" w:color="auto"/>
                  </w:divBdr>
                  <w:divsChild>
                    <w:div w:id="695421296">
                      <w:marLeft w:val="0"/>
                      <w:marRight w:val="0"/>
                      <w:marTop w:val="0"/>
                      <w:marBottom w:val="0"/>
                      <w:divBdr>
                        <w:top w:val="none" w:sz="0" w:space="0" w:color="auto"/>
                        <w:left w:val="none" w:sz="0" w:space="0" w:color="auto"/>
                        <w:bottom w:val="none" w:sz="0" w:space="0" w:color="auto"/>
                        <w:right w:val="none" w:sz="0" w:space="0" w:color="auto"/>
                      </w:divBdr>
                    </w:div>
                  </w:divsChild>
                </w:div>
                <w:div w:id="1548564164">
                  <w:marLeft w:val="0"/>
                  <w:marRight w:val="0"/>
                  <w:marTop w:val="0"/>
                  <w:marBottom w:val="0"/>
                  <w:divBdr>
                    <w:top w:val="none" w:sz="0" w:space="0" w:color="auto"/>
                    <w:left w:val="none" w:sz="0" w:space="0" w:color="auto"/>
                    <w:bottom w:val="none" w:sz="0" w:space="0" w:color="auto"/>
                    <w:right w:val="none" w:sz="0" w:space="0" w:color="auto"/>
                  </w:divBdr>
                  <w:divsChild>
                    <w:div w:id="212277756">
                      <w:marLeft w:val="0"/>
                      <w:marRight w:val="0"/>
                      <w:marTop w:val="0"/>
                      <w:marBottom w:val="0"/>
                      <w:divBdr>
                        <w:top w:val="none" w:sz="0" w:space="0" w:color="auto"/>
                        <w:left w:val="none" w:sz="0" w:space="0" w:color="auto"/>
                        <w:bottom w:val="none" w:sz="0" w:space="0" w:color="auto"/>
                        <w:right w:val="none" w:sz="0" w:space="0" w:color="auto"/>
                      </w:divBdr>
                    </w:div>
                  </w:divsChild>
                </w:div>
                <w:div w:id="1638562757">
                  <w:marLeft w:val="0"/>
                  <w:marRight w:val="0"/>
                  <w:marTop w:val="0"/>
                  <w:marBottom w:val="0"/>
                  <w:divBdr>
                    <w:top w:val="none" w:sz="0" w:space="0" w:color="auto"/>
                    <w:left w:val="none" w:sz="0" w:space="0" w:color="auto"/>
                    <w:bottom w:val="none" w:sz="0" w:space="0" w:color="auto"/>
                    <w:right w:val="none" w:sz="0" w:space="0" w:color="auto"/>
                  </w:divBdr>
                  <w:divsChild>
                    <w:div w:id="2126850851">
                      <w:marLeft w:val="0"/>
                      <w:marRight w:val="0"/>
                      <w:marTop w:val="0"/>
                      <w:marBottom w:val="0"/>
                      <w:divBdr>
                        <w:top w:val="none" w:sz="0" w:space="0" w:color="auto"/>
                        <w:left w:val="none" w:sz="0" w:space="0" w:color="auto"/>
                        <w:bottom w:val="none" w:sz="0" w:space="0" w:color="auto"/>
                        <w:right w:val="none" w:sz="0" w:space="0" w:color="auto"/>
                      </w:divBdr>
                    </w:div>
                  </w:divsChild>
                </w:div>
                <w:div w:id="1646088329">
                  <w:marLeft w:val="0"/>
                  <w:marRight w:val="0"/>
                  <w:marTop w:val="0"/>
                  <w:marBottom w:val="0"/>
                  <w:divBdr>
                    <w:top w:val="none" w:sz="0" w:space="0" w:color="auto"/>
                    <w:left w:val="none" w:sz="0" w:space="0" w:color="auto"/>
                    <w:bottom w:val="none" w:sz="0" w:space="0" w:color="auto"/>
                    <w:right w:val="none" w:sz="0" w:space="0" w:color="auto"/>
                  </w:divBdr>
                  <w:divsChild>
                    <w:div w:id="63995641">
                      <w:marLeft w:val="0"/>
                      <w:marRight w:val="0"/>
                      <w:marTop w:val="0"/>
                      <w:marBottom w:val="0"/>
                      <w:divBdr>
                        <w:top w:val="none" w:sz="0" w:space="0" w:color="auto"/>
                        <w:left w:val="none" w:sz="0" w:space="0" w:color="auto"/>
                        <w:bottom w:val="none" w:sz="0" w:space="0" w:color="auto"/>
                        <w:right w:val="none" w:sz="0" w:space="0" w:color="auto"/>
                      </w:divBdr>
                    </w:div>
                    <w:div w:id="429589770">
                      <w:marLeft w:val="0"/>
                      <w:marRight w:val="0"/>
                      <w:marTop w:val="0"/>
                      <w:marBottom w:val="0"/>
                      <w:divBdr>
                        <w:top w:val="none" w:sz="0" w:space="0" w:color="auto"/>
                        <w:left w:val="none" w:sz="0" w:space="0" w:color="auto"/>
                        <w:bottom w:val="none" w:sz="0" w:space="0" w:color="auto"/>
                        <w:right w:val="none" w:sz="0" w:space="0" w:color="auto"/>
                      </w:divBdr>
                    </w:div>
                    <w:div w:id="1119296745">
                      <w:marLeft w:val="0"/>
                      <w:marRight w:val="0"/>
                      <w:marTop w:val="0"/>
                      <w:marBottom w:val="0"/>
                      <w:divBdr>
                        <w:top w:val="none" w:sz="0" w:space="0" w:color="auto"/>
                        <w:left w:val="none" w:sz="0" w:space="0" w:color="auto"/>
                        <w:bottom w:val="none" w:sz="0" w:space="0" w:color="auto"/>
                        <w:right w:val="none" w:sz="0" w:space="0" w:color="auto"/>
                      </w:divBdr>
                    </w:div>
                  </w:divsChild>
                </w:div>
                <w:div w:id="1705978622">
                  <w:marLeft w:val="0"/>
                  <w:marRight w:val="0"/>
                  <w:marTop w:val="0"/>
                  <w:marBottom w:val="0"/>
                  <w:divBdr>
                    <w:top w:val="none" w:sz="0" w:space="0" w:color="auto"/>
                    <w:left w:val="none" w:sz="0" w:space="0" w:color="auto"/>
                    <w:bottom w:val="none" w:sz="0" w:space="0" w:color="auto"/>
                    <w:right w:val="none" w:sz="0" w:space="0" w:color="auto"/>
                  </w:divBdr>
                  <w:divsChild>
                    <w:div w:id="586110147">
                      <w:marLeft w:val="0"/>
                      <w:marRight w:val="0"/>
                      <w:marTop w:val="0"/>
                      <w:marBottom w:val="0"/>
                      <w:divBdr>
                        <w:top w:val="none" w:sz="0" w:space="0" w:color="auto"/>
                        <w:left w:val="none" w:sz="0" w:space="0" w:color="auto"/>
                        <w:bottom w:val="none" w:sz="0" w:space="0" w:color="auto"/>
                        <w:right w:val="none" w:sz="0" w:space="0" w:color="auto"/>
                      </w:divBdr>
                    </w:div>
                  </w:divsChild>
                </w:div>
                <w:div w:id="1737824910">
                  <w:marLeft w:val="0"/>
                  <w:marRight w:val="0"/>
                  <w:marTop w:val="0"/>
                  <w:marBottom w:val="0"/>
                  <w:divBdr>
                    <w:top w:val="none" w:sz="0" w:space="0" w:color="auto"/>
                    <w:left w:val="none" w:sz="0" w:space="0" w:color="auto"/>
                    <w:bottom w:val="none" w:sz="0" w:space="0" w:color="auto"/>
                    <w:right w:val="none" w:sz="0" w:space="0" w:color="auto"/>
                  </w:divBdr>
                  <w:divsChild>
                    <w:div w:id="123814447">
                      <w:marLeft w:val="0"/>
                      <w:marRight w:val="0"/>
                      <w:marTop w:val="0"/>
                      <w:marBottom w:val="0"/>
                      <w:divBdr>
                        <w:top w:val="none" w:sz="0" w:space="0" w:color="auto"/>
                        <w:left w:val="none" w:sz="0" w:space="0" w:color="auto"/>
                        <w:bottom w:val="none" w:sz="0" w:space="0" w:color="auto"/>
                        <w:right w:val="none" w:sz="0" w:space="0" w:color="auto"/>
                      </w:divBdr>
                    </w:div>
                    <w:div w:id="408892391">
                      <w:marLeft w:val="0"/>
                      <w:marRight w:val="0"/>
                      <w:marTop w:val="0"/>
                      <w:marBottom w:val="0"/>
                      <w:divBdr>
                        <w:top w:val="none" w:sz="0" w:space="0" w:color="auto"/>
                        <w:left w:val="none" w:sz="0" w:space="0" w:color="auto"/>
                        <w:bottom w:val="none" w:sz="0" w:space="0" w:color="auto"/>
                        <w:right w:val="none" w:sz="0" w:space="0" w:color="auto"/>
                      </w:divBdr>
                    </w:div>
                    <w:div w:id="962854948">
                      <w:marLeft w:val="0"/>
                      <w:marRight w:val="0"/>
                      <w:marTop w:val="0"/>
                      <w:marBottom w:val="0"/>
                      <w:divBdr>
                        <w:top w:val="none" w:sz="0" w:space="0" w:color="auto"/>
                        <w:left w:val="none" w:sz="0" w:space="0" w:color="auto"/>
                        <w:bottom w:val="none" w:sz="0" w:space="0" w:color="auto"/>
                        <w:right w:val="none" w:sz="0" w:space="0" w:color="auto"/>
                      </w:divBdr>
                    </w:div>
                  </w:divsChild>
                </w:div>
                <w:div w:id="1823694024">
                  <w:marLeft w:val="0"/>
                  <w:marRight w:val="0"/>
                  <w:marTop w:val="0"/>
                  <w:marBottom w:val="0"/>
                  <w:divBdr>
                    <w:top w:val="none" w:sz="0" w:space="0" w:color="auto"/>
                    <w:left w:val="none" w:sz="0" w:space="0" w:color="auto"/>
                    <w:bottom w:val="none" w:sz="0" w:space="0" w:color="auto"/>
                    <w:right w:val="none" w:sz="0" w:space="0" w:color="auto"/>
                  </w:divBdr>
                  <w:divsChild>
                    <w:div w:id="45296846">
                      <w:marLeft w:val="0"/>
                      <w:marRight w:val="0"/>
                      <w:marTop w:val="0"/>
                      <w:marBottom w:val="0"/>
                      <w:divBdr>
                        <w:top w:val="none" w:sz="0" w:space="0" w:color="auto"/>
                        <w:left w:val="none" w:sz="0" w:space="0" w:color="auto"/>
                        <w:bottom w:val="none" w:sz="0" w:space="0" w:color="auto"/>
                        <w:right w:val="none" w:sz="0" w:space="0" w:color="auto"/>
                      </w:divBdr>
                    </w:div>
                  </w:divsChild>
                </w:div>
                <w:div w:id="1878546310">
                  <w:marLeft w:val="0"/>
                  <w:marRight w:val="0"/>
                  <w:marTop w:val="0"/>
                  <w:marBottom w:val="0"/>
                  <w:divBdr>
                    <w:top w:val="none" w:sz="0" w:space="0" w:color="auto"/>
                    <w:left w:val="none" w:sz="0" w:space="0" w:color="auto"/>
                    <w:bottom w:val="none" w:sz="0" w:space="0" w:color="auto"/>
                    <w:right w:val="none" w:sz="0" w:space="0" w:color="auto"/>
                  </w:divBdr>
                  <w:divsChild>
                    <w:div w:id="959460224">
                      <w:marLeft w:val="0"/>
                      <w:marRight w:val="0"/>
                      <w:marTop w:val="0"/>
                      <w:marBottom w:val="0"/>
                      <w:divBdr>
                        <w:top w:val="none" w:sz="0" w:space="0" w:color="auto"/>
                        <w:left w:val="none" w:sz="0" w:space="0" w:color="auto"/>
                        <w:bottom w:val="none" w:sz="0" w:space="0" w:color="auto"/>
                        <w:right w:val="none" w:sz="0" w:space="0" w:color="auto"/>
                      </w:divBdr>
                    </w:div>
                    <w:div w:id="1013845302">
                      <w:marLeft w:val="0"/>
                      <w:marRight w:val="0"/>
                      <w:marTop w:val="0"/>
                      <w:marBottom w:val="0"/>
                      <w:divBdr>
                        <w:top w:val="none" w:sz="0" w:space="0" w:color="auto"/>
                        <w:left w:val="none" w:sz="0" w:space="0" w:color="auto"/>
                        <w:bottom w:val="none" w:sz="0" w:space="0" w:color="auto"/>
                        <w:right w:val="none" w:sz="0" w:space="0" w:color="auto"/>
                      </w:divBdr>
                    </w:div>
                    <w:div w:id="1446728449">
                      <w:marLeft w:val="0"/>
                      <w:marRight w:val="0"/>
                      <w:marTop w:val="0"/>
                      <w:marBottom w:val="0"/>
                      <w:divBdr>
                        <w:top w:val="none" w:sz="0" w:space="0" w:color="auto"/>
                        <w:left w:val="none" w:sz="0" w:space="0" w:color="auto"/>
                        <w:bottom w:val="none" w:sz="0" w:space="0" w:color="auto"/>
                        <w:right w:val="none" w:sz="0" w:space="0" w:color="auto"/>
                      </w:divBdr>
                    </w:div>
                  </w:divsChild>
                </w:div>
                <w:div w:id="1882742160">
                  <w:marLeft w:val="0"/>
                  <w:marRight w:val="0"/>
                  <w:marTop w:val="0"/>
                  <w:marBottom w:val="0"/>
                  <w:divBdr>
                    <w:top w:val="none" w:sz="0" w:space="0" w:color="auto"/>
                    <w:left w:val="none" w:sz="0" w:space="0" w:color="auto"/>
                    <w:bottom w:val="none" w:sz="0" w:space="0" w:color="auto"/>
                    <w:right w:val="none" w:sz="0" w:space="0" w:color="auto"/>
                  </w:divBdr>
                  <w:divsChild>
                    <w:div w:id="12149721">
                      <w:marLeft w:val="0"/>
                      <w:marRight w:val="0"/>
                      <w:marTop w:val="0"/>
                      <w:marBottom w:val="0"/>
                      <w:divBdr>
                        <w:top w:val="none" w:sz="0" w:space="0" w:color="auto"/>
                        <w:left w:val="none" w:sz="0" w:space="0" w:color="auto"/>
                        <w:bottom w:val="none" w:sz="0" w:space="0" w:color="auto"/>
                        <w:right w:val="none" w:sz="0" w:space="0" w:color="auto"/>
                      </w:divBdr>
                    </w:div>
                    <w:div w:id="400979535">
                      <w:marLeft w:val="0"/>
                      <w:marRight w:val="0"/>
                      <w:marTop w:val="0"/>
                      <w:marBottom w:val="0"/>
                      <w:divBdr>
                        <w:top w:val="none" w:sz="0" w:space="0" w:color="auto"/>
                        <w:left w:val="none" w:sz="0" w:space="0" w:color="auto"/>
                        <w:bottom w:val="none" w:sz="0" w:space="0" w:color="auto"/>
                        <w:right w:val="none" w:sz="0" w:space="0" w:color="auto"/>
                      </w:divBdr>
                    </w:div>
                    <w:div w:id="727151224">
                      <w:marLeft w:val="0"/>
                      <w:marRight w:val="0"/>
                      <w:marTop w:val="0"/>
                      <w:marBottom w:val="0"/>
                      <w:divBdr>
                        <w:top w:val="none" w:sz="0" w:space="0" w:color="auto"/>
                        <w:left w:val="none" w:sz="0" w:space="0" w:color="auto"/>
                        <w:bottom w:val="none" w:sz="0" w:space="0" w:color="auto"/>
                        <w:right w:val="none" w:sz="0" w:space="0" w:color="auto"/>
                      </w:divBdr>
                    </w:div>
                    <w:div w:id="1659336585">
                      <w:marLeft w:val="0"/>
                      <w:marRight w:val="0"/>
                      <w:marTop w:val="0"/>
                      <w:marBottom w:val="0"/>
                      <w:divBdr>
                        <w:top w:val="none" w:sz="0" w:space="0" w:color="auto"/>
                        <w:left w:val="none" w:sz="0" w:space="0" w:color="auto"/>
                        <w:bottom w:val="none" w:sz="0" w:space="0" w:color="auto"/>
                        <w:right w:val="none" w:sz="0" w:space="0" w:color="auto"/>
                      </w:divBdr>
                    </w:div>
                    <w:div w:id="1754625195">
                      <w:marLeft w:val="0"/>
                      <w:marRight w:val="0"/>
                      <w:marTop w:val="0"/>
                      <w:marBottom w:val="0"/>
                      <w:divBdr>
                        <w:top w:val="none" w:sz="0" w:space="0" w:color="auto"/>
                        <w:left w:val="none" w:sz="0" w:space="0" w:color="auto"/>
                        <w:bottom w:val="none" w:sz="0" w:space="0" w:color="auto"/>
                        <w:right w:val="none" w:sz="0" w:space="0" w:color="auto"/>
                      </w:divBdr>
                    </w:div>
                    <w:div w:id="2065441458">
                      <w:marLeft w:val="0"/>
                      <w:marRight w:val="0"/>
                      <w:marTop w:val="0"/>
                      <w:marBottom w:val="0"/>
                      <w:divBdr>
                        <w:top w:val="none" w:sz="0" w:space="0" w:color="auto"/>
                        <w:left w:val="none" w:sz="0" w:space="0" w:color="auto"/>
                        <w:bottom w:val="none" w:sz="0" w:space="0" w:color="auto"/>
                        <w:right w:val="none" w:sz="0" w:space="0" w:color="auto"/>
                      </w:divBdr>
                    </w:div>
                    <w:div w:id="2101640964">
                      <w:marLeft w:val="0"/>
                      <w:marRight w:val="0"/>
                      <w:marTop w:val="0"/>
                      <w:marBottom w:val="0"/>
                      <w:divBdr>
                        <w:top w:val="none" w:sz="0" w:space="0" w:color="auto"/>
                        <w:left w:val="none" w:sz="0" w:space="0" w:color="auto"/>
                        <w:bottom w:val="none" w:sz="0" w:space="0" w:color="auto"/>
                        <w:right w:val="none" w:sz="0" w:space="0" w:color="auto"/>
                      </w:divBdr>
                    </w:div>
                  </w:divsChild>
                </w:div>
                <w:div w:id="1996107336">
                  <w:marLeft w:val="0"/>
                  <w:marRight w:val="0"/>
                  <w:marTop w:val="0"/>
                  <w:marBottom w:val="0"/>
                  <w:divBdr>
                    <w:top w:val="none" w:sz="0" w:space="0" w:color="auto"/>
                    <w:left w:val="none" w:sz="0" w:space="0" w:color="auto"/>
                    <w:bottom w:val="none" w:sz="0" w:space="0" w:color="auto"/>
                    <w:right w:val="none" w:sz="0" w:space="0" w:color="auto"/>
                  </w:divBdr>
                  <w:divsChild>
                    <w:div w:id="387920162">
                      <w:marLeft w:val="0"/>
                      <w:marRight w:val="0"/>
                      <w:marTop w:val="0"/>
                      <w:marBottom w:val="0"/>
                      <w:divBdr>
                        <w:top w:val="none" w:sz="0" w:space="0" w:color="auto"/>
                        <w:left w:val="none" w:sz="0" w:space="0" w:color="auto"/>
                        <w:bottom w:val="none" w:sz="0" w:space="0" w:color="auto"/>
                        <w:right w:val="none" w:sz="0" w:space="0" w:color="auto"/>
                      </w:divBdr>
                    </w:div>
                    <w:div w:id="555118253">
                      <w:marLeft w:val="0"/>
                      <w:marRight w:val="0"/>
                      <w:marTop w:val="0"/>
                      <w:marBottom w:val="0"/>
                      <w:divBdr>
                        <w:top w:val="none" w:sz="0" w:space="0" w:color="auto"/>
                        <w:left w:val="none" w:sz="0" w:space="0" w:color="auto"/>
                        <w:bottom w:val="none" w:sz="0" w:space="0" w:color="auto"/>
                        <w:right w:val="none" w:sz="0" w:space="0" w:color="auto"/>
                      </w:divBdr>
                    </w:div>
                  </w:divsChild>
                </w:div>
                <w:div w:id="2034845614">
                  <w:marLeft w:val="0"/>
                  <w:marRight w:val="0"/>
                  <w:marTop w:val="0"/>
                  <w:marBottom w:val="0"/>
                  <w:divBdr>
                    <w:top w:val="none" w:sz="0" w:space="0" w:color="auto"/>
                    <w:left w:val="none" w:sz="0" w:space="0" w:color="auto"/>
                    <w:bottom w:val="none" w:sz="0" w:space="0" w:color="auto"/>
                    <w:right w:val="none" w:sz="0" w:space="0" w:color="auto"/>
                  </w:divBdr>
                  <w:divsChild>
                    <w:div w:id="276451650">
                      <w:marLeft w:val="0"/>
                      <w:marRight w:val="0"/>
                      <w:marTop w:val="0"/>
                      <w:marBottom w:val="0"/>
                      <w:divBdr>
                        <w:top w:val="none" w:sz="0" w:space="0" w:color="auto"/>
                        <w:left w:val="none" w:sz="0" w:space="0" w:color="auto"/>
                        <w:bottom w:val="none" w:sz="0" w:space="0" w:color="auto"/>
                        <w:right w:val="none" w:sz="0" w:space="0" w:color="auto"/>
                      </w:divBdr>
                    </w:div>
                    <w:div w:id="946276479">
                      <w:marLeft w:val="0"/>
                      <w:marRight w:val="0"/>
                      <w:marTop w:val="0"/>
                      <w:marBottom w:val="0"/>
                      <w:divBdr>
                        <w:top w:val="none" w:sz="0" w:space="0" w:color="auto"/>
                        <w:left w:val="none" w:sz="0" w:space="0" w:color="auto"/>
                        <w:bottom w:val="none" w:sz="0" w:space="0" w:color="auto"/>
                        <w:right w:val="none" w:sz="0" w:space="0" w:color="auto"/>
                      </w:divBdr>
                    </w:div>
                    <w:div w:id="1521703390">
                      <w:marLeft w:val="0"/>
                      <w:marRight w:val="0"/>
                      <w:marTop w:val="0"/>
                      <w:marBottom w:val="0"/>
                      <w:divBdr>
                        <w:top w:val="none" w:sz="0" w:space="0" w:color="auto"/>
                        <w:left w:val="none" w:sz="0" w:space="0" w:color="auto"/>
                        <w:bottom w:val="none" w:sz="0" w:space="0" w:color="auto"/>
                        <w:right w:val="none" w:sz="0" w:space="0" w:color="auto"/>
                      </w:divBdr>
                    </w:div>
                    <w:div w:id="1924071610">
                      <w:marLeft w:val="0"/>
                      <w:marRight w:val="0"/>
                      <w:marTop w:val="0"/>
                      <w:marBottom w:val="0"/>
                      <w:divBdr>
                        <w:top w:val="none" w:sz="0" w:space="0" w:color="auto"/>
                        <w:left w:val="none" w:sz="0" w:space="0" w:color="auto"/>
                        <w:bottom w:val="none" w:sz="0" w:space="0" w:color="auto"/>
                        <w:right w:val="none" w:sz="0" w:space="0" w:color="auto"/>
                      </w:divBdr>
                    </w:div>
                  </w:divsChild>
                </w:div>
                <w:div w:id="2080713741">
                  <w:marLeft w:val="0"/>
                  <w:marRight w:val="0"/>
                  <w:marTop w:val="0"/>
                  <w:marBottom w:val="0"/>
                  <w:divBdr>
                    <w:top w:val="none" w:sz="0" w:space="0" w:color="auto"/>
                    <w:left w:val="none" w:sz="0" w:space="0" w:color="auto"/>
                    <w:bottom w:val="none" w:sz="0" w:space="0" w:color="auto"/>
                    <w:right w:val="none" w:sz="0" w:space="0" w:color="auto"/>
                  </w:divBdr>
                  <w:divsChild>
                    <w:div w:id="52697595">
                      <w:marLeft w:val="0"/>
                      <w:marRight w:val="0"/>
                      <w:marTop w:val="0"/>
                      <w:marBottom w:val="0"/>
                      <w:divBdr>
                        <w:top w:val="none" w:sz="0" w:space="0" w:color="auto"/>
                        <w:left w:val="none" w:sz="0" w:space="0" w:color="auto"/>
                        <w:bottom w:val="none" w:sz="0" w:space="0" w:color="auto"/>
                        <w:right w:val="none" w:sz="0" w:space="0" w:color="auto"/>
                      </w:divBdr>
                    </w:div>
                    <w:div w:id="910583009">
                      <w:marLeft w:val="0"/>
                      <w:marRight w:val="0"/>
                      <w:marTop w:val="0"/>
                      <w:marBottom w:val="0"/>
                      <w:divBdr>
                        <w:top w:val="none" w:sz="0" w:space="0" w:color="auto"/>
                        <w:left w:val="none" w:sz="0" w:space="0" w:color="auto"/>
                        <w:bottom w:val="none" w:sz="0" w:space="0" w:color="auto"/>
                        <w:right w:val="none" w:sz="0" w:space="0" w:color="auto"/>
                      </w:divBdr>
                    </w:div>
                    <w:div w:id="1009719694">
                      <w:marLeft w:val="0"/>
                      <w:marRight w:val="0"/>
                      <w:marTop w:val="0"/>
                      <w:marBottom w:val="0"/>
                      <w:divBdr>
                        <w:top w:val="none" w:sz="0" w:space="0" w:color="auto"/>
                        <w:left w:val="none" w:sz="0" w:space="0" w:color="auto"/>
                        <w:bottom w:val="none" w:sz="0" w:space="0" w:color="auto"/>
                        <w:right w:val="none" w:sz="0" w:space="0" w:color="auto"/>
                      </w:divBdr>
                    </w:div>
                    <w:div w:id="1112288648">
                      <w:marLeft w:val="0"/>
                      <w:marRight w:val="0"/>
                      <w:marTop w:val="0"/>
                      <w:marBottom w:val="0"/>
                      <w:divBdr>
                        <w:top w:val="none" w:sz="0" w:space="0" w:color="auto"/>
                        <w:left w:val="none" w:sz="0" w:space="0" w:color="auto"/>
                        <w:bottom w:val="none" w:sz="0" w:space="0" w:color="auto"/>
                        <w:right w:val="none" w:sz="0" w:space="0" w:color="auto"/>
                      </w:divBdr>
                    </w:div>
                    <w:div w:id="1345666432">
                      <w:marLeft w:val="0"/>
                      <w:marRight w:val="0"/>
                      <w:marTop w:val="0"/>
                      <w:marBottom w:val="0"/>
                      <w:divBdr>
                        <w:top w:val="none" w:sz="0" w:space="0" w:color="auto"/>
                        <w:left w:val="none" w:sz="0" w:space="0" w:color="auto"/>
                        <w:bottom w:val="none" w:sz="0" w:space="0" w:color="auto"/>
                        <w:right w:val="none" w:sz="0" w:space="0" w:color="auto"/>
                      </w:divBdr>
                    </w:div>
                    <w:div w:id="1569153273">
                      <w:marLeft w:val="0"/>
                      <w:marRight w:val="0"/>
                      <w:marTop w:val="0"/>
                      <w:marBottom w:val="0"/>
                      <w:divBdr>
                        <w:top w:val="none" w:sz="0" w:space="0" w:color="auto"/>
                        <w:left w:val="none" w:sz="0" w:space="0" w:color="auto"/>
                        <w:bottom w:val="none" w:sz="0" w:space="0" w:color="auto"/>
                        <w:right w:val="none" w:sz="0" w:space="0" w:color="auto"/>
                      </w:divBdr>
                    </w:div>
                    <w:div w:id="1966958461">
                      <w:marLeft w:val="0"/>
                      <w:marRight w:val="0"/>
                      <w:marTop w:val="0"/>
                      <w:marBottom w:val="0"/>
                      <w:divBdr>
                        <w:top w:val="none" w:sz="0" w:space="0" w:color="auto"/>
                        <w:left w:val="none" w:sz="0" w:space="0" w:color="auto"/>
                        <w:bottom w:val="none" w:sz="0" w:space="0" w:color="auto"/>
                        <w:right w:val="none" w:sz="0" w:space="0" w:color="auto"/>
                      </w:divBdr>
                    </w:div>
                  </w:divsChild>
                </w:div>
                <w:div w:id="2091199538">
                  <w:marLeft w:val="0"/>
                  <w:marRight w:val="0"/>
                  <w:marTop w:val="0"/>
                  <w:marBottom w:val="0"/>
                  <w:divBdr>
                    <w:top w:val="none" w:sz="0" w:space="0" w:color="auto"/>
                    <w:left w:val="none" w:sz="0" w:space="0" w:color="auto"/>
                    <w:bottom w:val="none" w:sz="0" w:space="0" w:color="auto"/>
                    <w:right w:val="none" w:sz="0" w:space="0" w:color="auto"/>
                  </w:divBdr>
                  <w:divsChild>
                    <w:div w:id="65764247">
                      <w:marLeft w:val="0"/>
                      <w:marRight w:val="0"/>
                      <w:marTop w:val="0"/>
                      <w:marBottom w:val="0"/>
                      <w:divBdr>
                        <w:top w:val="none" w:sz="0" w:space="0" w:color="auto"/>
                        <w:left w:val="none" w:sz="0" w:space="0" w:color="auto"/>
                        <w:bottom w:val="none" w:sz="0" w:space="0" w:color="auto"/>
                        <w:right w:val="none" w:sz="0" w:space="0" w:color="auto"/>
                      </w:divBdr>
                    </w:div>
                    <w:div w:id="361438600">
                      <w:marLeft w:val="0"/>
                      <w:marRight w:val="0"/>
                      <w:marTop w:val="0"/>
                      <w:marBottom w:val="0"/>
                      <w:divBdr>
                        <w:top w:val="none" w:sz="0" w:space="0" w:color="auto"/>
                        <w:left w:val="none" w:sz="0" w:space="0" w:color="auto"/>
                        <w:bottom w:val="none" w:sz="0" w:space="0" w:color="auto"/>
                        <w:right w:val="none" w:sz="0" w:space="0" w:color="auto"/>
                      </w:divBdr>
                    </w:div>
                    <w:div w:id="1062752088">
                      <w:marLeft w:val="0"/>
                      <w:marRight w:val="0"/>
                      <w:marTop w:val="0"/>
                      <w:marBottom w:val="0"/>
                      <w:divBdr>
                        <w:top w:val="none" w:sz="0" w:space="0" w:color="auto"/>
                        <w:left w:val="none" w:sz="0" w:space="0" w:color="auto"/>
                        <w:bottom w:val="none" w:sz="0" w:space="0" w:color="auto"/>
                        <w:right w:val="none" w:sz="0" w:space="0" w:color="auto"/>
                      </w:divBdr>
                    </w:div>
                  </w:divsChild>
                </w:div>
                <w:div w:id="2139949337">
                  <w:marLeft w:val="0"/>
                  <w:marRight w:val="0"/>
                  <w:marTop w:val="0"/>
                  <w:marBottom w:val="0"/>
                  <w:divBdr>
                    <w:top w:val="none" w:sz="0" w:space="0" w:color="auto"/>
                    <w:left w:val="none" w:sz="0" w:space="0" w:color="auto"/>
                    <w:bottom w:val="none" w:sz="0" w:space="0" w:color="auto"/>
                    <w:right w:val="none" w:sz="0" w:space="0" w:color="auto"/>
                  </w:divBdr>
                  <w:divsChild>
                    <w:div w:id="6216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4609">
      <w:bodyDiv w:val="1"/>
      <w:marLeft w:val="0"/>
      <w:marRight w:val="0"/>
      <w:marTop w:val="0"/>
      <w:marBottom w:val="0"/>
      <w:divBdr>
        <w:top w:val="none" w:sz="0" w:space="0" w:color="auto"/>
        <w:left w:val="none" w:sz="0" w:space="0" w:color="auto"/>
        <w:bottom w:val="none" w:sz="0" w:space="0" w:color="auto"/>
        <w:right w:val="none" w:sz="0" w:space="0" w:color="auto"/>
      </w:divBdr>
    </w:div>
    <w:div w:id="873734461">
      <w:bodyDiv w:val="1"/>
      <w:marLeft w:val="0"/>
      <w:marRight w:val="0"/>
      <w:marTop w:val="0"/>
      <w:marBottom w:val="0"/>
      <w:divBdr>
        <w:top w:val="none" w:sz="0" w:space="0" w:color="auto"/>
        <w:left w:val="none" w:sz="0" w:space="0" w:color="auto"/>
        <w:bottom w:val="none" w:sz="0" w:space="0" w:color="auto"/>
        <w:right w:val="none" w:sz="0" w:space="0" w:color="auto"/>
      </w:divBdr>
    </w:div>
    <w:div w:id="893809600">
      <w:bodyDiv w:val="1"/>
      <w:marLeft w:val="0"/>
      <w:marRight w:val="0"/>
      <w:marTop w:val="0"/>
      <w:marBottom w:val="0"/>
      <w:divBdr>
        <w:top w:val="none" w:sz="0" w:space="0" w:color="auto"/>
        <w:left w:val="none" w:sz="0" w:space="0" w:color="auto"/>
        <w:bottom w:val="none" w:sz="0" w:space="0" w:color="auto"/>
        <w:right w:val="none" w:sz="0" w:space="0" w:color="auto"/>
      </w:divBdr>
    </w:div>
    <w:div w:id="925109737">
      <w:bodyDiv w:val="1"/>
      <w:marLeft w:val="0"/>
      <w:marRight w:val="0"/>
      <w:marTop w:val="0"/>
      <w:marBottom w:val="0"/>
      <w:divBdr>
        <w:top w:val="none" w:sz="0" w:space="0" w:color="auto"/>
        <w:left w:val="none" w:sz="0" w:space="0" w:color="auto"/>
        <w:bottom w:val="none" w:sz="0" w:space="0" w:color="auto"/>
        <w:right w:val="none" w:sz="0" w:space="0" w:color="auto"/>
      </w:divBdr>
      <w:divsChild>
        <w:div w:id="463501534">
          <w:marLeft w:val="0"/>
          <w:marRight w:val="0"/>
          <w:marTop w:val="0"/>
          <w:marBottom w:val="0"/>
          <w:divBdr>
            <w:top w:val="none" w:sz="0" w:space="0" w:color="auto"/>
            <w:left w:val="none" w:sz="0" w:space="0" w:color="auto"/>
            <w:bottom w:val="none" w:sz="0" w:space="0" w:color="auto"/>
            <w:right w:val="none" w:sz="0" w:space="0" w:color="auto"/>
          </w:divBdr>
        </w:div>
        <w:div w:id="943341637">
          <w:marLeft w:val="0"/>
          <w:marRight w:val="0"/>
          <w:marTop w:val="0"/>
          <w:marBottom w:val="0"/>
          <w:divBdr>
            <w:top w:val="none" w:sz="0" w:space="0" w:color="auto"/>
            <w:left w:val="none" w:sz="0" w:space="0" w:color="auto"/>
            <w:bottom w:val="none" w:sz="0" w:space="0" w:color="auto"/>
            <w:right w:val="none" w:sz="0" w:space="0" w:color="auto"/>
          </w:divBdr>
        </w:div>
        <w:div w:id="1791583267">
          <w:marLeft w:val="0"/>
          <w:marRight w:val="0"/>
          <w:marTop w:val="0"/>
          <w:marBottom w:val="0"/>
          <w:divBdr>
            <w:top w:val="none" w:sz="0" w:space="0" w:color="auto"/>
            <w:left w:val="none" w:sz="0" w:space="0" w:color="auto"/>
            <w:bottom w:val="none" w:sz="0" w:space="0" w:color="auto"/>
            <w:right w:val="none" w:sz="0" w:space="0" w:color="auto"/>
          </w:divBdr>
          <w:divsChild>
            <w:div w:id="845945911">
              <w:marLeft w:val="-75"/>
              <w:marRight w:val="0"/>
              <w:marTop w:val="30"/>
              <w:marBottom w:val="30"/>
              <w:divBdr>
                <w:top w:val="none" w:sz="0" w:space="0" w:color="auto"/>
                <w:left w:val="none" w:sz="0" w:space="0" w:color="auto"/>
                <w:bottom w:val="none" w:sz="0" w:space="0" w:color="auto"/>
                <w:right w:val="none" w:sz="0" w:space="0" w:color="auto"/>
              </w:divBdr>
              <w:divsChild>
                <w:div w:id="102189132">
                  <w:marLeft w:val="0"/>
                  <w:marRight w:val="0"/>
                  <w:marTop w:val="0"/>
                  <w:marBottom w:val="0"/>
                  <w:divBdr>
                    <w:top w:val="none" w:sz="0" w:space="0" w:color="auto"/>
                    <w:left w:val="none" w:sz="0" w:space="0" w:color="auto"/>
                    <w:bottom w:val="none" w:sz="0" w:space="0" w:color="auto"/>
                    <w:right w:val="none" w:sz="0" w:space="0" w:color="auto"/>
                  </w:divBdr>
                  <w:divsChild>
                    <w:div w:id="267809300">
                      <w:marLeft w:val="0"/>
                      <w:marRight w:val="0"/>
                      <w:marTop w:val="0"/>
                      <w:marBottom w:val="0"/>
                      <w:divBdr>
                        <w:top w:val="none" w:sz="0" w:space="0" w:color="auto"/>
                        <w:left w:val="none" w:sz="0" w:space="0" w:color="auto"/>
                        <w:bottom w:val="none" w:sz="0" w:space="0" w:color="auto"/>
                        <w:right w:val="none" w:sz="0" w:space="0" w:color="auto"/>
                      </w:divBdr>
                    </w:div>
                    <w:div w:id="882596776">
                      <w:marLeft w:val="0"/>
                      <w:marRight w:val="0"/>
                      <w:marTop w:val="0"/>
                      <w:marBottom w:val="0"/>
                      <w:divBdr>
                        <w:top w:val="none" w:sz="0" w:space="0" w:color="auto"/>
                        <w:left w:val="none" w:sz="0" w:space="0" w:color="auto"/>
                        <w:bottom w:val="none" w:sz="0" w:space="0" w:color="auto"/>
                        <w:right w:val="none" w:sz="0" w:space="0" w:color="auto"/>
                      </w:divBdr>
                    </w:div>
                    <w:div w:id="1631740919">
                      <w:marLeft w:val="0"/>
                      <w:marRight w:val="0"/>
                      <w:marTop w:val="0"/>
                      <w:marBottom w:val="0"/>
                      <w:divBdr>
                        <w:top w:val="none" w:sz="0" w:space="0" w:color="auto"/>
                        <w:left w:val="none" w:sz="0" w:space="0" w:color="auto"/>
                        <w:bottom w:val="none" w:sz="0" w:space="0" w:color="auto"/>
                        <w:right w:val="none" w:sz="0" w:space="0" w:color="auto"/>
                      </w:divBdr>
                    </w:div>
                  </w:divsChild>
                </w:div>
                <w:div w:id="181284498">
                  <w:marLeft w:val="0"/>
                  <w:marRight w:val="0"/>
                  <w:marTop w:val="0"/>
                  <w:marBottom w:val="0"/>
                  <w:divBdr>
                    <w:top w:val="none" w:sz="0" w:space="0" w:color="auto"/>
                    <w:left w:val="none" w:sz="0" w:space="0" w:color="auto"/>
                    <w:bottom w:val="none" w:sz="0" w:space="0" w:color="auto"/>
                    <w:right w:val="none" w:sz="0" w:space="0" w:color="auto"/>
                  </w:divBdr>
                  <w:divsChild>
                    <w:div w:id="765270131">
                      <w:marLeft w:val="0"/>
                      <w:marRight w:val="0"/>
                      <w:marTop w:val="0"/>
                      <w:marBottom w:val="0"/>
                      <w:divBdr>
                        <w:top w:val="none" w:sz="0" w:space="0" w:color="auto"/>
                        <w:left w:val="none" w:sz="0" w:space="0" w:color="auto"/>
                        <w:bottom w:val="none" w:sz="0" w:space="0" w:color="auto"/>
                        <w:right w:val="none" w:sz="0" w:space="0" w:color="auto"/>
                      </w:divBdr>
                    </w:div>
                  </w:divsChild>
                </w:div>
                <w:div w:id="251204469">
                  <w:marLeft w:val="0"/>
                  <w:marRight w:val="0"/>
                  <w:marTop w:val="0"/>
                  <w:marBottom w:val="0"/>
                  <w:divBdr>
                    <w:top w:val="none" w:sz="0" w:space="0" w:color="auto"/>
                    <w:left w:val="none" w:sz="0" w:space="0" w:color="auto"/>
                    <w:bottom w:val="none" w:sz="0" w:space="0" w:color="auto"/>
                    <w:right w:val="none" w:sz="0" w:space="0" w:color="auto"/>
                  </w:divBdr>
                  <w:divsChild>
                    <w:div w:id="2133015293">
                      <w:marLeft w:val="0"/>
                      <w:marRight w:val="0"/>
                      <w:marTop w:val="0"/>
                      <w:marBottom w:val="0"/>
                      <w:divBdr>
                        <w:top w:val="none" w:sz="0" w:space="0" w:color="auto"/>
                        <w:left w:val="none" w:sz="0" w:space="0" w:color="auto"/>
                        <w:bottom w:val="none" w:sz="0" w:space="0" w:color="auto"/>
                        <w:right w:val="none" w:sz="0" w:space="0" w:color="auto"/>
                      </w:divBdr>
                    </w:div>
                  </w:divsChild>
                </w:div>
                <w:div w:id="262223345">
                  <w:marLeft w:val="0"/>
                  <w:marRight w:val="0"/>
                  <w:marTop w:val="0"/>
                  <w:marBottom w:val="0"/>
                  <w:divBdr>
                    <w:top w:val="none" w:sz="0" w:space="0" w:color="auto"/>
                    <w:left w:val="none" w:sz="0" w:space="0" w:color="auto"/>
                    <w:bottom w:val="none" w:sz="0" w:space="0" w:color="auto"/>
                    <w:right w:val="none" w:sz="0" w:space="0" w:color="auto"/>
                  </w:divBdr>
                  <w:divsChild>
                    <w:div w:id="108472967">
                      <w:marLeft w:val="0"/>
                      <w:marRight w:val="0"/>
                      <w:marTop w:val="0"/>
                      <w:marBottom w:val="0"/>
                      <w:divBdr>
                        <w:top w:val="none" w:sz="0" w:space="0" w:color="auto"/>
                        <w:left w:val="none" w:sz="0" w:space="0" w:color="auto"/>
                        <w:bottom w:val="none" w:sz="0" w:space="0" w:color="auto"/>
                        <w:right w:val="none" w:sz="0" w:space="0" w:color="auto"/>
                      </w:divBdr>
                    </w:div>
                    <w:div w:id="150486414">
                      <w:marLeft w:val="0"/>
                      <w:marRight w:val="0"/>
                      <w:marTop w:val="0"/>
                      <w:marBottom w:val="0"/>
                      <w:divBdr>
                        <w:top w:val="none" w:sz="0" w:space="0" w:color="auto"/>
                        <w:left w:val="none" w:sz="0" w:space="0" w:color="auto"/>
                        <w:bottom w:val="none" w:sz="0" w:space="0" w:color="auto"/>
                        <w:right w:val="none" w:sz="0" w:space="0" w:color="auto"/>
                      </w:divBdr>
                    </w:div>
                    <w:div w:id="290795053">
                      <w:marLeft w:val="0"/>
                      <w:marRight w:val="0"/>
                      <w:marTop w:val="0"/>
                      <w:marBottom w:val="0"/>
                      <w:divBdr>
                        <w:top w:val="none" w:sz="0" w:space="0" w:color="auto"/>
                        <w:left w:val="none" w:sz="0" w:space="0" w:color="auto"/>
                        <w:bottom w:val="none" w:sz="0" w:space="0" w:color="auto"/>
                        <w:right w:val="none" w:sz="0" w:space="0" w:color="auto"/>
                      </w:divBdr>
                    </w:div>
                    <w:div w:id="589629560">
                      <w:marLeft w:val="0"/>
                      <w:marRight w:val="0"/>
                      <w:marTop w:val="0"/>
                      <w:marBottom w:val="0"/>
                      <w:divBdr>
                        <w:top w:val="none" w:sz="0" w:space="0" w:color="auto"/>
                        <w:left w:val="none" w:sz="0" w:space="0" w:color="auto"/>
                        <w:bottom w:val="none" w:sz="0" w:space="0" w:color="auto"/>
                        <w:right w:val="none" w:sz="0" w:space="0" w:color="auto"/>
                      </w:divBdr>
                    </w:div>
                    <w:div w:id="611203983">
                      <w:marLeft w:val="0"/>
                      <w:marRight w:val="0"/>
                      <w:marTop w:val="0"/>
                      <w:marBottom w:val="0"/>
                      <w:divBdr>
                        <w:top w:val="none" w:sz="0" w:space="0" w:color="auto"/>
                        <w:left w:val="none" w:sz="0" w:space="0" w:color="auto"/>
                        <w:bottom w:val="none" w:sz="0" w:space="0" w:color="auto"/>
                        <w:right w:val="none" w:sz="0" w:space="0" w:color="auto"/>
                      </w:divBdr>
                    </w:div>
                    <w:div w:id="1816289143">
                      <w:marLeft w:val="0"/>
                      <w:marRight w:val="0"/>
                      <w:marTop w:val="0"/>
                      <w:marBottom w:val="0"/>
                      <w:divBdr>
                        <w:top w:val="none" w:sz="0" w:space="0" w:color="auto"/>
                        <w:left w:val="none" w:sz="0" w:space="0" w:color="auto"/>
                        <w:bottom w:val="none" w:sz="0" w:space="0" w:color="auto"/>
                        <w:right w:val="none" w:sz="0" w:space="0" w:color="auto"/>
                      </w:divBdr>
                    </w:div>
                    <w:div w:id="1984311867">
                      <w:marLeft w:val="0"/>
                      <w:marRight w:val="0"/>
                      <w:marTop w:val="0"/>
                      <w:marBottom w:val="0"/>
                      <w:divBdr>
                        <w:top w:val="none" w:sz="0" w:space="0" w:color="auto"/>
                        <w:left w:val="none" w:sz="0" w:space="0" w:color="auto"/>
                        <w:bottom w:val="none" w:sz="0" w:space="0" w:color="auto"/>
                        <w:right w:val="none" w:sz="0" w:space="0" w:color="auto"/>
                      </w:divBdr>
                    </w:div>
                  </w:divsChild>
                </w:div>
                <w:div w:id="271480981">
                  <w:marLeft w:val="0"/>
                  <w:marRight w:val="0"/>
                  <w:marTop w:val="0"/>
                  <w:marBottom w:val="0"/>
                  <w:divBdr>
                    <w:top w:val="none" w:sz="0" w:space="0" w:color="auto"/>
                    <w:left w:val="none" w:sz="0" w:space="0" w:color="auto"/>
                    <w:bottom w:val="none" w:sz="0" w:space="0" w:color="auto"/>
                    <w:right w:val="none" w:sz="0" w:space="0" w:color="auto"/>
                  </w:divBdr>
                  <w:divsChild>
                    <w:div w:id="108933103">
                      <w:marLeft w:val="0"/>
                      <w:marRight w:val="0"/>
                      <w:marTop w:val="0"/>
                      <w:marBottom w:val="0"/>
                      <w:divBdr>
                        <w:top w:val="none" w:sz="0" w:space="0" w:color="auto"/>
                        <w:left w:val="none" w:sz="0" w:space="0" w:color="auto"/>
                        <w:bottom w:val="none" w:sz="0" w:space="0" w:color="auto"/>
                        <w:right w:val="none" w:sz="0" w:space="0" w:color="auto"/>
                      </w:divBdr>
                    </w:div>
                    <w:div w:id="1777555959">
                      <w:marLeft w:val="0"/>
                      <w:marRight w:val="0"/>
                      <w:marTop w:val="0"/>
                      <w:marBottom w:val="0"/>
                      <w:divBdr>
                        <w:top w:val="none" w:sz="0" w:space="0" w:color="auto"/>
                        <w:left w:val="none" w:sz="0" w:space="0" w:color="auto"/>
                        <w:bottom w:val="none" w:sz="0" w:space="0" w:color="auto"/>
                        <w:right w:val="none" w:sz="0" w:space="0" w:color="auto"/>
                      </w:divBdr>
                    </w:div>
                    <w:div w:id="2041935737">
                      <w:marLeft w:val="0"/>
                      <w:marRight w:val="0"/>
                      <w:marTop w:val="0"/>
                      <w:marBottom w:val="0"/>
                      <w:divBdr>
                        <w:top w:val="none" w:sz="0" w:space="0" w:color="auto"/>
                        <w:left w:val="none" w:sz="0" w:space="0" w:color="auto"/>
                        <w:bottom w:val="none" w:sz="0" w:space="0" w:color="auto"/>
                        <w:right w:val="none" w:sz="0" w:space="0" w:color="auto"/>
                      </w:divBdr>
                    </w:div>
                  </w:divsChild>
                </w:div>
                <w:div w:id="367223546">
                  <w:marLeft w:val="0"/>
                  <w:marRight w:val="0"/>
                  <w:marTop w:val="0"/>
                  <w:marBottom w:val="0"/>
                  <w:divBdr>
                    <w:top w:val="none" w:sz="0" w:space="0" w:color="auto"/>
                    <w:left w:val="none" w:sz="0" w:space="0" w:color="auto"/>
                    <w:bottom w:val="none" w:sz="0" w:space="0" w:color="auto"/>
                    <w:right w:val="none" w:sz="0" w:space="0" w:color="auto"/>
                  </w:divBdr>
                  <w:divsChild>
                    <w:div w:id="85663009">
                      <w:marLeft w:val="0"/>
                      <w:marRight w:val="0"/>
                      <w:marTop w:val="0"/>
                      <w:marBottom w:val="0"/>
                      <w:divBdr>
                        <w:top w:val="none" w:sz="0" w:space="0" w:color="auto"/>
                        <w:left w:val="none" w:sz="0" w:space="0" w:color="auto"/>
                        <w:bottom w:val="none" w:sz="0" w:space="0" w:color="auto"/>
                        <w:right w:val="none" w:sz="0" w:space="0" w:color="auto"/>
                      </w:divBdr>
                    </w:div>
                  </w:divsChild>
                </w:div>
                <w:div w:id="390622413">
                  <w:marLeft w:val="0"/>
                  <w:marRight w:val="0"/>
                  <w:marTop w:val="0"/>
                  <w:marBottom w:val="0"/>
                  <w:divBdr>
                    <w:top w:val="none" w:sz="0" w:space="0" w:color="auto"/>
                    <w:left w:val="none" w:sz="0" w:space="0" w:color="auto"/>
                    <w:bottom w:val="none" w:sz="0" w:space="0" w:color="auto"/>
                    <w:right w:val="none" w:sz="0" w:space="0" w:color="auto"/>
                  </w:divBdr>
                  <w:divsChild>
                    <w:div w:id="982810196">
                      <w:marLeft w:val="0"/>
                      <w:marRight w:val="0"/>
                      <w:marTop w:val="0"/>
                      <w:marBottom w:val="0"/>
                      <w:divBdr>
                        <w:top w:val="none" w:sz="0" w:space="0" w:color="auto"/>
                        <w:left w:val="none" w:sz="0" w:space="0" w:color="auto"/>
                        <w:bottom w:val="none" w:sz="0" w:space="0" w:color="auto"/>
                        <w:right w:val="none" w:sz="0" w:space="0" w:color="auto"/>
                      </w:divBdr>
                    </w:div>
                  </w:divsChild>
                </w:div>
                <w:div w:id="507599398">
                  <w:marLeft w:val="0"/>
                  <w:marRight w:val="0"/>
                  <w:marTop w:val="0"/>
                  <w:marBottom w:val="0"/>
                  <w:divBdr>
                    <w:top w:val="none" w:sz="0" w:space="0" w:color="auto"/>
                    <w:left w:val="none" w:sz="0" w:space="0" w:color="auto"/>
                    <w:bottom w:val="none" w:sz="0" w:space="0" w:color="auto"/>
                    <w:right w:val="none" w:sz="0" w:space="0" w:color="auto"/>
                  </w:divBdr>
                  <w:divsChild>
                    <w:div w:id="1305814303">
                      <w:marLeft w:val="0"/>
                      <w:marRight w:val="0"/>
                      <w:marTop w:val="0"/>
                      <w:marBottom w:val="0"/>
                      <w:divBdr>
                        <w:top w:val="none" w:sz="0" w:space="0" w:color="auto"/>
                        <w:left w:val="none" w:sz="0" w:space="0" w:color="auto"/>
                        <w:bottom w:val="none" w:sz="0" w:space="0" w:color="auto"/>
                        <w:right w:val="none" w:sz="0" w:space="0" w:color="auto"/>
                      </w:divBdr>
                    </w:div>
                  </w:divsChild>
                </w:div>
                <w:div w:id="683749607">
                  <w:marLeft w:val="0"/>
                  <w:marRight w:val="0"/>
                  <w:marTop w:val="0"/>
                  <w:marBottom w:val="0"/>
                  <w:divBdr>
                    <w:top w:val="none" w:sz="0" w:space="0" w:color="auto"/>
                    <w:left w:val="none" w:sz="0" w:space="0" w:color="auto"/>
                    <w:bottom w:val="none" w:sz="0" w:space="0" w:color="auto"/>
                    <w:right w:val="none" w:sz="0" w:space="0" w:color="auto"/>
                  </w:divBdr>
                  <w:divsChild>
                    <w:div w:id="1496338729">
                      <w:marLeft w:val="0"/>
                      <w:marRight w:val="0"/>
                      <w:marTop w:val="0"/>
                      <w:marBottom w:val="0"/>
                      <w:divBdr>
                        <w:top w:val="none" w:sz="0" w:space="0" w:color="auto"/>
                        <w:left w:val="none" w:sz="0" w:space="0" w:color="auto"/>
                        <w:bottom w:val="none" w:sz="0" w:space="0" w:color="auto"/>
                        <w:right w:val="none" w:sz="0" w:space="0" w:color="auto"/>
                      </w:divBdr>
                    </w:div>
                  </w:divsChild>
                </w:div>
                <w:div w:id="711540590">
                  <w:marLeft w:val="0"/>
                  <w:marRight w:val="0"/>
                  <w:marTop w:val="0"/>
                  <w:marBottom w:val="0"/>
                  <w:divBdr>
                    <w:top w:val="none" w:sz="0" w:space="0" w:color="auto"/>
                    <w:left w:val="none" w:sz="0" w:space="0" w:color="auto"/>
                    <w:bottom w:val="none" w:sz="0" w:space="0" w:color="auto"/>
                    <w:right w:val="none" w:sz="0" w:space="0" w:color="auto"/>
                  </w:divBdr>
                  <w:divsChild>
                    <w:div w:id="1360619902">
                      <w:marLeft w:val="0"/>
                      <w:marRight w:val="0"/>
                      <w:marTop w:val="0"/>
                      <w:marBottom w:val="0"/>
                      <w:divBdr>
                        <w:top w:val="none" w:sz="0" w:space="0" w:color="auto"/>
                        <w:left w:val="none" w:sz="0" w:space="0" w:color="auto"/>
                        <w:bottom w:val="none" w:sz="0" w:space="0" w:color="auto"/>
                        <w:right w:val="none" w:sz="0" w:space="0" w:color="auto"/>
                      </w:divBdr>
                    </w:div>
                  </w:divsChild>
                </w:div>
                <w:div w:id="775176003">
                  <w:marLeft w:val="0"/>
                  <w:marRight w:val="0"/>
                  <w:marTop w:val="0"/>
                  <w:marBottom w:val="0"/>
                  <w:divBdr>
                    <w:top w:val="none" w:sz="0" w:space="0" w:color="auto"/>
                    <w:left w:val="none" w:sz="0" w:space="0" w:color="auto"/>
                    <w:bottom w:val="none" w:sz="0" w:space="0" w:color="auto"/>
                    <w:right w:val="none" w:sz="0" w:space="0" w:color="auto"/>
                  </w:divBdr>
                  <w:divsChild>
                    <w:div w:id="130438681">
                      <w:marLeft w:val="0"/>
                      <w:marRight w:val="0"/>
                      <w:marTop w:val="0"/>
                      <w:marBottom w:val="0"/>
                      <w:divBdr>
                        <w:top w:val="none" w:sz="0" w:space="0" w:color="auto"/>
                        <w:left w:val="none" w:sz="0" w:space="0" w:color="auto"/>
                        <w:bottom w:val="none" w:sz="0" w:space="0" w:color="auto"/>
                        <w:right w:val="none" w:sz="0" w:space="0" w:color="auto"/>
                      </w:divBdr>
                    </w:div>
                    <w:div w:id="564754298">
                      <w:marLeft w:val="0"/>
                      <w:marRight w:val="0"/>
                      <w:marTop w:val="0"/>
                      <w:marBottom w:val="0"/>
                      <w:divBdr>
                        <w:top w:val="none" w:sz="0" w:space="0" w:color="auto"/>
                        <w:left w:val="none" w:sz="0" w:space="0" w:color="auto"/>
                        <w:bottom w:val="none" w:sz="0" w:space="0" w:color="auto"/>
                        <w:right w:val="none" w:sz="0" w:space="0" w:color="auto"/>
                      </w:divBdr>
                    </w:div>
                    <w:div w:id="961377608">
                      <w:marLeft w:val="0"/>
                      <w:marRight w:val="0"/>
                      <w:marTop w:val="0"/>
                      <w:marBottom w:val="0"/>
                      <w:divBdr>
                        <w:top w:val="none" w:sz="0" w:space="0" w:color="auto"/>
                        <w:left w:val="none" w:sz="0" w:space="0" w:color="auto"/>
                        <w:bottom w:val="none" w:sz="0" w:space="0" w:color="auto"/>
                        <w:right w:val="none" w:sz="0" w:space="0" w:color="auto"/>
                      </w:divBdr>
                    </w:div>
                  </w:divsChild>
                </w:div>
                <w:div w:id="807628084">
                  <w:marLeft w:val="0"/>
                  <w:marRight w:val="0"/>
                  <w:marTop w:val="0"/>
                  <w:marBottom w:val="0"/>
                  <w:divBdr>
                    <w:top w:val="none" w:sz="0" w:space="0" w:color="auto"/>
                    <w:left w:val="none" w:sz="0" w:space="0" w:color="auto"/>
                    <w:bottom w:val="none" w:sz="0" w:space="0" w:color="auto"/>
                    <w:right w:val="none" w:sz="0" w:space="0" w:color="auto"/>
                  </w:divBdr>
                  <w:divsChild>
                    <w:div w:id="578246710">
                      <w:marLeft w:val="0"/>
                      <w:marRight w:val="0"/>
                      <w:marTop w:val="0"/>
                      <w:marBottom w:val="0"/>
                      <w:divBdr>
                        <w:top w:val="none" w:sz="0" w:space="0" w:color="auto"/>
                        <w:left w:val="none" w:sz="0" w:space="0" w:color="auto"/>
                        <w:bottom w:val="none" w:sz="0" w:space="0" w:color="auto"/>
                        <w:right w:val="none" w:sz="0" w:space="0" w:color="auto"/>
                      </w:divBdr>
                    </w:div>
                    <w:div w:id="604460042">
                      <w:marLeft w:val="0"/>
                      <w:marRight w:val="0"/>
                      <w:marTop w:val="0"/>
                      <w:marBottom w:val="0"/>
                      <w:divBdr>
                        <w:top w:val="none" w:sz="0" w:space="0" w:color="auto"/>
                        <w:left w:val="none" w:sz="0" w:space="0" w:color="auto"/>
                        <w:bottom w:val="none" w:sz="0" w:space="0" w:color="auto"/>
                        <w:right w:val="none" w:sz="0" w:space="0" w:color="auto"/>
                      </w:divBdr>
                    </w:div>
                    <w:div w:id="1985811305">
                      <w:marLeft w:val="0"/>
                      <w:marRight w:val="0"/>
                      <w:marTop w:val="0"/>
                      <w:marBottom w:val="0"/>
                      <w:divBdr>
                        <w:top w:val="none" w:sz="0" w:space="0" w:color="auto"/>
                        <w:left w:val="none" w:sz="0" w:space="0" w:color="auto"/>
                        <w:bottom w:val="none" w:sz="0" w:space="0" w:color="auto"/>
                        <w:right w:val="none" w:sz="0" w:space="0" w:color="auto"/>
                      </w:divBdr>
                    </w:div>
                  </w:divsChild>
                </w:div>
                <w:div w:id="866992240">
                  <w:marLeft w:val="0"/>
                  <w:marRight w:val="0"/>
                  <w:marTop w:val="0"/>
                  <w:marBottom w:val="0"/>
                  <w:divBdr>
                    <w:top w:val="none" w:sz="0" w:space="0" w:color="auto"/>
                    <w:left w:val="none" w:sz="0" w:space="0" w:color="auto"/>
                    <w:bottom w:val="none" w:sz="0" w:space="0" w:color="auto"/>
                    <w:right w:val="none" w:sz="0" w:space="0" w:color="auto"/>
                  </w:divBdr>
                  <w:divsChild>
                    <w:div w:id="882718919">
                      <w:marLeft w:val="0"/>
                      <w:marRight w:val="0"/>
                      <w:marTop w:val="0"/>
                      <w:marBottom w:val="0"/>
                      <w:divBdr>
                        <w:top w:val="none" w:sz="0" w:space="0" w:color="auto"/>
                        <w:left w:val="none" w:sz="0" w:space="0" w:color="auto"/>
                        <w:bottom w:val="none" w:sz="0" w:space="0" w:color="auto"/>
                        <w:right w:val="none" w:sz="0" w:space="0" w:color="auto"/>
                      </w:divBdr>
                    </w:div>
                  </w:divsChild>
                </w:div>
                <w:div w:id="920140265">
                  <w:marLeft w:val="0"/>
                  <w:marRight w:val="0"/>
                  <w:marTop w:val="0"/>
                  <w:marBottom w:val="0"/>
                  <w:divBdr>
                    <w:top w:val="none" w:sz="0" w:space="0" w:color="auto"/>
                    <w:left w:val="none" w:sz="0" w:space="0" w:color="auto"/>
                    <w:bottom w:val="none" w:sz="0" w:space="0" w:color="auto"/>
                    <w:right w:val="none" w:sz="0" w:space="0" w:color="auto"/>
                  </w:divBdr>
                  <w:divsChild>
                    <w:div w:id="317852918">
                      <w:marLeft w:val="0"/>
                      <w:marRight w:val="0"/>
                      <w:marTop w:val="0"/>
                      <w:marBottom w:val="0"/>
                      <w:divBdr>
                        <w:top w:val="none" w:sz="0" w:space="0" w:color="auto"/>
                        <w:left w:val="none" w:sz="0" w:space="0" w:color="auto"/>
                        <w:bottom w:val="none" w:sz="0" w:space="0" w:color="auto"/>
                        <w:right w:val="none" w:sz="0" w:space="0" w:color="auto"/>
                      </w:divBdr>
                    </w:div>
                  </w:divsChild>
                </w:div>
                <w:div w:id="979336214">
                  <w:marLeft w:val="0"/>
                  <w:marRight w:val="0"/>
                  <w:marTop w:val="0"/>
                  <w:marBottom w:val="0"/>
                  <w:divBdr>
                    <w:top w:val="none" w:sz="0" w:space="0" w:color="auto"/>
                    <w:left w:val="none" w:sz="0" w:space="0" w:color="auto"/>
                    <w:bottom w:val="none" w:sz="0" w:space="0" w:color="auto"/>
                    <w:right w:val="none" w:sz="0" w:space="0" w:color="auto"/>
                  </w:divBdr>
                  <w:divsChild>
                    <w:div w:id="646589521">
                      <w:marLeft w:val="0"/>
                      <w:marRight w:val="0"/>
                      <w:marTop w:val="0"/>
                      <w:marBottom w:val="0"/>
                      <w:divBdr>
                        <w:top w:val="none" w:sz="0" w:space="0" w:color="auto"/>
                        <w:left w:val="none" w:sz="0" w:space="0" w:color="auto"/>
                        <w:bottom w:val="none" w:sz="0" w:space="0" w:color="auto"/>
                        <w:right w:val="none" w:sz="0" w:space="0" w:color="auto"/>
                      </w:divBdr>
                    </w:div>
                  </w:divsChild>
                </w:div>
                <w:div w:id="1028332674">
                  <w:marLeft w:val="0"/>
                  <w:marRight w:val="0"/>
                  <w:marTop w:val="0"/>
                  <w:marBottom w:val="0"/>
                  <w:divBdr>
                    <w:top w:val="none" w:sz="0" w:space="0" w:color="auto"/>
                    <w:left w:val="none" w:sz="0" w:space="0" w:color="auto"/>
                    <w:bottom w:val="none" w:sz="0" w:space="0" w:color="auto"/>
                    <w:right w:val="none" w:sz="0" w:space="0" w:color="auto"/>
                  </w:divBdr>
                  <w:divsChild>
                    <w:div w:id="597258360">
                      <w:marLeft w:val="0"/>
                      <w:marRight w:val="0"/>
                      <w:marTop w:val="0"/>
                      <w:marBottom w:val="0"/>
                      <w:divBdr>
                        <w:top w:val="none" w:sz="0" w:space="0" w:color="auto"/>
                        <w:left w:val="none" w:sz="0" w:space="0" w:color="auto"/>
                        <w:bottom w:val="none" w:sz="0" w:space="0" w:color="auto"/>
                        <w:right w:val="none" w:sz="0" w:space="0" w:color="auto"/>
                      </w:divBdr>
                    </w:div>
                    <w:div w:id="601644680">
                      <w:marLeft w:val="0"/>
                      <w:marRight w:val="0"/>
                      <w:marTop w:val="0"/>
                      <w:marBottom w:val="0"/>
                      <w:divBdr>
                        <w:top w:val="none" w:sz="0" w:space="0" w:color="auto"/>
                        <w:left w:val="none" w:sz="0" w:space="0" w:color="auto"/>
                        <w:bottom w:val="none" w:sz="0" w:space="0" w:color="auto"/>
                        <w:right w:val="none" w:sz="0" w:space="0" w:color="auto"/>
                      </w:divBdr>
                    </w:div>
                    <w:div w:id="881017952">
                      <w:marLeft w:val="0"/>
                      <w:marRight w:val="0"/>
                      <w:marTop w:val="0"/>
                      <w:marBottom w:val="0"/>
                      <w:divBdr>
                        <w:top w:val="none" w:sz="0" w:space="0" w:color="auto"/>
                        <w:left w:val="none" w:sz="0" w:space="0" w:color="auto"/>
                        <w:bottom w:val="none" w:sz="0" w:space="0" w:color="auto"/>
                        <w:right w:val="none" w:sz="0" w:space="0" w:color="auto"/>
                      </w:divBdr>
                    </w:div>
                    <w:div w:id="904796428">
                      <w:marLeft w:val="0"/>
                      <w:marRight w:val="0"/>
                      <w:marTop w:val="0"/>
                      <w:marBottom w:val="0"/>
                      <w:divBdr>
                        <w:top w:val="none" w:sz="0" w:space="0" w:color="auto"/>
                        <w:left w:val="none" w:sz="0" w:space="0" w:color="auto"/>
                        <w:bottom w:val="none" w:sz="0" w:space="0" w:color="auto"/>
                        <w:right w:val="none" w:sz="0" w:space="0" w:color="auto"/>
                      </w:divBdr>
                    </w:div>
                    <w:div w:id="946230700">
                      <w:marLeft w:val="0"/>
                      <w:marRight w:val="0"/>
                      <w:marTop w:val="0"/>
                      <w:marBottom w:val="0"/>
                      <w:divBdr>
                        <w:top w:val="none" w:sz="0" w:space="0" w:color="auto"/>
                        <w:left w:val="none" w:sz="0" w:space="0" w:color="auto"/>
                        <w:bottom w:val="none" w:sz="0" w:space="0" w:color="auto"/>
                        <w:right w:val="none" w:sz="0" w:space="0" w:color="auto"/>
                      </w:divBdr>
                    </w:div>
                    <w:div w:id="1297836207">
                      <w:marLeft w:val="0"/>
                      <w:marRight w:val="0"/>
                      <w:marTop w:val="0"/>
                      <w:marBottom w:val="0"/>
                      <w:divBdr>
                        <w:top w:val="none" w:sz="0" w:space="0" w:color="auto"/>
                        <w:left w:val="none" w:sz="0" w:space="0" w:color="auto"/>
                        <w:bottom w:val="none" w:sz="0" w:space="0" w:color="auto"/>
                        <w:right w:val="none" w:sz="0" w:space="0" w:color="auto"/>
                      </w:divBdr>
                    </w:div>
                    <w:div w:id="2039891133">
                      <w:marLeft w:val="0"/>
                      <w:marRight w:val="0"/>
                      <w:marTop w:val="0"/>
                      <w:marBottom w:val="0"/>
                      <w:divBdr>
                        <w:top w:val="none" w:sz="0" w:space="0" w:color="auto"/>
                        <w:left w:val="none" w:sz="0" w:space="0" w:color="auto"/>
                        <w:bottom w:val="none" w:sz="0" w:space="0" w:color="auto"/>
                        <w:right w:val="none" w:sz="0" w:space="0" w:color="auto"/>
                      </w:divBdr>
                    </w:div>
                  </w:divsChild>
                </w:div>
                <w:div w:id="1181626527">
                  <w:marLeft w:val="0"/>
                  <w:marRight w:val="0"/>
                  <w:marTop w:val="0"/>
                  <w:marBottom w:val="0"/>
                  <w:divBdr>
                    <w:top w:val="none" w:sz="0" w:space="0" w:color="auto"/>
                    <w:left w:val="none" w:sz="0" w:space="0" w:color="auto"/>
                    <w:bottom w:val="none" w:sz="0" w:space="0" w:color="auto"/>
                    <w:right w:val="none" w:sz="0" w:space="0" w:color="auto"/>
                  </w:divBdr>
                  <w:divsChild>
                    <w:div w:id="956983982">
                      <w:marLeft w:val="0"/>
                      <w:marRight w:val="0"/>
                      <w:marTop w:val="0"/>
                      <w:marBottom w:val="0"/>
                      <w:divBdr>
                        <w:top w:val="none" w:sz="0" w:space="0" w:color="auto"/>
                        <w:left w:val="none" w:sz="0" w:space="0" w:color="auto"/>
                        <w:bottom w:val="none" w:sz="0" w:space="0" w:color="auto"/>
                        <w:right w:val="none" w:sz="0" w:space="0" w:color="auto"/>
                      </w:divBdr>
                    </w:div>
                    <w:div w:id="1761413372">
                      <w:marLeft w:val="0"/>
                      <w:marRight w:val="0"/>
                      <w:marTop w:val="0"/>
                      <w:marBottom w:val="0"/>
                      <w:divBdr>
                        <w:top w:val="none" w:sz="0" w:space="0" w:color="auto"/>
                        <w:left w:val="none" w:sz="0" w:space="0" w:color="auto"/>
                        <w:bottom w:val="none" w:sz="0" w:space="0" w:color="auto"/>
                        <w:right w:val="none" w:sz="0" w:space="0" w:color="auto"/>
                      </w:divBdr>
                    </w:div>
                    <w:div w:id="1980720888">
                      <w:marLeft w:val="0"/>
                      <w:marRight w:val="0"/>
                      <w:marTop w:val="0"/>
                      <w:marBottom w:val="0"/>
                      <w:divBdr>
                        <w:top w:val="none" w:sz="0" w:space="0" w:color="auto"/>
                        <w:left w:val="none" w:sz="0" w:space="0" w:color="auto"/>
                        <w:bottom w:val="none" w:sz="0" w:space="0" w:color="auto"/>
                        <w:right w:val="none" w:sz="0" w:space="0" w:color="auto"/>
                      </w:divBdr>
                    </w:div>
                  </w:divsChild>
                </w:div>
                <w:div w:id="1206064199">
                  <w:marLeft w:val="0"/>
                  <w:marRight w:val="0"/>
                  <w:marTop w:val="0"/>
                  <w:marBottom w:val="0"/>
                  <w:divBdr>
                    <w:top w:val="none" w:sz="0" w:space="0" w:color="auto"/>
                    <w:left w:val="none" w:sz="0" w:space="0" w:color="auto"/>
                    <w:bottom w:val="none" w:sz="0" w:space="0" w:color="auto"/>
                    <w:right w:val="none" w:sz="0" w:space="0" w:color="auto"/>
                  </w:divBdr>
                  <w:divsChild>
                    <w:div w:id="631442919">
                      <w:marLeft w:val="0"/>
                      <w:marRight w:val="0"/>
                      <w:marTop w:val="0"/>
                      <w:marBottom w:val="0"/>
                      <w:divBdr>
                        <w:top w:val="none" w:sz="0" w:space="0" w:color="auto"/>
                        <w:left w:val="none" w:sz="0" w:space="0" w:color="auto"/>
                        <w:bottom w:val="none" w:sz="0" w:space="0" w:color="auto"/>
                        <w:right w:val="none" w:sz="0" w:space="0" w:color="auto"/>
                      </w:divBdr>
                    </w:div>
                    <w:div w:id="1363632527">
                      <w:marLeft w:val="0"/>
                      <w:marRight w:val="0"/>
                      <w:marTop w:val="0"/>
                      <w:marBottom w:val="0"/>
                      <w:divBdr>
                        <w:top w:val="none" w:sz="0" w:space="0" w:color="auto"/>
                        <w:left w:val="none" w:sz="0" w:space="0" w:color="auto"/>
                        <w:bottom w:val="none" w:sz="0" w:space="0" w:color="auto"/>
                        <w:right w:val="none" w:sz="0" w:space="0" w:color="auto"/>
                      </w:divBdr>
                    </w:div>
                    <w:div w:id="1448504050">
                      <w:marLeft w:val="0"/>
                      <w:marRight w:val="0"/>
                      <w:marTop w:val="0"/>
                      <w:marBottom w:val="0"/>
                      <w:divBdr>
                        <w:top w:val="none" w:sz="0" w:space="0" w:color="auto"/>
                        <w:left w:val="none" w:sz="0" w:space="0" w:color="auto"/>
                        <w:bottom w:val="none" w:sz="0" w:space="0" w:color="auto"/>
                        <w:right w:val="none" w:sz="0" w:space="0" w:color="auto"/>
                      </w:divBdr>
                    </w:div>
                    <w:div w:id="1965576189">
                      <w:marLeft w:val="0"/>
                      <w:marRight w:val="0"/>
                      <w:marTop w:val="0"/>
                      <w:marBottom w:val="0"/>
                      <w:divBdr>
                        <w:top w:val="none" w:sz="0" w:space="0" w:color="auto"/>
                        <w:left w:val="none" w:sz="0" w:space="0" w:color="auto"/>
                        <w:bottom w:val="none" w:sz="0" w:space="0" w:color="auto"/>
                        <w:right w:val="none" w:sz="0" w:space="0" w:color="auto"/>
                      </w:divBdr>
                    </w:div>
                  </w:divsChild>
                </w:div>
                <w:div w:id="1254699899">
                  <w:marLeft w:val="0"/>
                  <w:marRight w:val="0"/>
                  <w:marTop w:val="0"/>
                  <w:marBottom w:val="0"/>
                  <w:divBdr>
                    <w:top w:val="none" w:sz="0" w:space="0" w:color="auto"/>
                    <w:left w:val="none" w:sz="0" w:space="0" w:color="auto"/>
                    <w:bottom w:val="none" w:sz="0" w:space="0" w:color="auto"/>
                    <w:right w:val="none" w:sz="0" w:space="0" w:color="auto"/>
                  </w:divBdr>
                  <w:divsChild>
                    <w:div w:id="478621504">
                      <w:marLeft w:val="0"/>
                      <w:marRight w:val="0"/>
                      <w:marTop w:val="0"/>
                      <w:marBottom w:val="0"/>
                      <w:divBdr>
                        <w:top w:val="none" w:sz="0" w:space="0" w:color="auto"/>
                        <w:left w:val="none" w:sz="0" w:space="0" w:color="auto"/>
                        <w:bottom w:val="none" w:sz="0" w:space="0" w:color="auto"/>
                        <w:right w:val="none" w:sz="0" w:space="0" w:color="auto"/>
                      </w:divBdr>
                    </w:div>
                  </w:divsChild>
                </w:div>
                <w:div w:id="1289125459">
                  <w:marLeft w:val="0"/>
                  <w:marRight w:val="0"/>
                  <w:marTop w:val="0"/>
                  <w:marBottom w:val="0"/>
                  <w:divBdr>
                    <w:top w:val="none" w:sz="0" w:space="0" w:color="auto"/>
                    <w:left w:val="none" w:sz="0" w:space="0" w:color="auto"/>
                    <w:bottom w:val="none" w:sz="0" w:space="0" w:color="auto"/>
                    <w:right w:val="none" w:sz="0" w:space="0" w:color="auto"/>
                  </w:divBdr>
                  <w:divsChild>
                    <w:div w:id="1354530550">
                      <w:marLeft w:val="0"/>
                      <w:marRight w:val="0"/>
                      <w:marTop w:val="0"/>
                      <w:marBottom w:val="0"/>
                      <w:divBdr>
                        <w:top w:val="none" w:sz="0" w:space="0" w:color="auto"/>
                        <w:left w:val="none" w:sz="0" w:space="0" w:color="auto"/>
                        <w:bottom w:val="none" w:sz="0" w:space="0" w:color="auto"/>
                        <w:right w:val="none" w:sz="0" w:space="0" w:color="auto"/>
                      </w:divBdr>
                    </w:div>
                    <w:div w:id="1425766737">
                      <w:marLeft w:val="0"/>
                      <w:marRight w:val="0"/>
                      <w:marTop w:val="0"/>
                      <w:marBottom w:val="0"/>
                      <w:divBdr>
                        <w:top w:val="none" w:sz="0" w:space="0" w:color="auto"/>
                        <w:left w:val="none" w:sz="0" w:space="0" w:color="auto"/>
                        <w:bottom w:val="none" w:sz="0" w:space="0" w:color="auto"/>
                        <w:right w:val="none" w:sz="0" w:space="0" w:color="auto"/>
                      </w:divBdr>
                    </w:div>
                    <w:div w:id="1895699506">
                      <w:marLeft w:val="0"/>
                      <w:marRight w:val="0"/>
                      <w:marTop w:val="0"/>
                      <w:marBottom w:val="0"/>
                      <w:divBdr>
                        <w:top w:val="none" w:sz="0" w:space="0" w:color="auto"/>
                        <w:left w:val="none" w:sz="0" w:space="0" w:color="auto"/>
                        <w:bottom w:val="none" w:sz="0" w:space="0" w:color="auto"/>
                        <w:right w:val="none" w:sz="0" w:space="0" w:color="auto"/>
                      </w:divBdr>
                    </w:div>
                  </w:divsChild>
                </w:div>
                <w:div w:id="1490097129">
                  <w:marLeft w:val="0"/>
                  <w:marRight w:val="0"/>
                  <w:marTop w:val="0"/>
                  <w:marBottom w:val="0"/>
                  <w:divBdr>
                    <w:top w:val="none" w:sz="0" w:space="0" w:color="auto"/>
                    <w:left w:val="none" w:sz="0" w:space="0" w:color="auto"/>
                    <w:bottom w:val="none" w:sz="0" w:space="0" w:color="auto"/>
                    <w:right w:val="none" w:sz="0" w:space="0" w:color="auto"/>
                  </w:divBdr>
                  <w:divsChild>
                    <w:div w:id="2098095617">
                      <w:marLeft w:val="0"/>
                      <w:marRight w:val="0"/>
                      <w:marTop w:val="0"/>
                      <w:marBottom w:val="0"/>
                      <w:divBdr>
                        <w:top w:val="none" w:sz="0" w:space="0" w:color="auto"/>
                        <w:left w:val="none" w:sz="0" w:space="0" w:color="auto"/>
                        <w:bottom w:val="none" w:sz="0" w:space="0" w:color="auto"/>
                        <w:right w:val="none" w:sz="0" w:space="0" w:color="auto"/>
                      </w:divBdr>
                    </w:div>
                  </w:divsChild>
                </w:div>
                <w:div w:id="1582565545">
                  <w:marLeft w:val="0"/>
                  <w:marRight w:val="0"/>
                  <w:marTop w:val="0"/>
                  <w:marBottom w:val="0"/>
                  <w:divBdr>
                    <w:top w:val="none" w:sz="0" w:space="0" w:color="auto"/>
                    <w:left w:val="none" w:sz="0" w:space="0" w:color="auto"/>
                    <w:bottom w:val="none" w:sz="0" w:space="0" w:color="auto"/>
                    <w:right w:val="none" w:sz="0" w:space="0" w:color="auto"/>
                  </w:divBdr>
                  <w:divsChild>
                    <w:div w:id="799613737">
                      <w:marLeft w:val="0"/>
                      <w:marRight w:val="0"/>
                      <w:marTop w:val="0"/>
                      <w:marBottom w:val="0"/>
                      <w:divBdr>
                        <w:top w:val="none" w:sz="0" w:space="0" w:color="auto"/>
                        <w:left w:val="none" w:sz="0" w:space="0" w:color="auto"/>
                        <w:bottom w:val="none" w:sz="0" w:space="0" w:color="auto"/>
                        <w:right w:val="none" w:sz="0" w:space="0" w:color="auto"/>
                      </w:divBdr>
                    </w:div>
                  </w:divsChild>
                </w:div>
                <w:div w:id="1609965053">
                  <w:marLeft w:val="0"/>
                  <w:marRight w:val="0"/>
                  <w:marTop w:val="0"/>
                  <w:marBottom w:val="0"/>
                  <w:divBdr>
                    <w:top w:val="none" w:sz="0" w:space="0" w:color="auto"/>
                    <w:left w:val="none" w:sz="0" w:space="0" w:color="auto"/>
                    <w:bottom w:val="none" w:sz="0" w:space="0" w:color="auto"/>
                    <w:right w:val="none" w:sz="0" w:space="0" w:color="auto"/>
                  </w:divBdr>
                  <w:divsChild>
                    <w:div w:id="33240877">
                      <w:marLeft w:val="0"/>
                      <w:marRight w:val="0"/>
                      <w:marTop w:val="0"/>
                      <w:marBottom w:val="0"/>
                      <w:divBdr>
                        <w:top w:val="none" w:sz="0" w:space="0" w:color="auto"/>
                        <w:left w:val="none" w:sz="0" w:space="0" w:color="auto"/>
                        <w:bottom w:val="none" w:sz="0" w:space="0" w:color="auto"/>
                        <w:right w:val="none" w:sz="0" w:space="0" w:color="auto"/>
                      </w:divBdr>
                    </w:div>
                    <w:div w:id="441730776">
                      <w:marLeft w:val="0"/>
                      <w:marRight w:val="0"/>
                      <w:marTop w:val="0"/>
                      <w:marBottom w:val="0"/>
                      <w:divBdr>
                        <w:top w:val="none" w:sz="0" w:space="0" w:color="auto"/>
                        <w:left w:val="none" w:sz="0" w:space="0" w:color="auto"/>
                        <w:bottom w:val="none" w:sz="0" w:space="0" w:color="auto"/>
                        <w:right w:val="none" w:sz="0" w:space="0" w:color="auto"/>
                      </w:divBdr>
                    </w:div>
                    <w:div w:id="751194755">
                      <w:marLeft w:val="0"/>
                      <w:marRight w:val="0"/>
                      <w:marTop w:val="0"/>
                      <w:marBottom w:val="0"/>
                      <w:divBdr>
                        <w:top w:val="none" w:sz="0" w:space="0" w:color="auto"/>
                        <w:left w:val="none" w:sz="0" w:space="0" w:color="auto"/>
                        <w:bottom w:val="none" w:sz="0" w:space="0" w:color="auto"/>
                        <w:right w:val="none" w:sz="0" w:space="0" w:color="auto"/>
                      </w:divBdr>
                    </w:div>
                    <w:div w:id="1114136252">
                      <w:marLeft w:val="0"/>
                      <w:marRight w:val="0"/>
                      <w:marTop w:val="0"/>
                      <w:marBottom w:val="0"/>
                      <w:divBdr>
                        <w:top w:val="none" w:sz="0" w:space="0" w:color="auto"/>
                        <w:left w:val="none" w:sz="0" w:space="0" w:color="auto"/>
                        <w:bottom w:val="none" w:sz="0" w:space="0" w:color="auto"/>
                        <w:right w:val="none" w:sz="0" w:space="0" w:color="auto"/>
                      </w:divBdr>
                    </w:div>
                    <w:div w:id="1301687013">
                      <w:marLeft w:val="0"/>
                      <w:marRight w:val="0"/>
                      <w:marTop w:val="0"/>
                      <w:marBottom w:val="0"/>
                      <w:divBdr>
                        <w:top w:val="none" w:sz="0" w:space="0" w:color="auto"/>
                        <w:left w:val="none" w:sz="0" w:space="0" w:color="auto"/>
                        <w:bottom w:val="none" w:sz="0" w:space="0" w:color="auto"/>
                        <w:right w:val="none" w:sz="0" w:space="0" w:color="auto"/>
                      </w:divBdr>
                    </w:div>
                    <w:div w:id="1984037594">
                      <w:marLeft w:val="0"/>
                      <w:marRight w:val="0"/>
                      <w:marTop w:val="0"/>
                      <w:marBottom w:val="0"/>
                      <w:divBdr>
                        <w:top w:val="none" w:sz="0" w:space="0" w:color="auto"/>
                        <w:left w:val="none" w:sz="0" w:space="0" w:color="auto"/>
                        <w:bottom w:val="none" w:sz="0" w:space="0" w:color="auto"/>
                        <w:right w:val="none" w:sz="0" w:space="0" w:color="auto"/>
                      </w:divBdr>
                    </w:div>
                    <w:div w:id="2058773764">
                      <w:marLeft w:val="0"/>
                      <w:marRight w:val="0"/>
                      <w:marTop w:val="0"/>
                      <w:marBottom w:val="0"/>
                      <w:divBdr>
                        <w:top w:val="none" w:sz="0" w:space="0" w:color="auto"/>
                        <w:left w:val="none" w:sz="0" w:space="0" w:color="auto"/>
                        <w:bottom w:val="none" w:sz="0" w:space="0" w:color="auto"/>
                        <w:right w:val="none" w:sz="0" w:space="0" w:color="auto"/>
                      </w:divBdr>
                    </w:div>
                  </w:divsChild>
                </w:div>
                <w:div w:id="1621841321">
                  <w:marLeft w:val="0"/>
                  <w:marRight w:val="0"/>
                  <w:marTop w:val="0"/>
                  <w:marBottom w:val="0"/>
                  <w:divBdr>
                    <w:top w:val="none" w:sz="0" w:space="0" w:color="auto"/>
                    <w:left w:val="none" w:sz="0" w:space="0" w:color="auto"/>
                    <w:bottom w:val="none" w:sz="0" w:space="0" w:color="auto"/>
                    <w:right w:val="none" w:sz="0" w:space="0" w:color="auto"/>
                  </w:divBdr>
                  <w:divsChild>
                    <w:div w:id="47269772">
                      <w:marLeft w:val="0"/>
                      <w:marRight w:val="0"/>
                      <w:marTop w:val="0"/>
                      <w:marBottom w:val="0"/>
                      <w:divBdr>
                        <w:top w:val="none" w:sz="0" w:space="0" w:color="auto"/>
                        <w:left w:val="none" w:sz="0" w:space="0" w:color="auto"/>
                        <w:bottom w:val="none" w:sz="0" w:space="0" w:color="auto"/>
                        <w:right w:val="none" w:sz="0" w:space="0" w:color="auto"/>
                      </w:divBdr>
                    </w:div>
                  </w:divsChild>
                </w:div>
                <w:div w:id="1716079902">
                  <w:marLeft w:val="0"/>
                  <w:marRight w:val="0"/>
                  <w:marTop w:val="0"/>
                  <w:marBottom w:val="0"/>
                  <w:divBdr>
                    <w:top w:val="none" w:sz="0" w:space="0" w:color="auto"/>
                    <w:left w:val="none" w:sz="0" w:space="0" w:color="auto"/>
                    <w:bottom w:val="none" w:sz="0" w:space="0" w:color="auto"/>
                    <w:right w:val="none" w:sz="0" w:space="0" w:color="auto"/>
                  </w:divBdr>
                  <w:divsChild>
                    <w:div w:id="180778737">
                      <w:marLeft w:val="0"/>
                      <w:marRight w:val="0"/>
                      <w:marTop w:val="0"/>
                      <w:marBottom w:val="0"/>
                      <w:divBdr>
                        <w:top w:val="none" w:sz="0" w:space="0" w:color="auto"/>
                        <w:left w:val="none" w:sz="0" w:space="0" w:color="auto"/>
                        <w:bottom w:val="none" w:sz="0" w:space="0" w:color="auto"/>
                        <w:right w:val="none" w:sz="0" w:space="0" w:color="auto"/>
                      </w:divBdr>
                    </w:div>
                    <w:div w:id="971599158">
                      <w:marLeft w:val="0"/>
                      <w:marRight w:val="0"/>
                      <w:marTop w:val="0"/>
                      <w:marBottom w:val="0"/>
                      <w:divBdr>
                        <w:top w:val="none" w:sz="0" w:space="0" w:color="auto"/>
                        <w:left w:val="none" w:sz="0" w:space="0" w:color="auto"/>
                        <w:bottom w:val="none" w:sz="0" w:space="0" w:color="auto"/>
                        <w:right w:val="none" w:sz="0" w:space="0" w:color="auto"/>
                      </w:divBdr>
                    </w:div>
                  </w:divsChild>
                </w:div>
                <w:div w:id="1956473170">
                  <w:marLeft w:val="0"/>
                  <w:marRight w:val="0"/>
                  <w:marTop w:val="0"/>
                  <w:marBottom w:val="0"/>
                  <w:divBdr>
                    <w:top w:val="none" w:sz="0" w:space="0" w:color="auto"/>
                    <w:left w:val="none" w:sz="0" w:space="0" w:color="auto"/>
                    <w:bottom w:val="none" w:sz="0" w:space="0" w:color="auto"/>
                    <w:right w:val="none" w:sz="0" w:space="0" w:color="auto"/>
                  </w:divBdr>
                  <w:divsChild>
                    <w:div w:id="951321753">
                      <w:marLeft w:val="0"/>
                      <w:marRight w:val="0"/>
                      <w:marTop w:val="0"/>
                      <w:marBottom w:val="0"/>
                      <w:divBdr>
                        <w:top w:val="none" w:sz="0" w:space="0" w:color="auto"/>
                        <w:left w:val="none" w:sz="0" w:space="0" w:color="auto"/>
                        <w:bottom w:val="none" w:sz="0" w:space="0" w:color="auto"/>
                        <w:right w:val="none" w:sz="0" w:space="0" w:color="auto"/>
                      </w:divBdr>
                    </w:div>
                  </w:divsChild>
                </w:div>
                <w:div w:id="2068336423">
                  <w:marLeft w:val="0"/>
                  <w:marRight w:val="0"/>
                  <w:marTop w:val="0"/>
                  <w:marBottom w:val="0"/>
                  <w:divBdr>
                    <w:top w:val="none" w:sz="0" w:space="0" w:color="auto"/>
                    <w:left w:val="none" w:sz="0" w:space="0" w:color="auto"/>
                    <w:bottom w:val="none" w:sz="0" w:space="0" w:color="auto"/>
                    <w:right w:val="none" w:sz="0" w:space="0" w:color="auto"/>
                  </w:divBdr>
                  <w:divsChild>
                    <w:div w:id="2005426303">
                      <w:marLeft w:val="0"/>
                      <w:marRight w:val="0"/>
                      <w:marTop w:val="0"/>
                      <w:marBottom w:val="0"/>
                      <w:divBdr>
                        <w:top w:val="none" w:sz="0" w:space="0" w:color="auto"/>
                        <w:left w:val="none" w:sz="0" w:space="0" w:color="auto"/>
                        <w:bottom w:val="none" w:sz="0" w:space="0" w:color="auto"/>
                        <w:right w:val="none" w:sz="0" w:space="0" w:color="auto"/>
                      </w:divBdr>
                    </w:div>
                  </w:divsChild>
                </w:div>
                <w:div w:id="2078895692">
                  <w:marLeft w:val="0"/>
                  <w:marRight w:val="0"/>
                  <w:marTop w:val="0"/>
                  <w:marBottom w:val="0"/>
                  <w:divBdr>
                    <w:top w:val="none" w:sz="0" w:space="0" w:color="auto"/>
                    <w:left w:val="none" w:sz="0" w:space="0" w:color="auto"/>
                    <w:bottom w:val="none" w:sz="0" w:space="0" w:color="auto"/>
                    <w:right w:val="none" w:sz="0" w:space="0" w:color="auto"/>
                  </w:divBdr>
                  <w:divsChild>
                    <w:div w:id="1049108328">
                      <w:marLeft w:val="0"/>
                      <w:marRight w:val="0"/>
                      <w:marTop w:val="0"/>
                      <w:marBottom w:val="0"/>
                      <w:divBdr>
                        <w:top w:val="none" w:sz="0" w:space="0" w:color="auto"/>
                        <w:left w:val="none" w:sz="0" w:space="0" w:color="auto"/>
                        <w:bottom w:val="none" w:sz="0" w:space="0" w:color="auto"/>
                        <w:right w:val="none" w:sz="0" w:space="0" w:color="auto"/>
                      </w:divBdr>
                    </w:div>
                    <w:div w:id="1527407436">
                      <w:marLeft w:val="0"/>
                      <w:marRight w:val="0"/>
                      <w:marTop w:val="0"/>
                      <w:marBottom w:val="0"/>
                      <w:divBdr>
                        <w:top w:val="none" w:sz="0" w:space="0" w:color="auto"/>
                        <w:left w:val="none" w:sz="0" w:space="0" w:color="auto"/>
                        <w:bottom w:val="none" w:sz="0" w:space="0" w:color="auto"/>
                        <w:right w:val="none" w:sz="0" w:space="0" w:color="auto"/>
                      </w:divBdr>
                    </w:div>
                  </w:divsChild>
                </w:div>
                <w:div w:id="2114864202">
                  <w:marLeft w:val="0"/>
                  <w:marRight w:val="0"/>
                  <w:marTop w:val="0"/>
                  <w:marBottom w:val="0"/>
                  <w:divBdr>
                    <w:top w:val="none" w:sz="0" w:space="0" w:color="auto"/>
                    <w:left w:val="none" w:sz="0" w:space="0" w:color="auto"/>
                    <w:bottom w:val="none" w:sz="0" w:space="0" w:color="auto"/>
                    <w:right w:val="none" w:sz="0" w:space="0" w:color="auto"/>
                  </w:divBdr>
                  <w:divsChild>
                    <w:div w:id="133252811">
                      <w:marLeft w:val="0"/>
                      <w:marRight w:val="0"/>
                      <w:marTop w:val="0"/>
                      <w:marBottom w:val="0"/>
                      <w:divBdr>
                        <w:top w:val="none" w:sz="0" w:space="0" w:color="auto"/>
                        <w:left w:val="none" w:sz="0" w:space="0" w:color="auto"/>
                        <w:bottom w:val="none" w:sz="0" w:space="0" w:color="auto"/>
                        <w:right w:val="none" w:sz="0" w:space="0" w:color="auto"/>
                      </w:divBdr>
                    </w:div>
                    <w:div w:id="1350908597">
                      <w:marLeft w:val="0"/>
                      <w:marRight w:val="0"/>
                      <w:marTop w:val="0"/>
                      <w:marBottom w:val="0"/>
                      <w:divBdr>
                        <w:top w:val="none" w:sz="0" w:space="0" w:color="auto"/>
                        <w:left w:val="none" w:sz="0" w:space="0" w:color="auto"/>
                        <w:bottom w:val="none" w:sz="0" w:space="0" w:color="auto"/>
                        <w:right w:val="none" w:sz="0" w:space="0" w:color="auto"/>
                      </w:divBdr>
                    </w:div>
                    <w:div w:id="1468547841">
                      <w:marLeft w:val="0"/>
                      <w:marRight w:val="0"/>
                      <w:marTop w:val="0"/>
                      <w:marBottom w:val="0"/>
                      <w:divBdr>
                        <w:top w:val="none" w:sz="0" w:space="0" w:color="auto"/>
                        <w:left w:val="none" w:sz="0" w:space="0" w:color="auto"/>
                        <w:bottom w:val="none" w:sz="0" w:space="0" w:color="auto"/>
                        <w:right w:val="none" w:sz="0" w:space="0" w:color="auto"/>
                      </w:divBdr>
                    </w:div>
                  </w:divsChild>
                </w:div>
                <w:div w:id="2143957123">
                  <w:marLeft w:val="0"/>
                  <w:marRight w:val="0"/>
                  <w:marTop w:val="0"/>
                  <w:marBottom w:val="0"/>
                  <w:divBdr>
                    <w:top w:val="none" w:sz="0" w:space="0" w:color="auto"/>
                    <w:left w:val="none" w:sz="0" w:space="0" w:color="auto"/>
                    <w:bottom w:val="none" w:sz="0" w:space="0" w:color="auto"/>
                    <w:right w:val="none" w:sz="0" w:space="0" w:color="auto"/>
                  </w:divBdr>
                  <w:divsChild>
                    <w:div w:id="136538679">
                      <w:marLeft w:val="0"/>
                      <w:marRight w:val="0"/>
                      <w:marTop w:val="0"/>
                      <w:marBottom w:val="0"/>
                      <w:divBdr>
                        <w:top w:val="none" w:sz="0" w:space="0" w:color="auto"/>
                        <w:left w:val="none" w:sz="0" w:space="0" w:color="auto"/>
                        <w:bottom w:val="none" w:sz="0" w:space="0" w:color="auto"/>
                        <w:right w:val="none" w:sz="0" w:space="0" w:color="auto"/>
                      </w:divBdr>
                    </w:div>
                    <w:div w:id="408961712">
                      <w:marLeft w:val="0"/>
                      <w:marRight w:val="0"/>
                      <w:marTop w:val="0"/>
                      <w:marBottom w:val="0"/>
                      <w:divBdr>
                        <w:top w:val="none" w:sz="0" w:space="0" w:color="auto"/>
                        <w:left w:val="none" w:sz="0" w:space="0" w:color="auto"/>
                        <w:bottom w:val="none" w:sz="0" w:space="0" w:color="auto"/>
                        <w:right w:val="none" w:sz="0" w:space="0" w:color="auto"/>
                      </w:divBdr>
                    </w:div>
                    <w:div w:id="484203847">
                      <w:marLeft w:val="0"/>
                      <w:marRight w:val="0"/>
                      <w:marTop w:val="0"/>
                      <w:marBottom w:val="0"/>
                      <w:divBdr>
                        <w:top w:val="none" w:sz="0" w:space="0" w:color="auto"/>
                        <w:left w:val="none" w:sz="0" w:space="0" w:color="auto"/>
                        <w:bottom w:val="none" w:sz="0" w:space="0" w:color="auto"/>
                        <w:right w:val="none" w:sz="0" w:space="0" w:color="auto"/>
                      </w:divBdr>
                    </w:div>
                    <w:div w:id="567884653">
                      <w:marLeft w:val="0"/>
                      <w:marRight w:val="0"/>
                      <w:marTop w:val="0"/>
                      <w:marBottom w:val="0"/>
                      <w:divBdr>
                        <w:top w:val="none" w:sz="0" w:space="0" w:color="auto"/>
                        <w:left w:val="none" w:sz="0" w:space="0" w:color="auto"/>
                        <w:bottom w:val="none" w:sz="0" w:space="0" w:color="auto"/>
                        <w:right w:val="none" w:sz="0" w:space="0" w:color="auto"/>
                      </w:divBdr>
                    </w:div>
                    <w:div w:id="736823704">
                      <w:marLeft w:val="0"/>
                      <w:marRight w:val="0"/>
                      <w:marTop w:val="0"/>
                      <w:marBottom w:val="0"/>
                      <w:divBdr>
                        <w:top w:val="none" w:sz="0" w:space="0" w:color="auto"/>
                        <w:left w:val="none" w:sz="0" w:space="0" w:color="auto"/>
                        <w:bottom w:val="none" w:sz="0" w:space="0" w:color="auto"/>
                        <w:right w:val="none" w:sz="0" w:space="0" w:color="auto"/>
                      </w:divBdr>
                    </w:div>
                    <w:div w:id="1629047680">
                      <w:marLeft w:val="0"/>
                      <w:marRight w:val="0"/>
                      <w:marTop w:val="0"/>
                      <w:marBottom w:val="0"/>
                      <w:divBdr>
                        <w:top w:val="none" w:sz="0" w:space="0" w:color="auto"/>
                        <w:left w:val="none" w:sz="0" w:space="0" w:color="auto"/>
                        <w:bottom w:val="none" w:sz="0" w:space="0" w:color="auto"/>
                        <w:right w:val="none" w:sz="0" w:space="0" w:color="auto"/>
                      </w:divBdr>
                    </w:div>
                    <w:div w:id="18371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31140">
      <w:bodyDiv w:val="1"/>
      <w:marLeft w:val="0"/>
      <w:marRight w:val="0"/>
      <w:marTop w:val="0"/>
      <w:marBottom w:val="0"/>
      <w:divBdr>
        <w:top w:val="none" w:sz="0" w:space="0" w:color="auto"/>
        <w:left w:val="none" w:sz="0" w:space="0" w:color="auto"/>
        <w:bottom w:val="none" w:sz="0" w:space="0" w:color="auto"/>
        <w:right w:val="none" w:sz="0" w:space="0" w:color="auto"/>
      </w:divBdr>
    </w:div>
    <w:div w:id="1204053836">
      <w:bodyDiv w:val="1"/>
      <w:marLeft w:val="0"/>
      <w:marRight w:val="0"/>
      <w:marTop w:val="0"/>
      <w:marBottom w:val="0"/>
      <w:divBdr>
        <w:top w:val="none" w:sz="0" w:space="0" w:color="auto"/>
        <w:left w:val="none" w:sz="0" w:space="0" w:color="auto"/>
        <w:bottom w:val="none" w:sz="0" w:space="0" w:color="auto"/>
        <w:right w:val="none" w:sz="0" w:space="0" w:color="auto"/>
      </w:divBdr>
    </w:div>
    <w:div w:id="1241982382">
      <w:bodyDiv w:val="1"/>
      <w:marLeft w:val="0"/>
      <w:marRight w:val="0"/>
      <w:marTop w:val="0"/>
      <w:marBottom w:val="0"/>
      <w:divBdr>
        <w:top w:val="none" w:sz="0" w:space="0" w:color="auto"/>
        <w:left w:val="none" w:sz="0" w:space="0" w:color="auto"/>
        <w:bottom w:val="none" w:sz="0" w:space="0" w:color="auto"/>
        <w:right w:val="none" w:sz="0" w:space="0" w:color="auto"/>
      </w:divBdr>
    </w:div>
    <w:div w:id="1345282880">
      <w:bodyDiv w:val="1"/>
      <w:marLeft w:val="0"/>
      <w:marRight w:val="0"/>
      <w:marTop w:val="0"/>
      <w:marBottom w:val="0"/>
      <w:divBdr>
        <w:top w:val="none" w:sz="0" w:space="0" w:color="auto"/>
        <w:left w:val="none" w:sz="0" w:space="0" w:color="auto"/>
        <w:bottom w:val="none" w:sz="0" w:space="0" w:color="auto"/>
        <w:right w:val="none" w:sz="0" w:space="0" w:color="auto"/>
      </w:divBdr>
    </w:div>
    <w:div w:id="1442992900">
      <w:bodyDiv w:val="1"/>
      <w:marLeft w:val="0"/>
      <w:marRight w:val="0"/>
      <w:marTop w:val="0"/>
      <w:marBottom w:val="0"/>
      <w:divBdr>
        <w:top w:val="none" w:sz="0" w:space="0" w:color="auto"/>
        <w:left w:val="none" w:sz="0" w:space="0" w:color="auto"/>
        <w:bottom w:val="none" w:sz="0" w:space="0" w:color="auto"/>
        <w:right w:val="none" w:sz="0" w:space="0" w:color="auto"/>
      </w:divBdr>
      <w:divsChild>
        <w:div w:id="130447795">
          <w:marLeft w:val="0"/>
          <w:marRight w:val="0"/>
          <w:marTop w:val="0"/>
          <w:marBottom w:val="0"/>
          <w:divBdr>
            <w:top w:val="none" w:sz="0" w:space="0" w:color="auto"/>
            <w:left w:val="none" w:sz="0" w:space="0" w:color="auto"/>
            <w:bottom w:val="none" w:sz="0" w:space="0" w:color="auto"/>
            <w:right w:val="none" w:sz="0" w:space="0" w:color="auto"/>
          </w:divBdr>
        </w:div>
        <w:div w:id="363991778">
          <w:marLeft w:val="0"/>
          <w:marRight w:val="0"/>
          <w:marTop w:val="0"/>
          <w:marBottom w:val="0"/>
          <w:divBdr>
            <w:top w:val="none" w:sz="0" w:space="0" w:color="auto"/>
            <w:left w:val="none" w:sz="0" w:space="0" w:color="auto"/>
            <w:bottom w:val="none" w:sz="0" w:space="0" w:color="auto"/>
            <w:right w:val="none" w:sz="0" w:space="0" w:color="auto"/>
          </w:divBdr>
        </w:div>
        <w:div w:id="655761099">
          <w:marLeft w:val="0"/>
          <w:marRight w:val="0"/>
          <w:marTop w:val="0"/>
          <w:marBottom w:val="0"/>
          <w:divBdr>
            <w:top w:val="none" w:sz="0" w:space="0" w:color="auto"/>
            <w:left w:val="none" w:sz="0" w:space="0" w:color="auto"/>
            <w:bottom w:val="none" w:sz="0" w:space="0" w:color="auto"/>
            <w:right w:val="none" w:sz="0" w:space="0" w:color="auto"/>
          </w:divBdr>
        </w:div>
        <w:div w:id="908929752">
          <w:marLeft w:val="0"/>
          <w:marRight w:val="0"/>
          <w:marTop w:val="0"/>
          <w:marBottom w:val="0"/>
          <w:divBdr>
            <w:top w:val="none" w:sz="0" w:space="0" w:color="auto"/>
            <w:left w:val="none" w:sz="0" w:space="0" w:color="auto"/>
            <w:bottom w:val="none" w:sz="0" w:space="0" w:color="auto"/>
            <w:right w:val="none" w:sz="0" w:space="0" w:color="auto"/>
          </w:divBdr>
        </w:div>
        <w:div w:id="1002125260">
          <w:marLeft w:val="0"/>
          <w:marRight w:val="0"/>
          <w:marTop w:val="0"/>
          <w:marBottom w:val="0"/>
          <w:divBdr>
            <w:top w:val="none" w:sz="0" w:space="0" w:color="auto"/>
            <w:left w:val="none" w:sz="0" w:space="0" w:color="auto"/>
            <w:bottom w:val="none" w:sz="0" w:space="0" w:color="auto"/>
            <w:right w:val="none" w:sz="0" w:space="0" w:color="auto"/>
          </w:divBdr>
        </w:div>
        <w:div w:id="1027561597">
          <w:marLeft w:val="0"/>
          <w:marRight w:val="0"/>
          <w:marTop w:val="0"/>
          <w:marBottom w:val="0"/>
          <w:divBdr>
            <w:top w:val="none" w:sz="0" w:space="0" w:color="auto"/>
            <w:left w:val="none" w:sz="0" w:space="0" w:color="auto"/>
            <w:bottom w:val="none" w:sz="0" w:space="0" w:color="auto"/>
            <w:right w:val="none" w:sz="0" w:space="0" w:color="auto"/>
          </w:divBdr>
        </w:div>
        <w:div w:id="1537810033">
          <w:marLeft w:val="0"/>
          <w:marRight w:val="0"/>
          <w:marTop w:val="0"/>
          <w:marBottom w:val="0"/>
          <w:divBdr>
            <w:top w:val="none" w:sz="0" w:space="0" w:color="auto"/>
            <w:left w:val="none" w:sz="0" w:space="0" w:color="auto"/>
            <w:bottom w:val="none" w:sz="0" w:space="0" w:color="auto"/>
            <w:right w:val="none" w:sz="0" w:space="0" w:color="auto"/>
          </w:divBdr>
        </w:div>
        <w:div w:id="1637100288">
          <w:marLeft w:val="0"/>
          <w:marRight w:val="0"/>
          <w:marTop w:val="0"/>
          <w:marBottom w:val="0"/>
          <w:divBdr>
            <w:top w:val="none" w:sz="0" w:space="0" w:color="auto"/>
            <w:left w:val="none" w:sz="0" w:space="0" w:color="auto"/>
            <w:bottom w:val="none" w:sz="0" w:space="0" w:color="auto"/>
            <w:right w:val="none" w:sz="0" w:space="0" w:color="auto"/>
          </w:divBdr>
        </w:div>
        <w:div w:id="1886408904">
          <w:marLeft w:val="0"/>
          <w:marRight w:val="0"/>
          <w:marTop w:val="0"/>
          <w:marBottom w:val="0"/>
          <w:divBdr>
            <w:top w:val="none" w:sz="0" w:space="0" w:color="auto"/>
            <w:left w:val="none" w:sz="0" w:space="0" w:color="auto"/>
            <w:bottom w:val="none" w:sz="0" w:space="0" w:color="auto"/>
            <w:right w:val="none" w:sz="0" w:space="0" w:color="auto"/>
          </w:divBdr>
        </w:div>
      </w:divsChild>
    </w:div>
    <w:div w:id="1521579037">
      <w:bodyDiv w:val="1"/>
      <w:marLeft w:val="0"/>
      <w:marRight w:val="0"/>
      <w:marTop w:val="0"/>
      <w:marBottom w:val="0"/>
      <w:divBdr>
        <w:top w:val="none" w:sz="0" w:space="0" w:color="auto"/>
        <w:left w:val="none" w:sz="0" w:space="0" w:color="auto"/>
        <w:bottom w:val="none" w:sz="0" w:space="0" w:color="auto"/>
        <w:right w:val="none" w:sz="0" w:space="0" w:color="auto"/>
      </w:divBdr>
    </w:div>
    <w:div w:id="1561861586">
      <w:bodyDiv w:val="1"/>
      <w:marLeft w:val="0"/>
      <w:marRight w:val="0"/>
      <w:marTop w:val="0"/>
      <w:marBottom w:val="0"/>
      <w:divBdr>
        <w:top w:val="none" w:sz="0" w:space="0" w:color="auto"/>
        <w:left w:val="none" w:sz="0" w:space="0" w:color="auto"/>
        <w:bottom w:val="none" w:sz="0" w:space="0" w:color="auto"/>
        <w:right w:val="none" w:sz="0" w:space="0" w:color="auto"/>
      </w:divBdr>
    </w:div>
    <w:div w:id="1597976687">
      <w:bodyDiv w:val="1"/>
      <w:marLeft w:val="0"/>
      <w:marRight w:val="0"/>
      <w:marTop w:val="0"/>
      <w:marBottom w:val="0"/>
      <w:divBdr>
        <w:top w:val="none" w:sz="0" w:space="0" w:color="auto"/>
        <w:left w:val="none" w:sz="0" w:space="0" w:color="auto"/>
        <w:bottom w:val="none" w:sz="0" w:space="0" w:color="auto"/>
        <w:right w:val="none" w:sz="0" w:space="0" w:color="auto"/>
      </w:divBdr>
    </w:div>
    <w:div w:id="1641231858">
      <w:bodyDiv w:val="1"/>
      <w:marLeft w:val="0"/>
      <w:marRight w:val="0"/>
      <w:marTop w:val="0"/>
      <w:marBottom w:val="0"/>
      <w:divBdr>
        <w:top w:val="none" w:sz="0" w:space="0" w:color="auto"/>
        <w:left w:val="none" w:sz="0" w:space="0" w:color="auto"/>
        <w:bottom w:val="none" w:sz="0" w:space="0" w:color="auto"/>
        <w:right w:val="none" w:sz="0" w:space="0" w:color="auto"/>
      </w:divBdr>
    </w:div>
    <w:div w:id="1641618080">
      <w:bodyDiv w:val="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
        <w:div w:id="132409113">
          <w:marLeft w:val="0"/>
          <w:marRight w:val="0"/>
          <w:marTop w:val="0"/>
          <w:marBottom w:val="0"/>
          <w:divBdr>
            <w:top w:val="none" w:sz="0" w:space="0" w:color="auto"/>
            <w:left w:val="none" w:sz="0" w:space="0" w:color="auto"/>
            <w:bottom w:val="none" w:sz="0" w:space="0" w:color="auto"/>
            <w:right w:val="none" w:sz="0" w:space="0" w:color="auto"/>
          </w:divBdr>
        </w:div>
        <w:div w:id="277417479">
          <w:marLeft w:val="0"/>
          <w:marRight w:val="0"/>
          <w:marTop w:val="0"/>
          <w:marBottom w:val="0"/>
          <w:divBdr>
            <w:top w:val="none" w:sz="0" w:space="0" w:color="auto"/>
            <w:left w:val="none" w:sz="0" w:space="0" w:color="auto"/>
            <w:bottom w:val="none" w:sz="0" w:space="0" w:color="auto"/>
            <w:right w:val="none" w:sz="0" w:space="0" w:color="auto"/>
          </w:divBdr>
        </w:div>
        <w:div w:id="462892717">
          <w:marLeft w:val="0"/>
          <w:marRight w:val="0"/>
          <w:marTop w:val="0"/>
          <w:marBottom w:val="0"/>
          <w:divBdr>
            <w:top w:val="none" w:sz="0" w:space="0" w:color="auto"/>
            <w:left w:val="none" w:sz="0" w:space="0" w:color="auto"/>
            <w:bottom w:val="none" w:sz="0" w:space="0" w:color="auto"/>
            <w:right w:val="none" w:sz="0" w:space="0" w:color="auto"/>
          </w:divBdr>
        </w:div>
        <w:div w:id="656036977">
          <w:marLeft w:val="0"/>
          <w:marRight w:val="0"/>
          <w:marTop w:val="0"/>
          <w:marBottom w:val="0"/>
          <w:divBdr>
            <w:top w:val="none" w:sz="0" w:space="0" w:color="auto"/>
            <w:left w:val="none" w:sz="0" w:space="0" w:color="auto"/>
            <w:bottom w:val="none" w:sz="0" w:space="0" w:color="auto"/>
            <w:right w:val="none" w:sz="0" w:space="0" w:color="auto"/>
          </w:divBdr>
        </w:div>
        <w:div w:id="713965848">
          <w:marLeft w:val="0"/>
          <w:marRight w:val="0"/>
          <w:marTop w:val="0"/>
          <w:marBottom w:val="0"/>
          <w:divBdr>
            <w:top w:val="none" w:sz="0" w:space="0" w:color="auto"/>
            <w:left w:val="none" w:sz="0" w:space="0" w:color="auto"/>
            <w:bottom w:val="none" w:sz="0" w:space="0" w:color="auto"/>
            <w:right w:val="none" w:sz="0" w:space="0" w:color="auto"/>
          </w:divBdr>
        </w:div>
        <w:div w:id="844250282">
          <w:marLeft w:val="0"/>
          <w:marRight w:val="0"/>
          <w:marTop w:val="0"/>
          <w:marBottom w:val="0"/>
          <w:divBdr>
            <w:top w:val="none" w:sz="0" w:space="0" w:color="auto"/>
            <w:left w:val="none" w:sz="0" w:space="0" w:color="auto"/>
            <w:bottom w:val="none" w:sz="0" w:space="0" w:color="auto"/>
            <w:right w:val="none" w:sz="0" w:space="0" w:color="auto"/>
          </w:divBdr>
        </w:div>
        <w:div w:id="881601315">
          <w:marLeft w:val="0"/>
          <w:marRight w:val="0"/>
          <w:marTop w:val="0"/>
          <w:marBottom w:val="0"/>
          <w:divBdr>
            <w:top w:val="none" w:sz="0" w:space="0" w:color="auto"/>
            <w:left w:val="none" w:sz="0" w:space="0" w:color="auto"/>
            <w:bottom w:val="none" w:sz="0" w:space="0" w:color="auto"/>
            <w:right w:val="none" w:sz="0" w:space="0" w:color="auto"/>
          </w:divBdr>
        </w:div>
        <w:div w:id="935478380">
          <w:marLeft w:val="0"/>
          <w:marRight w:val="0"/>
          <w:marTop w:val="0"/>
          <w:marBottom w:val="0"/>
          <w:divBdr>
            <w:top w:val="none" w:sz="0" w:space="0" w:color="auto"/>
            <w:left w:val="none" w:sz="0" w:space="0" w:color="auto"/>
            <w:bottom w:val="none" w:sz="0" w:space="0" w:color="auto"/>
            <w:right w:val="none" w:sz="0" w:space="0" w:color="auto"/>
          </w:divBdr>
        </w:div>
        <w:div w:id="952370882">
          <w:marLeft w:val="0"/>
          <w:marRight w:val="0"/>
          <w:marTop w:val="0"/>
          <w:marBottom w:val="0"/>
          <w:divBdr>
            <w:top w:val="none" w:sz="0" w:space="0" w:color="auto"/>
            <w:left w:val="none" w:sz="0" w:space="0" w:color="auto"/>
            <w:bottom w:val="none" w:sz="0" w:space="0" w:color="auto"/>
            <w:right w:val="none" w:sz="0" w:space="0" w:color="auto"/>
          </w:divBdr>
        </w:div>
        <w:div w:id="1144657221">
          <w:marLeft w:val="0"/>
          <w:marRight w:val="0"/>
          <w:marTop w:val="0"/>
          <w:marBottom w:val="0"/>
          <w:divBdr>
            <w:top w:val="none" w:sz="0" w:space="0" w:color="auto"/>
            <w:left w:val="none" w:sz="0" w:space="0" w:color="auto"/>
            <w:bottom w:val="none" w:sz="0" w:space="0" w:color="auto"/>
            <w:right w:val="none" w:sz="0" w:space="0" w:color="auto"/>
          </w:divBdr>
        </w:div>
        <w:div w:id="1249459005">
          <w:marLeft w:val="0"/>
          <w:marRight w:val="0"/>
          <w:marTop w:val="0"/>
          <w:marBottom w:val="0"/>
          <w:divBdr>
            <w:top w:val="none" w:sz="0" w:space="0" w:color="auto"/>
            <w:left w:val="none" w:sz="0" w:space="0" w:color="auto"/>
            <w:bottom w:val="none" w:sz="0" w:space="0" w:color="auto"/>
            <w:right w:val="none" w:sz="0" w:space="0" w:color="auto"/>
          </w:divBdr>
        </w:div>
        <w:div w:id="1290939266">
          <w:marLeft w:val="0"/>
          <w:marRight w:val="0"/>
          <w:marTop w:val="0"/>
          <w:marBottom w:val="0"/>
          <w:divBdr>
            <w:top w:val="none" w:sz="0" w:space="0" w:color="auto"/>
            <w:left w:val="none" w:sz="0" w:space="0" w:color="auto"/>
            <w:bottom w:val="none" w:sz="0" w:space="0" w:color="auto"/>
            <w:right w:val="none" w:sz="0" w:space="0" w:color="auto"/>
          </w:divBdr>
        </w:div>
        <w:div w:id="1423843204">
          <w:marLeft w:val="0"/>
          <w:marRight w:val="0"/>
          <w:marTop w:val="0"/>
          <w:marBottom w:val="0"/>
          <w:divBdr>
            <w:top w:val="none" w:sz="0" w:space="0" w:color="auto"/>
            <w:left w:val="none" w:sz="0" w:space="0" w:color="auto"/>
            <w:bottom w:val="none" w:sz="0" w:space="0" w:color="auto"/>
            <w:right w:val="none" w:sz="0" w:space="0" w:color="auto"/>
          </w:divBdr>
        </w:div>
        <w:div w:id="1641038731">
          <w:marLeft w:val="0"/>
          <w:marRight w:val="0"/>
          <w:marTop w:val="0"/>
          <w:marBottom w:val="0"/>
          <w:divBdr>
            <w:top w:val="none" w:sz="0" w:space="0" w:color="auto"/>
            <w:left w:val="none" w:sz="0" w:space="0" w:color="auto"/>
            <w:bottom w:val="none" w:sz="0" w:space="0" w:color="auto"/>
            <w:right w:val="none" w:sz="0" w:space="0" w:color="auto"/>
          </w:divBdr>
        </w:div>
        <w:div w:id="1967849641">
          <w:marLeft w:val="0"/>
          <w:marRight w:val="0"/>
          <w:marTop w:val="0"/>
          <w:marBottom w:val="0"/>
          <w:divBdr>
            <w:top w:val="none" w:sz="0" w:space="0" w:color="auto"/>
            <w:left w:val="none" w:sz="0" w:space="0" w:color="auto"/>
            <w:bottom w:val="none" w:sz="0" w:space="0" w:color="auto"/>
            <w:right w:val="none" w:sz="0" w:space="0" w:color="auto"/>
          </w:divBdr>
        </w:div>
      </w:divsChild>
    </w:div>
    <w:div w:id="1666397148">
      <w:bodyDiv w:val="1"/>
      <w:marLeft w:val="0"/>
      <w:marRight w:val="0"/>
      <w:marTop w:val="0"/>
      <w:marBottom w:val="0"/>
      <w:divBdr>
        <w:top w:val="none" w:sz="0" w:space="0" w:color="auto"/>
        <w:left w:val="none" w:sz="0" w:space="0" w:color="auto"/>
        <w:bottom w:val="none" w:sz="0" w:space="0" w:color="auto"/>
        <w:right w:val="none" w:sz="0" w:space="0" w:color="auto"/>
      </w:divBdr>
    </w:div>
    <w:div w:id="1745298409">
      <w:bodyDiv w:val="1"/>
      <w:marLeft w:val="0"/>
      <w:marRight w:val="0"/>
      <w:marTop w:val="0"/>
      <w:marBottom w:val="0"/>
      <w:divBdr>
        <w:top w:val="none" w:sz="0" w:space="0" w:color="auto"/>
        <w:left w:val="none" w:sz="0" w:space="0" w:color="auto"/>
        <w:bottom w:val="none" w:sz="0" w:space="0" w:color="auto"/>
        <w:right w:val="none" w:sz="0" w:space="0" w:color="auto"/>
      </w:divBdr>
      <w:divsChild>
        <w:div w:id="1349408607">
          <w:marLeft w:val="0"/>
          <w:marRight w:val="0"/>
          <w:marTop w:val="0"/>
          <w:marBottom w:val="0"/>
          <w:divBdr>
            <w:top w:val="none" w:sz="0" w:space="0" w:color="auto"/>
            <w:left w:val="none" w:sz="0" w:space="0" w:color="auto"/>
            <w:bottom w:val="none" w:sz="0" w:space="0" w:color="auto"/>
            <w:right w:val="none" w:sz="0" w:space="0" w:color="auto"/>
          </w:divBdr>
          <w:divsChild>
            <w:div w:id="1298998153">
              <w:marLeft w:val="0"/>
              <w:marRight w:val="0"/>
              <w:marTop w:val="0"/>
              <w:marBottom w:val="0"/>
              <w:divBdr>
                <w:top w:val="none" w:sz="0" w:space="0" w:color="auto"/>
                <w:left w:val="none" w:sz="0" w:space="0" w:color="auto"/>
                <w:bottom w:val="none" w:sz="0" w:space="0" w:color="auto"/>
                <w:right w:val="none" w:sz="0" w:space="0" w:color="auto"/>
              </w:divBdr>
            </w:div>
          </w:divsChild>
        </w:div>
        <w:div w:id="1607612695">
          <w:marLeft w:val="0"/>
          <w:marRight w:val="0"/>
          <w:marTop w:val="0"/>
          <w:marBottom w:val="0"/>
          <w:divBdr>
            <w:top w:val="none" w:sz="0" w:space="0" w:color="auto"/>
            <w:left w:val="none" w:sz="0" w:space="0" w:color="auto"/>
            <w:bottom w:val="none" w:sz="0" w:space="0" w:color="auto"/>
            <w:right w:val="none" w:sz="0" w:space="0" w:color="auto"/>
          </w:divBdr>
          <w:divsChild>
            <w:div w:id="19895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475">
      <w:bodyDiv w:val="1"/>
      <w:marLeft w:val="0"/>
      <w:marRight w:val="0"/>
      <w:marTop w:val="0"/>
      <w:marBottom w:val="0"/>
      <w:divBdr>
        <w:top w:val="none" w:sz="0" w:space="0" w:color="auto"/>
        <w:left w:val="none" w:sz="0" w:space="0" w:color="auto"/>
        <w:bottom w:val="none" w:sz="0" w:space="0" w:color="auto"/>
        <w:right w:val="none" w:sz="0" w:space="0" w:color="auto"/>
      </w:divBdr>
      <w:divsChild>
        <w:div w:id="303852229">
          <w:marLeft w:val="0"/>
          <w:marRight w:val="0"/>
          <w:marTop w:val="0"/>
          <w:marBottom w:val="0"/>
          <w:divBdr>
            <w:top w:val="none" w:sz="0" w:space="0" w:color="auto"/>
            <w:left w:val="none" w:sz="0" w:space="0" w:color="auto"/>
            <w:bottom w:val="none" w:sz="0" w:space="0" w:color="auto"/>
            <w:right w:val="none" w:sz="0" w:space="0" w:color="auto"/>
          </w:divBdr>
          <w:divsChild>
            <w:div w:id="377553614">
              <w:marLeft w:val="0"/>
              <w:marRight w:val="0"/>
              <w:marTop w:val="0"/>
              <w:marBottom w:val="0"/>
              <w:divBdr>
                <w:top w:val="none" w:sz="0" w:space="0" w:color="auto"/>
                <w:left w:val="none" w:sz="0" w:space="0" w:color="auto"/>
                <w:bottom w:val="none" w:sz="0" w:space="0" w:color="auto"/>
                <w:right w:val="none" w:sz="0" w:space="0" w:color="auto"/>
              </w:divBdr>
            </w:div>
            <w:div w:id="1385594446">
              <w:marLeft w:val="0"/>
              <w:marRight w:val="0"/>
              <w:marTop w:val="0"/>
              <w:marBottom w:val="0"/>
              <w:divBdr>
                <w:top w:val="none" w:sz="0" w:space="0" w:color="auto"/>
                <w:left w:val="none" w:sz="0" w:space="0" w:color="auto"/>
                <w:bottom w:val="none" w:sz="0" w:space="0" w:color="auto"/>
                <w:right w:val="none" w:sz="0" w:space="0" w:color="auto"/>
              </w:divBdr>
            </w:div>
            <w:div w:id="1655985080">
              <w:marLeft w:val="0"/>
              <w:marRight w:val="0"/>
              <w:marTop w:val="0"/>
              <w:marBottom w:val="0"/>
              <w:divBdr>
                <w:top w:val="none" w:sz="0" w:space="0" w:color="auto"/>
                <w:left w:val="none" w:sz="0" w:space="0" w:color="auto"/>
                <w:bottom w:val="none" w:sz="0" w:space="0" w:color="auto"/>
                <w:right w:val="none" w:sz="0" w:space="0" w:color="auto"/>
              </w:divBdr>
            </w:div>
          </w:divsChild>
        </w:div>
        <w:div w:id="606499881">
          <w:marLeft w:val="0"/>
          <w:marRight w:val="0"/>
          <w:marTop w:val="0"/>
          <w:marBottom w:val="0"/>
          <w:divBdr>
            <w:top w:val="none" w:sz="0" w:space="0" w:color="auto"/>
            <w:left w:val="none" w:sz="0" w:space="0" w:color="auto"/>
            <w:bottom w:val="none" w:sz="0" w:space="0" w:color="auto"/>
            <w:right w:val="none" w:sz="0" w:space="0" w:color="auto"/>
          </w:divBdr>
        </w:div>
        <w:div w:id="1452478871">
          <w:marLeft w:val="0"/>
          <w:marRight w:val="0"/>
          <w:marTop w:val="0"/>
          <w:marBottom w:val="0"/>
          <w:divBdr>
            <w:top w:val="none" w:sz="0" w:space="0" w:color="auto"/>
            <w:left w:val="none" w:sz="0" w:space="0" w:color="auto"/>
            <w:bottom w:val="none" w:sz="0" w:space="0" w:color="auto"/>
            <w:right w:val="none" w:sz="0" w:space="0" w:color="auto"/>
          </w:divBdr>
          <w:divsChild>
            <w:div w:id="415253211">
              <w:marLeft w:val="0"/>
              <w:marRight w:val="0"/>
              <w:marTop w:val="0"/>
              <w:marBottom w:val="0"/>
              <w:divBdr>
                <w:top w:val="none" w:sz="0" w:space="0" w:color="auto"/>
                <w:left w:val="none" w:sz="0" w:space="0" w:color="auto"/>
                <w:bottom w:val="none" w:sz="0" w:space="0" w:color="auto"/>
                <w:right w:val="none" w:sz="0" w:space="0" w:color="auto"/>
              </w:divBdr>
            </w:div>
            <w:div w:id="1440682531">
              <w:marLeft w:val="0"/>
              <w:marRight w:val="0"/>
              <w:marTop w:val="0"/>
              <w:marBottom w:val="0"/>
              <w:divBdr>
                <w:top w:val="none" w:sz="0" w:space="0" w:color="auto"/>
                <w:left w:val="none" w:sz="0" w:space="0" w:color="auto"/>
                <w:bottom w:val="none" w:sz="0" w:space="0" w:color="auto"/>
                <w:right w:val="none" w:sz="0" w:space="0" w:color="auto"/>
              </w:divBdr>
            </w:div>
            <w:div w:id="1651906811">
              <w:marLeft w:val="0"/>
              <w:marRight w:val="0"/>
              <w:marTop w:val="0"/>
              <w:marBottom w:val="0"/>
              <w:divBdr>
                <w:top w:val="none" w:sz="0" w:space="0" w:color="auto"/>
                <w:left w:val="none" w:sz="0" w:space="0" w:color="auto"/>
                <w:bottom w:val="none" w:sz="0" w:space="0" w:color="auto"/>
                <w:right w:val="none" w:sz="0" w:space="0" w:color="auto"/>
              </w:divBdr>
            </w:div>
            <w:div w:id="16709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9566">
      <w:bodyDiv w:val="1"/>
      <w:marLeft w:val="0"/>
      <w:marRight w:val="0"/>
      <w:marTop w:val="0"/>
      <w:marBottom w:val="0"/>
      <w:divBdr>
        <w:top w:val="none" w:sz="0" w:space="0" w:color="auto"/>
        <w:left w:val="none" w:sz="0" w:space="0" w:color="auto"/>
        <w:bottom w:val="none" w:sz="0" w:space="0" w:color="auto"/>
        <w:right w:val="none" w:sz="0" w:space="0" w:color="auto"/>
      </w:divBdr>
    </w:div>
    <w:div w:id="1802066449">
      <w:bodyDiv w:val="1"/>
      <w:marLeft w:val="0"/>
      <w:marRight w:val="0"/>
      <w:marTop w:val="0"/>
      <w:marBottom w:val="0"/>
      <w:divBdr>
        <w:top w:val="none" w:sz="0" w:space="0" w:color="auto"/>
        <w:left w:val="none" w:sz="0" w:space="0" w:color="auto"/>
        <w:bottom w:val="none" w:sz="0" w:space="0" w:color="auto"/>
        <w:right w:val="none" w:sz="0" w:space="0" w:color="auto"/>
      </w:divBdr>
    </w:div>
    <w:div w:id="1846940225">
      <w:bodyDiv w:val="1"/>
      <w:marLeft w:val="0"/>
      <w:marRight w:val="0"/>
      <w:marTop w:val="0"/>
      <w:marBottom w:val="0"/>
      <w:divBdr>
        <w:top w:val="none" w:sz="0" w:space="0" w:color="auto"/>
        <w:left w:val="none" w:sz="0" w:space="0" w:color="auto"/>
        <w:bottom w:val="none" w:sz="0" w:space="0" w:color="auto"/>
        <w:right w:val="none" w:sz="0" w:space="0" w:color="auto"/>
      </w:divBdr>
    </w:div>
    <w:div w:id="1858930172">
      <w:bodyDiv w:val="1"/>
      <w:marLeft w:val="0"/>
      <w:marRight w:val="0"/>
      <w:marTop w:val="0"/>
      <w:marBottom w:val="0"/>
      <w:divBdr>
        <w:top w:val="none" w:sz="0" w:space="0" w:color="auto"/>
        <w:left w:val="none" w:sz="0" w:space="0" w:color="auto"/>
        <w:bottom w:val="none" w:sz="0" w:space="0" w:color="auto"/>
        <w:right w:val="none" w:sz="0" w:space="0" w:color="auto"/>
      </w:divBdr>
    </w:div>
    <w:div w:id="1879969191">
      <w:bodyDiv w:val="1"/>
      <w:marLeft w:val="0"/>
      <w:marRight w:val="0"/>
      <w:marTop w:val="0"/>
      <w:marBottom w:val="0"/>
      <w:divBdr>
        <w:top w:val="none" w:sz="0" w:space="0" w:color="auto"/>
        <w:left w:val="none" w:sz="0" w:space="0" w:color="auto"/>
        <w:bottom w:val="none" w:sz="0" w:space="0" w:color="auto"/>
        <w:right w:val="none" w:sz="0" w:space="0" w:color="auto"/>
      </w:divBdr>
    </w:div>
    <w:div w:id="1910532950">
      <w:bodyDiv w:val="1"/>
      <w:marLeft w:val="0"/>
      <w:marRight w:val="0"/>
      <w:marTop w:val="0"/>
      <w:marBottom w:val="0"/>
      <w:divBdr>
        <w:top w:val="none" w:sz="0" w:space="0" w:color="auto"/>
        <w:left w:val="none" w:sz="0" w:space="0" w:color="auto"/>
        <w:bottom w:val="none" w:sz="0" w:space="0" w:color="auto"/>
        <w:right w:val="none" w:sz="0" w:space="0" w:color="auto"/>
      </w:divBdr>
    </w:div>
    <w:div w:id="2024547317">
      <w:bodyDiv w:val="1"/>
      <w:marLeft w:val="0"/>
      <w:marRight w:val="0"/>
      <w:marTop w:val="0"/>
      <w:marBottom w:val="0"/>
      <w:divBdr>
        <w:top w:val="none" w:sz="0" w:space="0" w:color="auto"/>
        <w:left w:val="none" w:sz="0" w:space="0" w:color="auto"/>
        <w:bottom w:val="none" w:sz="0" w:space="0" w:color="auto"/>
        <w:right w:val="none" w:sz="0" w:space="0" w:color="auto"/>
      </w:divBdr>
      <w:divsChild>
        <w:div w:id="606036928">
          <w:marLeft w:val="0"/>
          <w:marRight w:val="0"/>
          <w:marTop w:val="0"/>
          <w:marBottom w:val="0"/>
          <w:divBdr>
            <w:top w:val="none" w:sz="0" w:space="0" w:color="auto"/>
            <w:left w:val="none" w:sz="0" w:space="0" w:color="auto"/>
            <w:bottom w:val="none" w:sz="0" w:space="0" w:color="auto"/>
            <w:right w:val="none" w:sz="0" w:space="0" w:color="auto"/>
          </w:divBdr>
        </w:div>
        <w:div w:id="1222790850">
          <w:marLeft w:val="0"/>
          <w:marRight w:val="0"/>
          <w:marTop w:val="0"/>
          <w:marBottom w:val="0"/>
          <w:divBdr>
            <w:top w:val="none" w:sz="0" w:space="0" w:color="auto"/>
            <w:left w:val="none" w:sz="0" w:space="0" w:color="auto"/>
            <w:bottom w:val="none" w:sz="0" w:space="0" w:color="auto"/>
            <w:right w:val="none" w:sz="0" w:space="0" w:color="auto"/>
          </w:divBdr>
        </w:div>
        <w:div w:id="1288975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irstpeoplesrelations.vic.gov.au" TargetMode="External"/><Relationship Id="rId21" Type="http://schemas.openxmlformats.org/officeDocument/2006/relationships/footer" Target="footer3.xml"/><Relationship Id="rId42" Type="http://schemas.openxmlformats.org/officeDocument/2006/relationships/hyperlink" Target="https://www.epa.vic.gov.au/about-epa/publications/2049-report-on-pfas-in-the-environment" TargetMode="External"/><Relationship Id="rId47" Type="http://schemas.openxmlformats.org/officeDocument/2006/relationships/footer" Target="footer6.xml"/><Relationship Id="rId63" Type="http://schemas.openxmlformats.org/officeDocument/2006/relationships/header" Target="header9.xml"/><Relationship Id="rId68" Type="http://schemas.openxmlformats.org/officeDocument/2006/relationships/header" Target="header11.xml"/><Relationship Id="rId84" Type="http://schemas.openxmlformats.org/officeDocument/2006/relationships/fontTable" Target="fontTable.xml"/><Relationship Id="rId16" Type="http://schemas.openxmlformats.org/officeDocument/2006/relationships/hyperlink" Target="tel:1300372842" TargetMode="External"/><Relationship Id="rId11" Type="http://schemas.openxmlformats.org/officeDocument/2006/relationships/image" Target="media/image1.png"/><Relationship Id="rId32" Type="http://schemas.openxmlformats.org/officeDocument/2006/relationships/header" Target="header2.xml"/><Relationship Id="rId37" Type="http://schemas.openxmlformats.org/officeDocument/2006/relationships/hyperlink" Target="http://www.epa.gov/caddis-vol2/simple-and-detailed-conceptual-model-diagram-downloads" TargetMode="External"/><Relationship Id="rId53" Type="http://schemas.openxmlformats.org/officeDocument/2006/relationships/image" Target="media/image9.png"/><Relationship Id="rId58" Type="http://schemas.openxmlformats.org/officeDocument/2006/relationships/image" Target="media/image12.jpeg"/><Relationship Id="rId74" Type="http://schemas.openxmlformats.org/officeDocument/2006/relationships/image" Target="media/image19.jpeg"/><Relationship Id="rId79" Type="http://schemas.openxmlformats.org/officeDocument/2006/relationships/hyperlink" Target="https://www.waterra.com.au/research/waterval/" TargetMode="External"/><Relationship Id="rId5" Type="http://schemas.openxmlformats.org/officeDocument/2006/relationships/numbering" Target="numbering.xml"/><Relationship Id="rId61" Type="http://schemas.openxmlformats.org/officeDocument/2006/relationships/image" Target="media/image15.jpeg"/><Relationship Id="rId82" Type="http://schemas.openxmlformats.org/officeDocument/2006/relationships/footer" Target="footer9.xml"/><Relationship Id="rId19" Type="http://schemas.openxmlformats.org/officeDocument/2006/relationships/footer" Target="footer1.xml"/><Relationship Id="rId14" Type="http://schemas.openxmlformats.org/officeDocument/2006/relationships/hyperlink" Target="http://www.epa.vic.gov.au/publication-feedback" TargetMode="External"/><Relationship Id="rId22" Type="http://schemas.openxmlformats.org/officeDocument/2006/relationships/hyperlink" Target="http://www.waterquality.gov.au/anz-guidelines" TargetMode="External"/><Relationship Id="rId27" Type="http://schemas.openxmlformats.org/officeDocument/2006/relationships/hyperlink" Target="https://www.waterquality.gov.au/anz-guidelines/guideline-values/derive/cultural-values/principles" TargetMode="External"/><Relationship Id="rId30" Type="http://schemas.openxmlformats.org/officeDocument/2006/relationships/hyperlink" Target="https://www.waterquality.gov.au/anz-guidelines" TargetMode="External"/><Relationship Id="rId35" Type="http://schemas.openxmlformats.org/officeDocument/2006/relationships/header" Target="header4.xml"/><Relationship Id="rId43" Type="http://schemas.openxmlformats.org/officeDocument/2006/relationships/image" Target="media/image6.jpeg"/><Relationship Id="rId48" Type="http://schemas.openxmlformats.org/officeDocument/2006/relationships/hyperlink" Target="https://www.waterquality.gov.au/anz-guidelines" TargetMode="External"/><Relationship Id="rId64" Type="http://schemas.openxmlformats.org/officeDocument/2006/relationships/header" Target="header10.xml"/><Relationship Id="rId69" Type="http://schemas.openxmlformats.org/officeDocument/2006/relationships/footer" Target="footer8.xml"/><Relationship Id="rId77" Type="http://schemas.openxmlformats.org/officeDocument/2006/relationships/hyperlink" Target="https://www.waterra.com.au/research/waterval/" TargetMode="Externa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image" Target="media/image18.jpeg"/><Relationship Id="rId80" Type="http://schemas.openxmlformats.org/officeDocument/2006/relationships/hyperlink" Target="https://www.waterra.com.au/research/waterva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ntact@epa.vic.gov.au" TargetMode="External"/><Relationship Id="rId25" Type="http://schemas.openxmlformats.org/officeDocument/2006/relationships/hyperlink" Target="https://www.water.vic.gov.au/aboriginal-values/the-aboriginal-water-program" TargetMode="External"/><Relationship Id="rId33" Type="http://schemas.openxmlformats.org/officeDocument/2006/relationships/image" Target="media/image5.jpeg"/><Relationship Id="rId38" Type="http://schemas.openxmlformats.org/officeDocument/2006/relationships/hyperlink" Target="http://www.waterquality.gov.au/anz-guidelines" TargetMode="External"/><Relationship Id="rId46" Type="http://schemas.openxmlformats.org/officeDocument/2006/relationships/header" Target="header6.xml"/><Relationship Id="rId59" Type="http://schemas.openxmlformats.org/officeDocument/2006/relationships/image" Target="media/image13.jpeg"/><Relationship Id="rId67" Type="http://schemas.openxmlformats.org/officeDocument/2006/relationships/image" Target="media/image17.jpeg"/><Relationship Id="rId20" Type="http://schemas.openxmlformats.org/officeDocument/2006/relationships/footer" Target="footer2.xml"/><Relationship Id="rId41" Type="http://schemas.openxmlformats.org/officeDocument/2006/relationships/hyperlink" Target="https://www.epa.vic.gov.au/for-community/environmental-information/pfas" TargetMode="External"/><Relationship Id="rId54" Type="http://schemas.openxmlformats.org/officeDocument/2006/relationships/image" Target="media/image10.jpeg"/><Relationship Id="rId62" Type="http://schemas.openxmlformats.org/officeDocument/2006/relationships/header" Target="header8.xml"/><Relationship Id="rId70" Type="http://schemas.openxmlformats.org/officeDocument/2006/relationships/hyperlink" Target="tel:1300372842" TargetMode="External"/><Relationship Id="rId75" Type="http://schemas.openxmlformats.org/officeDocument/2006/relationships/header" Target="header12.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pa.vic.gov.au/for-business/how-to/manage-environmental-risk" TargetMode="External"/><Relationship Id="rId28" Type="http://schemas.openxmlformats.org/officeDocument/2006/relationships/hyperlink" Target="https://www.waterquality.gov.au/anz-guidelines/guideline-values/derive/cultural-values" TargetMode="External"/><Relationship Id="rId36" Type="http://schemas.openxmlformats.org/officeDocument/2006/relationships/footer" Target="footer4.xml"/><Relationship Id="rId49" Type="http://schemas.openxmlformats.org/officeDocument/2006/relationships/header" Target="header7.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eader" Target="header5.xml"/><Relationship Id="rId52" Type="http://schemas.openxmlformats.org/officeDocument/2006/relationships/image" Target="media/image8.jpeg"/><Relationship Id="rId60" Type="http://schemas.openxmlformats.org/officeDocument/2006/relationships/image" Target="media/image14.jpeg"/><Relationship Id="rId65" Type="http://schemas.openxmlformats.org/officeDocument/2006/relationships/image" Target="media/image16.emf"/><Relationship Id="rId73" Type="http://schemas.openxmlformats.org/officeDocument/2006/relationships/image" Target="media/image20.jpeg"/><Relationship Id="rId78" Type="http://schemas.openxmlformats.org/officeDocument/2006/relationships/hyperlink" Target="https://www.waterra.com.au/research/waterval/" TargetMode="External"/><Relationship Id="rId81" Type="http://schemas.openxmlformats.org/officeDocument/2006/relationships/header" Target="header14.xm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vic.gov.au/" TargetMode="External"/><Relationship Id="rId18" Type="http://schemas.openxmlformats.org/officeDocument/2006/relationships/header" Target="header1.xml"/><Relationship Id="rId39" Type="http://schemas.openxmlformats.org/officeDocument/2006/relationships/hyperlink" Target="https://www.waterquality.gov.au/anz-guidelines/guideline-values/default" TargetMode="External"/><Relationship Id="rId34" Type="http://schemas.openxmlformats.org/officeDocument/2006/relationships/header" Target="header3.xml"/><Relationship Id="rId50" Type="http://schemas.openxmlformats.org/officeDocument/2006/relationships/footer" Target="footer7.xm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yperlink" Target="mailto:contact@epa.vic.gov.au" TargetMode="External"/><Relationship Id="rId2" Type="http://schemas.openxmlformats.org/officeDocument/2006/relationships/customXml" Target="../customXml/item2.xml"/><Relationship Id="rId29" Type="http://schemas.openxmlformats.org/officeDocument/2006/relationships/hyperlink" Target="http://www.epa.vic.gov.au/for-business/find-a-topic" TargetMode="External"/><Relationship Id="rId24" Type="http://schemas.openxmlformats.org/officeDocument/2006/relationships/hyperlink" Target="https://achris.vic.gov.au" TargetMode="External"/><Relationship Id="rId40" Type="http://schemas.openxmlformats.org/officeDocument/2006/relationships/hyperlink" Target="https://www.epa.vic.gov.au/about-epa/publications/1879" TargetMode="External"/><Relationship Id="rId45" Type="http://schemas.openxmlformats.org/officeDocument/2006/relationships/footer" Target="footer5.xml"/><Relationship Id="rId66" Type="http://schemas.openxmlformats.org/officeDocument/2006/relationships/image" Target="media/image1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PA brand colours 2021">
      <a:dk1>
        <a:sysClr val="windowText" lastClr="000000"/>
      </a:dk1>
      <a:lt1>
        <a:sysClr val="window" lastClr="FFFFFF"/>
      </a:lt1>
      <a:dk2>
        <a:srgbClr val="1F497D"/>
      </a:dk2>
      <a:lt2>
        <a:srgbClr val="EEECE1"/>
      </a:lt2>
      <a:accent1>
        <a:srgbClr val="00B4E1"/>
      </a:accent1>
      <a:accent2>
        <a:srgbClr val="F08700"/>
      </a:accent2>
      <a:accent3>
        <a:srgbClr val="00AFB9"/>
      </a:accent3>
      <a:accent4>
        <a:srgbClr val="C35005"/>
      </a:accent4>
      <a:accent5>
        <a:srgbClr val="C3D700"/>
      </a:accent5>
      <a:accent6>
        <a:srgbClr val="000000"/>
      </a:accent6>
      <a:hlink>
        <a:srgbClr val="003F72"/>
      </a:hlink>
      <a:folHlink>
        <a:srgbClr val="00B4E1"/>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F310B7-8535-B343-AF91-1749B01C00C6}">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72166f-1a9e-4300-b8f3-9c5545c1e495">
      <UserInfo>
        <DisplayName>Joanna Cary</DisplayName>
        <AccountId>28</AccountId>
        <AccountType/>
      </UserInfo>
      <UserInfo>
        <DisplayName>Dru Marsh</DisplayName>
        <AccountId>29</AccountId>
        <AccountType/>
      </UserInfo>
      <UserInfo>
        <DisplayName>Sigourney Irvine</DisplayName>
        <AccountId>110</AccountId>
        <AccountType/>
      </UserInfo>
      <UserInfo>
        <DisplayName>Eliot Palmer</DisplayName>
        <AccountId>50</AccountId>
        <AccountType/>
      </UserInfo>
      <UserInfo>
        <DisplayName>Clare Moran</DisplayName>
        <AccountId>19</AccountId>
        <AccountType/>
      </UserInfo>
      <UserInfo>
        <DisplayName>Paris Nichols</DisplayName>
        <AccountId>113</AccountId>
        <AccountType/>
      </UserInfo>
      <UserInfo>
        <DisplayName>Emma Forehan</DisplayName>
        <AccountId>114</AccountId>
        <AccountType/>
      </UserInfo>
      <UserInfo>
        <DisplayName>Toli Papadopoulos</DisplayName>
        <AccountId>115</AccountId>
        <AccountType/>
      </UserInfo>
      <UserInfo>
        <DisplayName>Kirsty Jongebloed</DisplayName>
        <AccountId>117</AccountId>
        <AccountType/>
      </UserInfo>
    </SharedWithUsers>
    <Segment xmlns="427b8d18-7566-4586-b668-423a2af7ac9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6EF7C81A900A4CBC55DCC3676F728C" ma:contentTypeVersion="15" ma:contentTypeDescription="Create a new document." ma:contentTypeScope="" ma:versionID="290188c799c35fbed3f37b5f774d21c8">
  <xsd:schema xmlns:xsd="http://www.w3.org/2001/XMLSchema" xmlns:xs="http://www.w3.org/2001/XMLSchema" xmlns:p="http://schemas.microsoft.com/office/2006/metadata/properties" xmlns:ns2="427b8d18-7566-4586-b668-423a2af7ac90" xmlns:ns3="a272166f-1a9e-4300-b8f3-9c5545c1e495" targetNamespace="http://schemas.microsoft.com/office/2006/metadata/properties" ma:root="true" ma:fieldsID="569c246215f3a5b8cf9eefe8c00f72a8" ns2:_="" ns3:_="">
    <xsd:import namespace="427b8d18-7566-4586-b668-423a2af7ac90"/>
    <xsd:import namespace="a272166f-1a9e-4300-b8f3-9c5545c1e4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Seg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b8d18-7566-4586-b668-423a2af7a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egment" ma:index="20" nillable="true" ma:displayName="Segment" ma:format="Dropdown" ma:internalName="Seg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2166f-1a9e-4300-b8f3-9c5545c1e4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01D39-8755-482D-80DE-2BE1947137CF}">
  <ds:schemaRefs>
    <ds:schemaRef ds:uri="http://schemas.microsoft.com/office/2006/metadata/properties"/>
    <ds:schemaRef ds:uri="http://schemas.microsoft.com/office/infopath/2007/PartnerControls"/>
    <ds:schemaRef ds:uri="a272166f-1a9e-4300-b8f3-9c5545c1e495"/>
    <ds:schemaRef ds:uri="427b8d18-7566-4586-b668-423a2af7ac90"/>
  </ds:schemaRefs>
</ds:datastoreItem>
</file>

<file path=customXml/itemProps2.xml><?xml version="1.0" encoding="utf-8"?>
<ds:datastoreItem xmlns:ds="http://schemas.openxmlformats.org/officeDocument/2006/customXml" ds:itemID="{CC6EB3AC-AD36-40D8-99CD-1C04C24318A9}">
  <ds:schemaRefs>
    <ds:schemaRef ds:uri="http://schemas.openxmlformats.org/officeDocument/2006/bibliography"/>
  </ds:schemaRefs>
</ds:datastoreItem>
</file>

<file path=customXml/itemProps3.xml><?xml version="1.0" encoding="utf-8"?>
<ds:datastoreItem xmlns:ds="http://schemas.openxmlformats.org/officeDocument/2006/customXml" ds:itemID="{82E01AEE-3F26-43EB-89E8-ED7B3790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b8d18-7566-4586-b668-423a2af7ac90"/>
    <ds:schemaRef ds:uri="a272166f-1a9e-4300-b8f3-9c5545c1e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A3AC5-801F-4059-B37D-DA15E186EB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583</TotalTime>
  <Pages>108</Pages>
  <Words>31348</Words>
  <Characters>178684</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Publication 1287</vt:lpstr>
    </vt:vector>
  </TitlesOfParts>
  <Manager/>
  <Company>EPA Victoria</Company>
  <LinksUpToDate>false</LinksUpToDate>
  <CharactersWithSpaces>209613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1287</dc:title>
  <dc:subject/>
  <dc:creator>EPA Victoria</dc:creator>
  <cp:keywords/>
  <dc:description/>
  <cp:lastModifiedBy>Peter Richards</cp:lastModifiedBy>
  <cp:revision>91</cp:revision>
  <cp:lastPrinted>2023-05-16T04:00:00Z</cp:lastPrinted>
  <dcterms:created xsi:type="dcterms:W3CDTF">2023-04-18T01:31:00Z</dcterms:created>
  <dcterms:modified xsi:type="dcterms:W3CDTF">2023-05-16T04:01:00Z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0x010100896EF7C81A900A4CBC55DCC3676F728C</vt:lpwstr>
  </property>
  <property fmtid="{D5CDD505-2E9C-101B-9397-08002B2CF9AE}" pid="3" name="_dlc_DocIdItemGuid">
    <vt:lpwstr>8be0ad35-0350-401b-9b59-eca9134c5b5a</vt:lpwstr>
  </property>
  <property fmtid="{D5CDD505-2E9C-101B-9397-08002B2CF9AE}" pid="4" name="ClassificationContentMarkingHeaderShapeIds">
    <vt:lpwstr>2,3,3c,3d,3e,3f,1c7,1c8,1c9,1ca,1cb,1cd,1cf,1d0,1d2,1d3,1d4,1d5,1d6,1d7,1d8,1d9,1da,1db,1dc,1dd,1de,1df,1e0,1e1,1e2,1e3,1e4,1e5,1e6,1e7,1e8,1e9,1ea,1eb,1ec,1ed,1ee,1ef,1f0</vt:lpwstr>
  </property>
  <property fmtid="{D5CDD505-2E9C-101B-9397-08002B2CF9AE}" pid="5" name="ClassificationContentMarkingHeaderFontProps">
    <vt:lpwstr>#000000,10,Calibri</vt:lpwstr>
  </property>
  <property fmtid="{D5CDD505-2E9C-101B-9397-08002B2CF9AE}" pid="6" name="ClassificationContentMarkingHeaderText">
    <vt:lpwstr>OFFICIAL </vt:lpwstr>
  </property>
</Properties>
</file>