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IC-Medium" w:eastAsia="VIC-Medium" w:hAnsi="VIC-Medium" w:cs="VIC-Medium"/>
          <w:color w:val="0A3C73"/>
          <w:szCs w:val="24"/>
          <w:lang w:val="en-US" w:eastAsia="en-US"/>
        </w:rPr>
        <w:id w:val="-97486291"/>
        <w:docPartObj>
          <w:docPartGallery w:val="Cover Pages"/>
          <w:docPartUnique/>
        </w:docPartObj>
      </w:sdtPr>
      <w:sdtEndPr/>
      <w:sdtContent>
        <w:p w14:paraId="3C247E7E" w14:textId="180FA5E3" w:rsidR="00284CBB" w:rsidRDefault="00BE2D3E" w:rsidP="001200DE">
          <w:r>
            <w:rPr>
              <w:noProof/>
            </w:rPr>
            <w:drawing>
              <wp:anchor distT="0" distB="0" distL="114300" distR="114300" simplePos="0" relativeHeight="251658242" behindDoc="0" locked="0" layoutInCell="1" allowOverlap="1" wp14:anchorId="26BEA38E" wp14:editId="5B87A48A">
                <wp:simplePos x="0" y="0"/>
                <wp:positionH relativeFrom="column">
                  <wp:posOffset>4713605</wp:posOffset>
                </wp:positionH>
                <wp:positionV relativeFrom="paragraph">
                  <wp:posOffset>-314325</wp:posOffset>
                </wp:positionV>
                <wp:extent cx="1770842"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r="3704"/>
                        <a:stretch/>
                      </pic:blipFill>
                      <pic:spPr bwMode="auto">
                        <a:xfrm>
                          <a:off x="0" y="0"/>
                          <a:ext cx="1770842"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E85">
            <w:rPr>
              <w:noProof/>
            </w:rPr>
            <w:drawing>
              <wp:anchor distT="0" distB="0" distL="114300" distR="114300" simplePos="0" relativeHeight="251658241" behindDoc="1" locked="0" layoutInCell="1" allowOverlap="1" wp14:anchorId="6888B046" wp14:editId="66AA0B0B">
                <wp:simplePos x="0" y="0"/>
                <wp:positionH relativeFrom="page">
                  <wp:align>left</wp:align>
                </wp:positionH>
                <wp:positionV relativeFrom="page">
                  <wp:align>top</wp:align>
                </wp:positionV>
                <wp:extent cx="7560000" cy="10684800"/>
                <wp:effectExtent l="0" t="0" r="3175" b="2540"/>
                <wp:wrapNone/>
                <wp:docPr id="19" name="Picture 19"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7308827E" w14:textId="0BBC5C3D" w:rsidR="004751A4" w:rsidRDefault="004751A4" w:rsidP="004751A4">
          <w:pPr>
            <w:spacing w:after="283" w:line="180" w:lineRule="auto"/>
            <w:jc w:val="right"/>
          </w:pPr>
        </w:p>
        <w:p w14:paraId="288303B3" w14:textId="40CDD4FC" w:rsidR="004751A4" w:rsidRDefault="004751A4" w:rsidP="004751A4">
          <w:pPr>
            <w:spacing w:after="283" w:line="180" w:lineRule="auto"/>
            <w:jc w:val="right"/>
          </w:pPr>
        </w:p>
        <w:p w14:paraId="4531C178" w14:textId="640684A8" w:rsidR="004751A4" w:rsidRDefault="004751A4" w:rsidP="004751A4">
          <w:pPr>
            <w:spacing w:after="283" w:line="180" w:lineRule="auto"/>
            <w:jc w:val="right"/>
          </w:pPr>
        </w:p>
        <w:p w14:paraId="20D7F176" w14:textId="6E7ACE69" w:rsidR="004751A4" w:rsidRDefault="00B72D75" w:rsidP="004751A4">
          <w:pPr>
            <w:spacing w:after="283" w:line="180" w:lineRule="auto"/>
            <w:jc w:val="right"/>
          </w:pPr>
          <w:r>
            <w:br/>
          </w:r>
          <w:r>
            <w:br/>
          </w:r>
          <w:r>
            <w:br/>
          </w:r>
          <w:r>
            <w:br/>
          </w:r>
          <w:r>
            <w:br/>
          </w:r>
          <w:r>
            <w:br/>
          </w:r>
          <w:r>
            <w:br/>
          </w:r>
          <w:r>
            <w:br/>
          </w:r>
        </w:p>
        <w:p w14:paraId="1756FFAE" w14:textId="1FCF85FE" w:rsidR="004751A4" w:rsidRDefault="004751A4" w:rsidP="004751A4">
          <w:pPr>
            <w:spacing w:after="283" w:line="180" w:lineRule="auto"/>
            <w:jc w:val="right"/>
          </w:pPr>
        </w:p>
        <w:p w14:paraId="7F9B7872" w14:textId="1C6673E2" w:rsidR="004751A4" w:rsidRDefault="004751A4" w:rsidP="004751A4">
          <w:pPr>
            <w:spacing w:after="283" w:line="180" w:lineRule="auto"/>
            <w:jc w:val="right"/>
          </w:pPr>
        </w:p>
        <w:p w14:paraId="0A689D23" w14:textId="19424295" w:rsidR="004751A4" w:rsidRPr="004E3480" w:rsidRDefault="00A04D78" w:rsidP="004E3480">
          <w:pPr>
            <w:pStyle w:val="Title"/>
          </w:pPr>
          <w:sdt>
            <w:sdtPr>
              <w:rPr>
                <w:lang w:val="en-AU"/>
              </w:rPr>
              <w:alias w:val="Title"/>
              <w:id w:val="1408042455"/>
              <w:placeholder>
                <w:docPart w:val="B5BC09660E004FDEB4D10A5FCF29079B"/>
              </w:placeholder>
              <w:dataBinding w:prefixMappings="xmlns:ns0='http://purl.org/dc/elements/1.1/' xmlns:ns1='http://schemas.openxmlformats.org/package/2006/metadata/core-properties' " w:xpath="/ns1:coreProperties[1]/ns0:title[1]" w:storeItemID="{6C3C8BC8-F283-45AE-878A-BAB7291924A1}"/>
              <w:text/>
            </w:sdtPr>
            <w:sdtEndPr/>
            <w:sdtContent>
              <w:r w:rsidR="00ED1754">
                <w:rPr>
                  <w:lang w:val="en-AU"/>
                </w:rPr>
                <w:t>Guideline for minimising greenhouse gas emissions</w:t>
              </w:r>
            </w:sdtContent>
          </w:sdt>
          <w:r w:rsidR="004E3480">
            <w:br/>
          </w:r>
        </w:p>
        <w:p w14:paraId="6A60F498" w14:textId="4C9469D8" w:rsidR="004751A4" w:rsidRPr="00AF2DCE" w:rsidRDefault="004E3480" w:rsidP="004E3480">
          <w:pPr>
            <w:pStyle w:val="Subtitle"/>
          </w:pPr>
          <w:r>
            <w:br/>
          </w:r>
        </w:p>
        <w:p w14:paraId="249463DB" w14:textId="18ADDBD1" w:rsidR="004751A4" w:rsidRDefault="004751A4" w:rsidP="004751A4">
          <w:pPr>
            <w:jc w:val="right"/>
            <w:rPr>
              <w:color w:val="FFFFFF" w:themeColor="background1"/>
            </w:rPr>
          </w:pPr>
        </w:p>
        <w:p w14:paraId="67DB46BA" w14:textId="4AB621C0" w:rsidR="00B72D75" w:rsidRDefault="004E3480" w:rsidP="00B72D75">
          <w:pPr>
            <w:jc w:val="right"/>
            <w:rPr>
              <w:color w:val="FFFFFF" w:themeColor="background1"/>
            </w:rPr>
          </w:pPr>
          <w:r>
            <w:rPr>
              <w:color w:val="FFFFFF" w:themeColor="background1"/>
            </w:rPr>
            <w:br/>
          </w:r>
          <w:r w:rsidR="004751A4" w:rsidRPr="00226027">
            <w:rPr>
              <w:color w:val="FFFFFF" w:themeColor="background1"/>
            </w:rPr>
            <w:t xml:space="preserve">Publication </w:t>
          </w:r>
          <w:r w:rsidR="00C134B6">
            <w:rPr>
              <w:color w:val="FFFFFF" w:themeColor="background1"/>
            </w:rPr>
            <w:t>2048</w:t>
          </w:r>
          <w:r w:rsidR="004751A4" w:rsidRPr="00226027">
            <w:rPr>
              <w:color w:val="FFFFFF" w:themeColor="background1"/>
            </w:rPr>
            <w:t xml:space="preserve">   |   </w:t>
          </w:r>
          <w:r w:rsidR="00360EA8" w:rsidRPr="004F7919">
            <w:rPr>
              <w:color w:val="FFFFFF" w:themeColor="background1"/>
            </w:rPr>
            <w:t>September</w:t>
          </w:r>
          <w:r w:rsidR="004751A4" w:rsidRPr="00226027">
            <w:rPr>
              <w:color w:val="FFFFFF" w:themeColor="background1"/>
            </w:rPr>
            <w:t xml:space="preserve"> 2022 </w:t>
          </w:r>
        </w:p>
        <w:p w14:paraId="608089A4" w14:textId="63964CDD" w:rsidR="00C514F7" w:rsidRDefault="00C514F7">
          <w:pPr>
            <w:spacing w:after="0"/>
            <w:rPr>
              <w:rStyle w:val="Hyperlink"/>
              <w:rFonts w:eastAsia="VIC" w:cs="VIC"/>
              <w:szCs w:val="22"/>
              <w:lang w:val="en-US" w:eastAsia="en-US"/>
            </w:rPr>
          </w:pPr>
          <w:r>
            <w:rPr>
              <w:rStyle w:val="Hyperlink"/>
            </w:rPr>
            <w:br w:type="page"/>
          </w:r>
        </w:p>
        <w:p w14:paraId="60C3CE20" w14:textId="506B7670" w:rsidR="009F47DD" w:rsidRPr="00F73919" w:rsidRDefault="00A04D78" w:rsidP="001200DE">
          <w:pPr>
            <w:pStyle w:val="BodyText"/>
            <w:spacing w:after="120"/>
            <w:rPr>
              <w:rStyle w:val="Hyperlink"/>
            </w:rPr>
          </w:pPr>
          <w:hyperlink r:id="rId13" w:history="1">
            <w:r w:rsidR="009F47DD" w:rsidRPr="001B1BD1">
              <w:rPr>
                <w:rStyle w:val="Hyperlink"/>
              </w:rPr>
              <w:t>epa.vic.gov.au</w:t>
            </w:r>
          </w:hyperlink>
          <w:r w:rsidR="009F47DD" w:rsidRPr="00F73919">
            <w:rPr>
              <w:rStyle w:val="Hyperlink"/>
            </w:rPr>
            <w:t xml:space="preserve"> </w:t>
          </w:r>
        </w:p>
        <w:p w14:paraId="52C77F96" w14:textId="77777777" w:rsidR="009F47DD" w:rsidRPr="0079361E" w:rsidRDefault="009F47DD" w:rsidP="001200DE">
          <w:pPr>
            <w:pStyle w:val="BodyText"/>
            <w:rPr>
              <w:color w:val="0A3C73"/>
            </w:rPr>
          </w:pPr>
          <w:r w:rsidRPr="0079361E">
            <w:rPr>
              <w:color w:val="0A3C73"/>
            </w:rPr>
            <w:t>Environment Protection Authority Victoria</w:t>
          </w:r>
        </w:p>
        <w:p w14:paraId="4A766ECA" w14:textId="77777777" w:rsidR="009F47DD" w:rsidRPr="0079361E" w:rsidRDefault="009F47DD" w:rsidP="001200DE">
          <w:pPr>
            <w:pStyle w:val="BodyText"/>
            <w:rPr>
              <w:color w:val="0A3C73"/>
            </w:rPr>
          </w:pPr>
          <w:r w:rsidRPr="0079361E">
            <w:rPr>
              <w:color w:val="0A3C73"/>
            </w:rPr>
            <w:t>GPO BOX 4395 Melbourne VIC 3001</w:t>
          </w:r>
        </w:p>
        <w:p w14:paraId="3C85184B" w14:textId="77777777" w:rsidR="009F47DD" w:rsidRPr="0079361E" w:rsidRDefault="009F47DD" w:rsidP="001200DE">
          <w:pPr>
            <w:pStyle w:val="BodyText"/>
            <w:rPr>
              <w:color w:val="0A3C73"/>
            </w:rPr>
          </w:pPr>
          <w:r w:rsidRPr="0079361E">
            <w:rPr>
              <w:color w:val="0A3C73"/>
            </w:rPr>
            <w:t>1300 372 842</w:t>
          </w:r>
        </w:p>
        <w:p w14:paraId="7A3CF14E" w14:textId="59D31692" w:rsidR="009F47DD" w:rsidRDefault="009F47DD" w:rsidP="001200DE">
          <w:pPr>
            <w:pStyle w:val="Footertext"/>
            <w:tabs>
              <w:tab w:val="clear" w:pos="4680"/>
              <w:tab w:val="clear" w:pos="9360"/>
              <w:tab w:val="left" w:pos="1165"/>
            </w:tabs>
            <w:spacing w:after="80"/>
          </w:pPr>
        </w:p>
        <w:p w14:paraId="54A8676F" w14:textId="1215D0DC" w:rsidR="00525522" w:rsidRDefault="00525522" w:rsidP="001200DE">
          <w:pPr>
            <w:pStyle w:val="BodyText"/>
          </w:pPr>
          <w:r>
            <w:rPr>
              <w:noProof/>
              <w:sz w:val="16"/>
              <w:szCs w:val="16"/>
            </w:rPr>
            <mc:AlternateContent>
              <mc:Choice Requires="wps">
                <w:drawing>
                  <wp:anchor distT="0" distB="0" distL="114300" distR="114300" simplePos="0" relativeHeight="251658240" behindDoc="0" locked="0" layoutInCell="1" allowOverlap="1" wp14:anchorId="258BB498" wp14:editId="20C7C496">
                    <wp:simplePos x="0" y="0"/>
                    <wp:positionH relativeFrom="column">
                      <wp:posOffset>0</wp:posOffset>
                    </wp:positionH>
                    <wp:positionV relativeFrom="paragraph">
                      <wp:posOffset>58943</wp:posOffset>
                    </wp:positionV>
                    <wp:extent cx="6492875"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2CE3C"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65pt" to="51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" strokecolor="#00b4e1" strokeweight="1pt">
                    <v:stroke joinstyle="miter"/>
                  </v:line>
                </w:pict>
              </mc:Fallback>
            </mc:AlternateContent>
          </w:r>
        </w:p>
        <w:p w14:paraId="781F1996" w14:textId="77777777" w:rsidR="00525522" w:rsidRDefault="00525522" w:rsidP="001200DE">
          <w:pPr>
            <w:pStyle w:val="BodyText"/>
          </w:pPr>
        </w:p>
        <w:p w14:paraId="27263B80" w14:textId="77777777" w:rsidR="00525522" w:rsidRDefault="00525522" w:rsidP="001200DE">
          <w:pPr>
            <w:pStyle w:val="BodyText"/>
          </w:pPr>
        </w:p>
        <w:p w14:paraId="031A4901" w14:textId="25AB82DD" w:rsidR="009F47DD" w:rsidRDefault="009F47DD" w:rsidP="001200DE">
          <w:pPr>
            <w:pStyle w:val="BodyText"/>
          </w:pPr>
          <w:r>
            <w:t>This</w:t>
          </w:r>
          <w:r>
            <w:rPr>
              <w:spacing w:val="-2"/>
            </w:rPr>
            <w:t xml:space="preserve"> </w:t>
          </w:r>
          <w:r>
            <w:t>publication</w:t>
          </w:r>
          <w:r>
            <w:rPr>
              <w:spacing w:val="-3"/>
            </w:rPr>
            <w:t xml:space="preserve"> </w:t>
          </w:r>
          <w:r>
            <w:t>is</w:t>
          </w:r>
          <w:r>
            <w:rPr>
              <w:spacing w:val="-3"/>
            </w:rPr>
            <w:t xml:space="preserve"> </w:t>
          </w:r>
          <w:r>
            <w:t>for</w:t>
          </w:r>
          <w:r>
            <w:rPr>
              <w:spacing w:val="-1"/>
            </w:rPr>
            <w:t xml:space="preserve"> </w:t>
          </w:r>
          <w:r>
            <w:t>general</w:t>
          </w:r>
          <w:r>
            <w:rPr>
              <w:spacing w:val="-3"/>
            </w:rPr>
            <w:t xml:space="preserve"> </w:t>
          </w:r>
          <w:r>
            <w:t>guidance</w:t>
          </w:r>
          <w:r>
            <w:rPr>
              <w:spacing w:val="-4"/>
            </w:rPr>
            <w:t xml:space="preserve"> </w:t>
          </w:r>
          <w:r>
            <w:t>only.</w:t>
          </w:r>
          <w:r>
            <w:rPr>
              <w:spacing w:val="-7"/>
            </w:rPr>
            <w:t xml:space="preserve"> </w:t>
          </w:r>
          <w:r>
            <w:t>You should obtain</w:t>
          </w:r>
          <w:r>
            <w:rPr>
              <w:spacing w:val="-4"/>
            </w:rPr>
            <w:t xml:space="preserve"> </w:t>
          </w:r>
          <w:r>
            <w:t>professional</w:t>
          </w:r>
          <w:r>
            <w:rPr>
              <w:spacing w:val="-2"/>
            </w:rPr>
            <w:t xml:space="preserve"> </w:t>
          </w:r>
          <w:r>
            <w:t>advice if</w:t>
          </w:r>
          <w:r>
            <w:rPr>
              <w:spacing w:val="-3"/>
            </w:rPr>
            <w:t xml:space="preserve"> </w:t>
          </w:r>
          <w:r>
            <w:t>you</w:t>
          </w:r>
          <w:r>
            <w:rPr>
              <w:spacing w:val="-5"/>
            </w:rPr>
            <w:t xml:space="preserve"> </w:t>
          </w:r>
          <w:r w:rsidR="00A176AD">
            <w:rPr>
              <w:spacing w:val="-5"/>
            </w:rPr>
            <w:br/>
          </w:r>
          <w:r>
            <w:t>have any</w:t>
          </w:r>
          <w:r>
            <w:rPr>
              <w:spacing w:val="-3"/>
            </w:rPr>
            <w:t xml:space="preserve"> </w:t>
          </w:r>
          <w:r>
            <w:t>specific concern. EPA Victoria has</w:t>
          </w:r>
          <w:r>
            <w:rPr>
              <w:spacing w:val="-5"/>
            </w:rPr>
            <w:t xml:space="preserve"> </w:t>
          </w:r>
          <w:r>
            <w:t>made</w:t>
          </w:r>
          <w:r>
            <w:rPr>
              <w:spacing w:val="-2"/>
            </w:rPr>
            <w:t xml:space="preserve"> </w:t>
          </w:r>
          <w:r>
            <w:t>every</w:t>
          </w:r>
          <w:r>
            <w:rPr>
              <w:spacing w:val="-3"/>
            </w:rPr>
            <w:t xml:space="preserve"> </w:t>
          </w:r>
          <w:r>
            <w:t>reasonable effort to</w:t>
          </w:r>
          <w:r>
            <w:rPr>
              <w:spacing w:val="-4"/>
            </w:rPr>
            <w:t xml:space="preserve"> </w:t>
          </w:r>
          <w:r>
            <w:t>ensure</w:t>
          </w:r>
          <w:r>
            <w:rPr>
              <w:spacing w:val="-2"/>
            </w:rPr>
            <w:t xml:space="preserve"> </w:t>
          </w:r>
          <w:r>
            <w:t>accuracy</w:t>
          </w:r>
          <w:r>
            <w:rPr>
              <w:spacing w:val="-2"/>
            </w:rPr>
            <w:t xml:space="preserve"> </w:t>
          </w:r>
          <w:r w:rsidR="00A176AD">
            <w:rPr>
              <w:spacing w:val="-2"/>
            </w:rPr>
            <w:br/>
          </w:r>
          <w:r w:rsidRPr="0079361E">
            <w:t>at the time of publication.</w:t>
          </w:r>
          <w:r w:rsidR="00525522" w:rsidRPr="00525522">
            <w:rPr>
              <w:noProof/>
              <w:sz w:val="16"/>
              <w:szCs w:val="16"/>
            </w:rPr>
            <w:t xml:space="preserve"> </w:t>
          </w:r>
        </w:p>
        <w:p w14:paraId="0BE1C6DF" w14:textId="77777777" w:rsidR="00F73919" w:rsidRDefault="00F73919" w:rsidP="001200DE">
          <w:pPr>
            <w:pStyle w:val="BodyText"/>
          </w:pPr>
        </w:p>
        <w:p w14:paraId="13FA13E1" w14:textId="2643A370" w:rsidR="00F73919" w:rsidRPr="00F73919" w:rsidRDefault="00F73919" w:rsidP="001200DE">
          <w:pPr>
            <w:pStyle w:val="BodyText"/>
            <w:rPr>
              <w:rFonts w:ascii="VIC-Medium"/>
            </w:rPr>
          </w:pPr>
          <w:r>
            <w:t>Give</w:t>
          </w:r>
          <w:r>
            <w:rPr>
              <w:spacing w:val="-12"/>
            </w:rPr>
            <w:t xml:space="preserve"> </w:t>
          </w:r>
          <w:r>
            <w:t>feedback</w:t>
          </w:r>
          <w:r>
            <w:rPr>
              <w:spacing w:val="-9"/>
            </w:rPr>
            <w:t xml:space="preserve"> </w:t>
          </w:r>
          <w:r>
            <w:t>about</w:t>
          </w:r>
          <w:r>
            <w:rPr>
              <w:spacing w:val="-6"/>
            </w:rPr>
            <w:t xml:space="preserve"> </w:t>
          </w:r>
          <w:r>
            <w:t>this</w:t>
          </w:r>
          <w:r>
            <w:rPr>
              <w:spacing w:val="-7"/>
            </w:rPr>
            <w:t xml:space="preserve"> </w:t>
          </w:r>
          <w:r>
            <w:t>publication</w:t>
          </w:r>
          <w:r>
            <w:rPr>
              <w:spacing w:val="-8"/>
            </w:rPr>
            <w:t xml:space="preserve"> </w:t>
          </w:r>
          <w:r>
            <w:t>online:</w:t>
          </w:r>
          <w:r>
            <w:rPr>
              <w:spacing w:val="-6"/>
            </w:rPr>
            <w:t xml:space="preserve"> </w:t>
          </w:r>
          <w:hyperlink r:id="rId14">
            <w:r w:rsidRPr="00F73919">
              <w:rPr>
                <w:rStyle w:val="Hyperlink"/>
              </w:rPr>
              <w:t>epa.vic.gov.au/publication-feedback</w:t>
            </w:r>
          </w:hyperlink>
        </w:p>
        <w:p w14:paraId="765702FB" w14:textId="77777777" w:rsidR="009F47DD" w:rsidRPr="0079361E" w:rsidRDefault="009F47DD" w:rsidP="001200DE">
          <w:pPr>
            <w:pStyle w:val="BodyText"/>
          </w:pPr>
        </w:p>
        <w:p w14:paraId="2FE81427" w14:textId="7BE4C210" w:rsidR="00525522" w:rsidRDefault="0079361E" w:rsidP="001200DE">
          <w:pPr>
            <w:pStyle w:val="BodyText"/>
          </w:pPr>
          <w:r w:rsidRPr="0079361E">
            <w:t xml:space="preserve">EPA acknowledges Aboriginal people as the first peoples and Traditional custodians of the land </w:t>
          </w:r>
          <w:r w:rsidR="00A176AD">
            <w:br/>
          </w:r>
          <w:r w:rsidRPr="0079361E">
            <w:t xml:space="preserve">and water on which we live, </w:t>
          </w:r>
          <w:proofErr w:type="gramStart"/>
          <w:r w:rsidRPr="0079361E">
            <w:t>work</w:t>
          </w:r>
          <w:proofErr w:type="gramEnd"/>
          <w:r w:rsidRPr="0079361E">
            <w:t xml:space="preserve"> and depend. We pay respect to Aboriginal Elders past and present </w:t>
          </w:r>
          <w:r w:rsidR="00A176AD">
            <w:br/>
          </w:r>
          <w:r w:rsidRPr="0079361E">
            <w:t xml:space="preserve">and </w:t>
          </w:r>
          <w:proofErr w:type="spellStart"/>
          <w:r w:rsidRPr="0079361E">
            <w:t>recognise</w:t>
          </w:r>
          <w:proofErr w:type="spellEnd"/>
          <w:r w:rsidRPr="0079361E">
            <w:t xml:space="preserve"> the continuing connection to, and aspirations for Country.</w:t>
          </w:r>
        </w:p>
        <w:p w14:paraId="5B7D3801" w14:textId="77777777" w:rsidR="0079361E" w:rsidRPr="0079361E" w:rsidRDefault="0079361E" w:rsidP="001200DE">
          <w:pPr>
            <w:pStyle w:val="Header"/>
          </w:pPr>
        </w:p>
        <w:p w14:paraId="403A883F" w14:textId="7C72B2C8" w:rsidR="0079361E" w:rsidRDefault="0079361E" w:rsidP="001200DE">
          <w:pPr>
            <w:rPr>
              <w:rFonts w:ascii="Arial" w:hAnsi="Arial"/>
              <w:b/>
              <w:bCs/>
              <w:noProof/>
              <w:color w:val="00B4E1"/>
              <w:lang w:eastAsia="en-GB"/>
            </w:rPr>
          </w:pPr>
          <w:r>
            <w:rPr>
              <w:rFonts w:ascii="Arial" w:hAnsi="Arial"/>
              <w:b/>
              <w:noProof/>
              <w:color w:val="00B4E1"/>
              <w:lang w:eastAsia="en-GB"/>
            </w:rPr>
            <w:drawing>
              <wp:inline distT="0" distB="0" distL="0" distR="0" wp14:anchorId="2089B50D" wp14:editId="5DF3773B">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5741A52F" w14:textId="3055FAB3" w:rsidR="00394700" w:rsidRDefault="00394700" w:rsidP="001200DE">
          <w:pPr>
            <w:rPr>
              <w:rFonts w:ascii="Arial" w:hAnsi="Arial"/>
              <w:b/>
              <w:bCs/>
              <w:noProof/>
              <w:color w:val="00B4E1"/>
              <w:lang w:eastAsia="en-GB"/>
            </w:rPr>
          </w:pPr>
        </w:p>
        <w:p w14:paraId="6D7F7ABE" w14:textId="77777777" w:rsidR="00394700" w:rsidRDefault="00394700" w:rsidP="001200DE">
          <w:pPr>
            <w:rPr>
              <w:rFonts w:ascii="Arial" w:hAnsi="Arial"/>
              <w:b/>
              <w:bCs/>
              <w:noProof/>
              <w:color w:val="00B4E1"/>
              <w:lang w:eastAsia="en-GB"/>
            </w:rPr>
          </w:pPr>
        </w:p>
        <w:p w14:paraId="76491A81" w14:textId="77777777" w:rsidR="00E76931" w:rsidRPr="00E76931" w:rsidRDefault="00E76931" w:rsidP="001200DE">
          <w:pPr>
            <w:rPr>
              <w:lang w:eastAsia="en-US" w:bidi="he-IL"/>
            </w:rPr>
          </w:pPr>
        </w:p>
        <w:p w14:paraId="2F9358B8" w14:textId="77777777" w:rsidR="00394700" w:rsidRPr="00067C5D" w:rsidRDefault="00394700" w:rsidP="00394700">
          <w:pPr>
            <w:pStyle w:val="Heading2"/>
            <w:rPr>
              <w:rFonts w:eastAsia="VIC" w:cs="VIC"/>
              <w:color w:val="auto"/>
              <w:sz w:val="20"/>
              <w:szCs w:val="22"/>
              <w:lang w:val="en-US" w:eastAsia="en-US"/>
            </w:rPr>
          </w:pPr>
          <w:bookmarkStart w:id="0" w:name="_Toc114565640"/>
          <w:bookmarkStart w:id="1" w:name="_Toc114565868"/>
          <w:bookmarkStart w:id="2" w:name="_Toc114566189"/>
          <w:r w:rsidRPr="00067C5D">
            <w:rPr>
              <w:rFonts w:eastAsia="VIC" w:cs="VIC"/>
              <w:color w:val="auto"/>
              <w:sz w:val="20"/>
              <w:szCs w:val="22"/>
              <w:lang w:val="en-US" w:eastAsia="en-US"/>
            </w:rPr>
            <w:t>Accessibility</w:t>
          </w:r>
          <w:bookmarkEnd w:id="0"/>
          <w:bookmarkEnd w:id="1"/>
          <w:bookmarkEnd w:id="2"/>
        </w:p>
        <w:p w14:paraId="42BF6176" w14:textId="4F00B326" w:rsidR="00394700" w:rsidRDefault="00394700" w:rsidP="00394700">
          <w:pPr>
            <w:rPr>
              <w:rFonts w:eastAsia="VIC" w:cs="VIC"/>
              <w:szCs w:val="22"/>
              <w:lang w:val="en-US" w:eastAsia="en-US"/>
            </w:rPr>
          </w:pPr>
          <w:r w:rsidRPr="00067C5D">
            <w:rPr>
              <w:rFonts w:eastAsia="VIC" w:cs="VIC"/>
              <w:szCs w:val="22"/>
              <w:lang w:val="en-US" w:eastAsia="en-US"/>
            </w:rPr>
            <w:t>Contact us if you need this information in an accessible format such as large print or audio.</w:t>
          </w:r>
          <w:r w:rsidRPr="00067C5D">
            <w:rPr>
              <w:rFonts w:eastAsia="VIC" w:cs="VIC"/>
              <w:szCs w:val="22"/>
              <w:lang w:val="en-US" w:eastAsia="en-US"/>
            </w:rPr>
            <w:br/>
            <w:t xml:space="preserve">Please telephone 1300 372 842 or email </w:t>
          </w:r>
          <w:hyperlink r:id="rId16">
            <w:r w:rsidRPr="00067C5D">
              <w:rPr>
                <w:rFonts w:eastAsia="VIC" w:cs="VIC"/>
                <w:szCs w:val="22"/>
                <w:lang w:val="en-US" w:eastAsia="en-US"/>
              </w:rPr>
              <w:t>contact@epa.vic.gov.au</w:t>
            </w:r>
          </w:hyperlink>
        </w:p>
        <w:p w14:paraId="68E599C2" w14:textId="77777777" w:rsidR="00262745" w:rsidRPr="00067C5D" w:rsidRDefault="00262745" w:rsidP="00394700">
          <w:pPr>
            <w:rPr>
              <w:rFonts w:eastAsia="VIC" w:cs="VIC"/>
              <w:szCs w:val="22"/>
              <w:lang w:val="en-US" w:eastAsia="en-US"/>
            </w:rPr>
          </w:pPr>
        </w:p>
        <w:p w14:paraId="430AC4CF" w14:textId="0870F4BD" w:rsidR="00394700" w:rsidRPr="00262745" w:rsidRDefault="00394700" w:rsidP="00394700">
          <w:pPr>
            <w:pStyle w:val="Heading2"/>
            <w:rPr>
              <w:rFonts w:eastAsia="VIC" w:cs="VIC"/>
              <w:color w:val="auto"/>
              <w:sz w:val="20"/>
              <w:szCs w:val="22"/>
              <w:lang w:val="en-US" w:eastAsia="en-US"/>
            </w:rPr>
          </w:pPr>
          <w:bookmarkStart w:id="3" w:name="_Toc114565641"/>
          <w:bookmarkStart w:id="4" w:name="_Toc114565869"/>
          <w:bookmarkStart w:id="5" w:name="_Toc114566190"/>
          <w:r w:rsidRPr="00262745">
            <w:rPr>
              <w:rFonts w:eastAsia="VIC" w:cs="VIC"/>
              <w:color w:val="auto"/>
              <w:sz w:val="20"/>
              <w:szCs w:val="22"/>
              <w:lang w:val="en-US" w:eastAsia="en-US"/>
            </w:rPr>
            <w:t>Interpreter assistance</w:t>
          </w:r>
          <w:bookmarkEnd w:id="3"/>
          <w:bookmarkEnd w:id="4"/>
          <w:bookmarkEnd w:id="5"/>
        </w:p>
        <w:p w14:paraId="0F2D03FB" w14:textId="77777777" w:rsidR="00394700" w:rsidRPr="00067C5D" w:rsidRDefault="00394700" w:rsidP="00394700">
          <w:pPr>
            <w:pStyle w:val="SmallBody"/>
            <w:rPr>
              <w:rFonts w:eastAsia="VIC" w:cs="VIC"/>
              <w:color w:val="auto"/>
              <w:szCs w:val="22"/>
              <w:lang w:val="en-US"/>
            </w:rPr>
          </w:pPr>
          <w:r w:rsidRPr="00067C5D">
            <w:rPr>
              <w:rFonts w:eastAsia="VIC" w:cs="VIC"/>
              <w:noProof/>
              <w:color w:val="auto"/>
              <w:szCs w:val="22"/>
              <w:lang w:val="en-US"/>
            </w:rPr>
            <w:drawing>
              <wp:inline distT="0" distB="0" distL="0" distR="0" wp14:anchorId="5873BDB3" wp14:editId="6B417209">
                <wp:extent cx="533400" cy="533400"/>
                <wp:effectExtent l="0" t="0" r="0" b="0"/>
                <wp:docPr id="35" name="Picture 35"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BEEC132" w14:textId="337B2957" w:rsidR="00394700" w:rsidRDefault="00394700" w:rsidP="00394700">
          <w:pPr>
            <w:rPr>
              <w:rFonts w:eastAsia="VIC" w:cs="VIC"/>
              <w:szCs w:val="22"/>
              <w:lang w:val="en-US" w:eastAsia="en-US"/>
            </w:rPr>
          </w:pPr>
          <w:r w:rsidRPr="00067C5D">
            <w:rPr>
              <w:rFonts w:eastAsia="VIC" w:cs="VIC"/>
              <w:szCs w:val="22"/>
              <w:lang w:val="en-US" w:eastAsia="en-US"/>
            </w:rPr>
            <w:br/>
            <w:t xml:space="preserve">If you need interpreter assistance or want this document translated, please call 131 450 and advise your preferred language. If you are deaf, or have a hearing or speech impairment, contact us through the </w:t>
          </w:r>
          <w:hyperlink r:id="rId18" w:history="1">
            <w:r w:rsidRPr="00067C5D">
              <w:rPr>
                <w:rFonts w:eastAsia="VIC" w:cs="VIC"/>
                <w:szCs w:val="22"/>
                <w:lang w:val="en-US" w:eastAsia="en-US"/>
              </w:rPr>
              <w:t>National Relay Service</w:t>
            </w:r>
          </w:hyperlink>
        </w:p>
        <w:p w14:paraId="52BFFDA4" w14:textId="77777777" w:rsidR="00394700" w:rsidRDefault="00394700" w:rsidP="00394700">
          <w:pPr>
            <w:rPr>
              <w:rFonts w:eastAsia="VIC" w:cs="VIC"/>
              <w:szCs w:val="22"/>
              <w:lang w:val="en-US" w:eastAsia="en-US"/>
            </w:rPr>
          </w:pPr>
        </w:p>
        <w:p w14:paraId="4CFE724C" w14:textId="11E8E95E" w:rsidR="009940F2" w:rsidRDefault="009940F2">
          <w:pPr>
            <w:spacing w:after="0"/>
            <w:rPr>
              <w:color w:val="005FB4"/>
            </w:rPr>
          </w:pPr>
        </w:p>
        <w:p w14:paraId="037C7E2A" w14:textId="77777777" w:rsidR="009940F2" w:rsidRPr="00067C5D" w:rsidRDefault="009940F2" w:rsidP="009940F2">
          <w:pPr>
            <w:pStyle w:val="TOCHeading"/>
            <w:rPr>
              <w:b/>
              <w:bCs/>
            </w:rPr>
          </w:pPr>
          <w:r w:rsidRPr="00067C5D">
            <w:rPr>
              <w:b/>
              <w:bCs/>
            </w:rPr>
            <w:lastRenderedPageBreak/>
            <w:t>Disclaimer</w:t>
          </w:r>
        </w:p>
        <w:p w14:paraId="2B9078A1" w14:textId="5F02C1DF" w:rsidR="004B44EB" w:rsidRPr="00067C5D" w:rsidRDefault="009940F2" w:rsidP="00067C5D">
          <w:pPr>
            <w:pStyle w:val="BodyText"/>
            <w:sectPr w:rsidR="004B44EB" w:rsidRPr="00067C5D" w:rsidSect="00D866DC">
              <w:headerReference w:type="even" r:id="rId19"/>
              <w:footerReference w:type="default" r:id="rId20"/>
              <w:headerReference w:type="first" r:id="rId21"/>
              <w:pgSz w:w="11910" w:h="16840"/>
              <w:pgMar w:top="1500" w:right="460" w:bottom="1840" w:left="862" w:header="745" w:footer="747" w:gutter="0"/>
              <w:pgNumType w:start="1"/>
              <w:cols w:space="720"/>
            </w:sectPr>
          </w:pPr>
          <w:r>
            <w:t xml:space="preserve">EPA guidance does not impose compliance obligations. Guidance is designed to provide information to help duty holders understand their obligations under the </w:t>
          </w:r>
          <w:r w:rsidRPr="004667EB">
            <w:rPr>
              <w:i/>
              <w:iCs/>
            </w:rPr>
            <w:t>Environment Protection Act 2017</w:t>
          </w:r>
          <w:r>
            <w:t xml:space="preserve"> and subordinate instruments, including by providing examples of approaches to compliance. In doing so, guidance may refer to, </w:t>
          </w:r>
          <w:proofErr w:type="gramStart"/>
          <w:r>
            <w:t>restate</w:t>
          </w:r>
          <w:proofErr w:type="gramEnd"/>
          <w:r>
            <w:t xml:space="preserve"> or clarify EPA’s approach to statutory obligations in general terms. It does not constitute legal or other professional advice and should not be relied on as a statement of the law. Because it has broad application, it may contain </w:t>
          </w:r>
          <w:proofErr w:type="spellStart"/>
          <w:r>
            <w:t>generalisations</w:t>
          </w:r>
          <w:proofErr w:type="spellEnd"/>
          <w:r>
            <w:t xml:space="preserve"> that are not applicable to you or your </w:t>
          </w:r>
          <w:proofErr w:type="gramStart"/>
          <w:r>
            <w:t>particular circumstances</w:t>
          </w:r>
          <w:proofErr w:type="gramEnd"/>
          <w:r>
            <w:t xml:space="preserve">. You should obtain professional advice or contact EPA if you have any specific concern. EPA Victoria has made every reasonable effort to provide current and accurate information, but does not make any guarantees regarding the accuracy, </w:t>
          </w:r>
          <w:proofErr w:type="gramStart"/>
          <w:r>
            <w:t>currency</w:t>
          </w:r>
          <w:proofErr w:type="gramEnd"/>
          <w:r>
            <w:t xml:space="preserve"> or completeness of the information.</w:t>
          </w:r>
        </w:p>
        <w:p w14:paraId="46B7E754" w14:textId="5F51D1C4" w:rsidR="00F64C68" w:rsidRDefault="00525522" w:rsidP="000130D0">
          <w:pPr>
            <w:pStyle w:val="Heading1"/>
          </w:pPr>
          <w:bookmarkStart w:id="6" w:name="_Toc114045785"/>
          <w:bookmarkStart w:id="7" w:name="_Toc114046094"/>
          <w:bookmarkStart w:id="8" w:name="_Toc114565642"/>
          <w:bookmarkStart w:id="9" w:name="_Toc114565870"/>
          <w:bookmarkStart w:id="10" w:name="_Toc114566191"/>
          <w:r w:rsidRPr="00525522">
            <w:lastRenderedPageBreak/>
            <w:t>Contents</w:t>
          </w:r>
          <w:bookmarkEnd w:id="6"/>
          <w:bookmarkEnd w:id="7"/>
          <w:bookmarkEnd w:id="8"/>
          <w:bookmarkEnd w:id="9"/>
          <w:bookmarkEnd w:id="10"/>
        </w:p>
        <w:sdt>
          <w:sdtPr>
            <w:rPr>
              <w:rFonts w:ascii="VIC" w:eastAsia="Times New Roman" w:hAnsi="VIC" w:cs="Arial"/>
              <w:color w:val="auto"/>
              <w:szCs w:val="20"/>
              <w:lang w:val="en-AU" w:eastAsia="en-AU"/>
            </w:rPr>
            <w:id w:val="-1108578434"/>
            <w:docPartObj>
              <w:docPartGallery w:val="Table of Contents"/>
              <w:docPartUnique/>
            </w:docPartObj>
          </w:sdtPr>
          <w:sdtEndPr>
            <w:rPr>
              <w:rFonts w:ascii="VIC-Medium" w:eastAsia="VIC-Medium" w:hAnsi="VIC-Medium" w:cs="VIC-Medium"/>
              <w:b/>
              <w:bCs/>
              <w:noProof/>
              <w:color w:val="0A3C73"/>
              <w:szCs w:val="24"/>
              <w:lang w:val="en-US" w:eastAsia="en-US"/>
            </w:rPr>
          </w:sdtEndPr>
          <w:sdtContent>
            <w:p w14:paraId="769585E4" w14:textId="27F4A372" w:rsidR="00415D8D" w:rsidRDefault="0031313C" w:rsidP="00E21E00">
              <w:pPr>
                <w:pStyle w:val="TOC2"/>
                <w:tabs>
                  <w:tab w:val="right" w:leader="dot" w:pos="10163"/>
                </w:tabs>
                <w:rPr>
                  <w:rFonts w:asciiTheme="minorHAnsi" w:eastAsiaTheme="minorEastAsia" w:hAnsiTheme="minorHAnsi" w:cstheme="minorBidi"/>
                  <w:noProof/>
                  <w:color w:val="auto"/>
                  <w:sz w:val="22"/>
                </w:rPr>
              </w:pPr>
              <w:r w:rsidRPr="00E21E00">
                <w:rPr>
                  <w:rFonts w:asciiTheme="majorHAnsi" w:eastAsiaTheme="majorEastAsia" w:hAnsiTheme="majorHAnsi" w:cstheme="majorBidi"/>
                  <w:color w:val="2F5496" w:themeColor="accent1" w:themeShade="BF"/>
                  <w:sz w:val="28"/>
                  <w:szCs w:val="28"/>
                </w:rPr>
                <w:fldChar w:fldCharType="begin"/>
              </w:r>
              <w:r w:rsidRPr="00E21E00">
                <w:rPr>
                  <w:sz w:val="18"/>
                  <w:szCs w:val="20"/>
                </w:rPr>
                <w:instrText xml:space="preserve"> TOC \o "1-3" \h \z \u </w:instrText>
              </w:r>
              <w:r w:rsidRPr="00E21E00">
                <w:rPr>
                  <w:rFonts w:asciiTheme="majorHAnsi" w:eastAsiaTheme="majorEastAsia" w:hAnsiTheme="majorHAnsi" w:cstheme="majorBidi"/>
                  <w:color w:val="2F5496" w:themeColor="accent1" w:themeShade="BF"/>
                  <w:sz w:val="28"/>
                  <w:szCs w:val="28"/>
                </w:rPr>
                <w:fldChar w:fldCharType="separate"/>
              </w:r>
            </w:p>
            <w:p w14:paraId="613E6FE4" w14:textId="0FCA864E"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192" w:history="1">
                <w:r w:rsidR="00415D8D" w:rsidRPr="000102AA">
                  <w:rPr>
                    <w:rStyle w:val="Hyperlink"/>
                    <w:b/>
                    <w:bCs/>
                    <w:noProof/>
                  </w:rPr>
                  <w:t>1.</w:t>
                </w:r>
                <w:r w:rsidR="00415D8D">
                  <w:rPr>
                    <w:rFonts w:asciiTheme="minorHAnsi" w:eastAsiaTheme="minorEastAsia" w:hAnsiTheme="minorHAnsi" w:cstheme="minorBidi"/>
                    <w:noProof/>
                    <w:color w:val="auto"/>
                    <w:sz w:val="22"/>
                    <w:szCs w:val="22"/>
                  </w:rPr>
                  <w:tab/>
                </w:r>
                <w:r w:rsidR="00415D8D" w:rsidRPr="000102AA">
                  <w:rPr>
                    <w:rStyle w:val="Hyperlink"/>
                    <w:b/>
                    <w:bCs/>
                    <w:noProof/>
                  </w:rPr>
                  <w:t>Introduction</w:t>
                </w:r>
                <w:r w:rsidR="00415D8D">
                  <w:rPr>
                    <w:noProof/>
                    <w:webHidden/>
                  </w:rPr>
                  <w:tab/>
                </w:r>
                <w:r w:rsidR="00415D8D">
                  <w:rPr>
                    <w:noProof/>
                    <w:webHidden/>
                  </w:rPr>
                  <w:fldChar w:fldCharType="begin"/>
                </w:r>
                <w:r w:rsidR="00415D8D">
                  <w:rPr>
                    <w:noProof/>
                    <w:webHidden/>
                  </w:rPr>
                  <w:instrText xml:space="preserve"> PAGEREF _Toc114566192 \h </w:instrText>
                </w:r>
                <w:r w:rsidR="00415D8D">
                  <w:rPr>
                    <w:noProof/>
                    <w:webHidden/>
                  </w:rPr>
                </w:r>
                <w:r w:rsidR="00415D8D">
                  <w:rPr>
                    <w:noProof/>
                    <w:webHidden/>
                  </w:rPr>
                  <w:fldChar w:fldCharType="separate"/>
                </w:r>
                <w:r w:rsidR="00F34493">
                  <w:rPr>
                    <w:noProof/>
                    <w:webHidden/>
                  </w:rPr>
                  <w:t>5</w:t>
                </w:r>
                <w:r w:rsidR="00415D8D">
                  <w:rPr>
                    <w:noProof/>
                    <w:webHidden/>
                  </w:rPr>
                  <w:fldChar w:fldCharType="end"/>
                </w:r>
              </w:hyperlink>
            </w:p>
            <w:p w14:paraId="3357659B" w14:textId="5ECAE15E"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193" w:history="1">
                <w:r w:rsidR="00415D8D" w:rsidRPr="000102AA">
                  <w:rPr>
                    <w:rStyle w:val="Hyperlink"/>
                    <w:noProof/>
                  </w:rPr>
                  <w:t>1.1</w:t>
                </w:r>
                <w:r w:rsidR="00415D8D">
                  <w:rPr>
                    <w:rFonts w:asciiTheme="minorHAnsi" w:eastAsiaTheme="minorEastAsia" w:hAnsiTheme="minorHAnsi" w:cstheme="minorBidi"/>
                    <w:noProof/>
                    <w:color w:val="auto"/>
                    <w:sz w:val="22"/>
                  </w:rPr>
                  <w:tab/>
                </w:r>
                <w:r w:rsidR="00415D8D" w:rsidRPr="000102AA">
                  <w:rPr>
                    <w:rStyle w:val="Hyperlink"/>
                    <w:noProof/>
                  </w:rPr>
                  <w:t>Climate change</w:t>
                </w:r>
                <w:r w:rsidR="00415D8D">
                  <w:rPr>
                    <w:noProof/>
                    <w:webHidden/>
                  </w:rPr>
                  <w:tab/>
                </w:r>
                <w:r w:rsidR="00415D8D">
                  <w:rPr>
                    <w:noProof/>
                    <w:webHidden/>
                  </w:rPr>
                  <w:fldChar w:fldCharType="begin"/>
                </w:r>
                <w:r w:rsidR="00415D8D">
                  <w:rPr>
                    <w:noProof/>
                    <w:webHidden/>
                  </w:rPr>
                  <w:instrText xml:space="preserve"> PAGEREF _Toc114566193 \h </w:instrText>
                </w:r>
                <w:r w:rsidR="00415D8D">
                  <w:rPr>
                    <w:noProof/>
                    <w:webHidden/>
                  </w:rPr>
                </w:r>
                <w:r w:rsidR="00415D8D">
                  <w:rPr>
                    <w:noProof/>
                    <w:webHidden/>
                  </w:rPr>
                  <w:fldChar w:fldCharType="separate"/>
                </w:r>
                <w:r w:rsidR="00F34493">
                  <w:rPr>
                    <w:noProof/>
                    <w:webHidden/>
                  </w:rPr>
                  <w:t>5</w:t>
                </w:r>
                <w:r w:rsidR="00415D8D">
                  <w:rPr>
                    <w:noProof/>
                    <w:webHidden/>
                  </w:rPr>
                  <w:fldChar w:fldCharType="end"/>
                </w:r>
              </w:hyperlink>
            </w:p>
            <w:p w14:paraId="3AE1B4BD" w14:textId="4C6BEE4E"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194" w:history="1">
                <w:r w:rsidR="00415D8D" w:rsidRPr="000102AA">
                  <w:rPr>
                    <w:rStyle w:val="Hyperlink"/>
                    <w:noProof/>
                  </w:rPr>
                  <w:t>1.2</w:t>
                </w:r>
                <w:r w:rsidR="00415D8D">
                  <w:rPr>
                    <w:rFonts w:asciiTheme="minorHAnsi" w:eastAsiaTheme="minorEastAsia" w:hAnsiTheme="minorHAnsi" w:cstheme="minorBidi"/>
                    <w:noProof/>
                    <w:color w:val="auto"/>
                    <w:sz w:val="22"/>
                  </w:rPr>
                  <w:tab/>
                </w:r>
                <w:r w:rsidR="00415D8D" w:rsidRPr="000102AA">
                  <w:rPr>
                    <w:rStyle w:val="Hyperlink"/>
                    <w:noProof/>
                  </w:rPr>
                  <w:t>Purpose</w:t>
                </w:r>
                <w:r w:rsidR="00415D8D">
                  <w:rPr>
                    <w:noProof/>
                    <w:webHidden/>
                  </w:rPr>
                  <w:tab/>
                </w:r>
                <w:r w:rsidR="00415D8D">
                  <w:rPr>
                    <w:noProof/>
                    <w:webHidden/>
                  </w:rPr>
                  <w:fldChar w:fldCharType="begin"/>
                </w:r>
                <w:r w:rsidR="00415D8D">
                  <w:rPr>
                    <w:noProof/>
                    <w:webHidden/>
                  </w:rPr>
                  <w:instrText xml:space="preserve"> PAGEREF _Toc114566194 \h </w:instrText>
                </w:r>
                <w:r w:rsidR="00415D8D">
                  <w:rPr>
                    <w:noProof/>
                    <w:webHidden/>
                  </w:rPr>
                </w:r>
                <w:r w:rsidR="00415D8D">
                  <w:rPr>
                    <w:noProof/>
                    <w:webHidden/>
                  </w:rPr>
                  <w:fldChar w:fldCharType="separate"/>
                </w:r>
                <w:r w:rsidR="00F34493">
                  <w:rPr>
                    <w:noProof/>
                    <w:webHidden/>
                  </w:rPr>
                  <w:t>7</w:t>
                </w:r>
                <w:r w:rsidR="00415D8D">
                  <w:rPr>
                    <w:noProof/>
                    <w:webHidden/>
                  </w:rPr>
                  <w:fldChar w:fldCharType="end"/>
                </w:r>
              </w:hyperlink>
            </w:p>
            <w:p w14:paraId="7FDF90CC" w14:textId="5A0DE110"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195" w:history="1">
                <w:r w:rsidR="00415D8D" w:rsidRPr="000102AA">
                  <w:rPr>
                    <w:rStyle w:val="Hyperlink"/>
                    <w:noProof/>
                  </w:rPr>
                  <w:t>1.3</w:t>
                </w:r>
                <w:r w:rsidR="00415D8D">
                  <w:rPr>
                    <w:rFonts w:asciiTheme="minorHAnsi" w:eastAsiaTheme="minorEastAsia" w:hAnsiTheme="minorHAnsi" w:cstheme="minorBidi"/>
                    <w:noProof/>
                    <w:color w:val="auto"/>
                    <w:sz w:val="22"/>
                  </w:rPr>
                  <w:tab/>
                </w:r>
                <w:r w:rsidR="00415D8D" w:rsidRPr="000102AA">
                  <w:rPr>
                    <w:rStyle w:val="Hyperlink"/>
                    <w:noProof/>
                  </w:rPr>
                  <w:t>Regulatory context</w:t>
                </w:r>
                <w:r w:rsidR="00415D8D">
                  <w:rPr>
                    <w:noProof/>
                    <w:webHidden/>
                  </w:rPr>
                  <w:tab/>
                </w:r>
                <w:r w:rsidR="00415D8D">
                  <w:rPr>
                    <w:noProof/>
                    <w:webHidden/>
                  </w:rPr>
                  <w:fldChar w:fldCharType="begin"/>
                </w:r>
                <w:r w:rsidR="00415D8D">
                  <w:rPr>
                    <w:noProof/>
                    <w:webHidden/>
                  </w:rPr>
                  <w:instrText xml:space="preserve"> PAGEREF _Toc114566195 \h </w:instrText>
                </w:r>
                <w:r w:rsidR="00415D8D">
                  <w:rPr>
                    <w:noProof/>
                    <w:webHidden/>
                  </w:rPr>
                </w:r>
                <w:r w:rsidR="00415D8D">
                  <w:rPr>
                    <w:noProof/>
                    <w:webHidden/>
                  </w:rPr>
                  <w:fldChar w:fldCharType="separate"/>
                </w:r>
                <w:r w:rsidR="00F34493">
                  <w:rPr>
                    <w:noProof/>
                    <w:webHidden/>
                  </w:rPr>
                  <w:t>8</w:t>
                </w:r>
                <w:r w:rsidR="00415D8D">
                  <w:rPr>
                    <w:noProof/>
                    <w:webHidden/>
                  </w:rPr>
                  <w:fldChar w:fldCharType="end"/>
                </w:r>
              </w:hyperlink>
            </w:p>
            <w:p w14:paraId="3EC2CFA8" w14:textId="4F42B941"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196" w:history="1">
                <w:r w:rsidR="00415D8D" w:rsidRPr="000102AA">
                  <w:rPr>
                    <w:rStyle w:val="Hyperlink"/>
                    <w:noProof/>
                  </w:rPr>
                  <w:t>1.3.1</w:t>
                </w:r>
                <w:r w:rsidR="00415D8D">
                  <w:rPr>
                    <w:rFonts w:asciiTheme="minorHAnsi" w:eastAsiaTheme="minorEastAsia" w:hAnsiTheme="minorHAnsi" w:cstheme="minorBidi"/>
                    <w:noProof/>
                    <w:color w:val="auto"/>
                    <w:sz w:val="22"/>
                  </w:rPr>
                  <w:tab/>
                </w:r>
                <w:r w:rsidR="00415D8D" w:rsidRPr="000102AA">
                  <w:rPr>
                    <w:rStyle w:val="Hyperlink"/>
                    <w:noProof/>
                  </w:rPr>
                  <w:t>General environmental duty</w:t>
                </w:r>
                <w:r w:rsidR="00415D8D">
                  <w:rPr>
                    <w:noProof/>
                    <w:webHidden/>
                  </w:rPr>
                  <w:tab/>
                </w:r>
                <w:r w:rsidR="00415D8D">
                  <w:rPr>
                    <w:noProof/>
                    <w:webHidden/>
                  </w:rPr>
                  <w:fldChar w:fldCharType="begin"/>
                </w:r>
                <w:r w:rsidR="00415D8D">
                  <w:rPr>
                    <w:noProof/>
                    <w:webHidden/>
                  </w:rPr>
                  <w:instrText xml:space="preserve"> PAGEREF _Toc114566196 \h </w:instrText>
                </w:r>
                <w:r w:rsidR="00415D8D">
                  <w:rPr>
                    <w:noProof/>
                    <w:webHidden/>
                  </w:rPr>
                </w:r>
                <w:r w:rsidR="00415D8D">
                  <w:rPr>
                    <w:noProof/>
                    <w:webHidden/>
                  </w:rPr>
                  <w:fldChar w:fldCharType="separate"/>
                </w:r>
                <w:r w:rsidR="00F34493">
                  <w:rPr>
                    <w:noProof/>
                    <w:webHidden/>
                  </w:rPr>
                  <w:t>8</w:t>
                </w:r>
                <w:r w:rsidR="00415D8D">
                  <w:rPr>
                    <w:noProof/>
                    <w:webHidden/>
                  </w:rPr>
                  <w:fldChar w:fldCharType="end"/>
                </w:r>
              </w:hyperlink>
            </w:p>
            <w:p w14:paraId="52A52916" w14:textId="2B8C962A"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197" w:history="1">
                <w:r w:rsidR="00415D8D" w:rsidRPr="000102AA">
                  <w:rPr>
                    <w:rStyle w:val="Hyperlink"/>
                    <w:b/>
                    <w:bCs/>
                    <w:noProof/>
                  </w:rPr>
                  <w:t>2.</w:t>
                </w:r>
                <w:r w:rsidR="00415D8D">
                  <w:rPr>
                    <w:rFonts w:asciiTheme="minorHAnsi" w:eastAsiaTheme="minorEastAsia" w:hAnsiTheme="minorHAnsi" w:cstheme="minorBidi"/>
                    <w:noProof/>
                    <w:color w:val="auto"/>
                    <w:sz w:val="22"/>
                    <w:szCs w:val="22"/>
                  </w:rPr>
                  <w:tab/>
                </w:r>
                <w:r w:rsidR="00415D8D" w:rsidRPr="000102AA">
                  <w:rPr>
                    <w:rStyle w:val="Hyperlink"/>
                    <w:b/>
                    <w:bCs/>
                    <w:noProof/>
                  </w:rPr>
                  <w:t>GHG emission risk management framework</w:t>
                </w:r>
                <w:r w:rsidR="00415D8D">
                  <w:rPr>
                    <w:noProof/>
                    <w:webHidden/>
                  </w:rPr>
                  <w:tab/>
                </w:r>
                <w:r w:rsidR="00415D8D">
                  <w:rPr>
                    <w:noProof/>
                    <w:webHidden/>
                  </w:rPr>
                  <w:fldChar w:fldCharType="begin"/>
                </w:r>
                <w:r w:rsidR="00415D8D">
                  <w:rPr>
                    <w:noProof/>
                    <w:webHidden/>
                  </w:rPr>
                  <w:instrText xml:space="preserve"> PAGEREF _Toc114566197 \h </w:instrText>
                </w:r>
                <w:r w:rsidR="00415D8D">
                  <w:rPr>
                    <w:noProof/>
                    <w:webHidden/>
                  </w:rPr>
                </w:r>
                <w:r w:rsidR="00415D8D">
                  <w:rPr>
                    <w:noProof/>
                    <w:webHidden/>
                  </w:rPr>
                  <w:fldChar w:fldCharType="separate"/>
                </w:r>
                <w:r w:rsidR="00F34493">
                  <w:rPr>
                    <w:noProof/>
                    <w:webHidden/>
                  </w:rPr>
                  <w:t>11</w:t>
                </w:r>
                <w:r w:rsidR="00415D8D">
                  <w:rPr>
                    <w:noProof/>
                    <w:webHidden/>
                  </w:rPr>
                  <w:fldChar w:fldCharType="end"/>
                </w:r>
              </w:hyperlink>
            </w:p>
            <w:p w14:paraId="25260EA8" w14:textId="2E78BA76"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198" w:history="1">
                <w:r w:rsidR="00415D8D" w:rsidRPr="000102AA">
                  <w:rPr>
                    <w:rStyle w:val="Hyperlink"/>
                    <w:noProof/>
                  </w:rPr>
                  <w:t>2.1</w:t>
                </w:r>
                <w:r w:rsidR="00415D8D">
                  <w:rPr>
                    <w:rFonts w:asciiTheme="minorHAnsi" w:eastAsiaTheme="minorEastAsia" w:hAnsiTheme="minorHAnsi" w:cstheme="minorBidi"/>
                    <w:noProof/>
                    <w:color w:val="auto"/>
                    <w:sz w:val="22"/>
                  </w:rPr>
                  <w:tab/>
                </w:r>
                <w:r w:rsidR="00415D8D" w:rsidRPr="000102AA">
                  <w:rPr>
                    <w:rStyle w:val="Hyperlink"/>
                    <w:noProof/>
                  </w:rPr>
                  <w:t>Steps in identifying, assessing and controlling GHG emission risks</w:t>
                </w:r>
                <w:r w:rsidR="00415D8D">
                  <w:rPr>
                    <w:noProof/>
                    <w:webHidden/>
                  </w:rPr>
                  <w:tab/>
                </w:r>
                <w:r w:rsidR="00415D8D">
                  <w:rPr>
                    <w:noProof/>
                    <w:webHidden/>
                  </w:rPr>
                  <w:fldChar w:fldCharType="begin"/>
                </w:r>
                <w:r w:rsidR="00415D8D">
                  <w:rPr>
                    <w:noProof/>
                    <w:webHidden/>
                  </w:rPr>
                  <w:instrText xml:space="preserve"> PAGEREF _Toc114566198 \h </w:instrText>
                </w:r>
                <w:r w:rsidR="00415D8D">
                  <w:rPr>
                    <w:noProof/>
                    <w:webHidden/>
                  </w:rPr>
                </w:r>
                <w:r w:rsidR="00415D8D">
                  <w:rPr>
                    <w:noProof/>
                    <w:webHidden/>
                  </w:rPr>
                  <w:fldChar w:fldCharType="separate"/>
                </w:r>
                <w:r w:rsidR="00F34493">
                  <w:rPr>
                    <w:noProof/>
                    <w:webHidden/>
                  </w:rPr>
                  <w:t>11</w:t>
                </w:r>
                <w:r w:rsidR="00415D8D">
                  <w:rPr>
                    <w:noProof/>
                    <w:webHidden/>
                  </w:rPr>
                  <w:fldChar w:fldCharType="end"/>
                </w:r>
              </w:hyperlink>
            </w:p>
            <w:p w14:paraId="400CF875" w14:textId="7878B2C8"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199" w:history="1">
                <w:r w:rsidR="00415D8D" w:rsidRPr="000102AA">
                  <w:rPr>
                    <w:rStyle w:val="Hyperlink"/>
                    <w:b/>
                    <w:bCs/>
                    <w:noProof/>
                  </w:rPr>
                  <w:t>3.</w:t>
                </w:r>
                <w:r w:rsidR="00415D8D">
                  <w:rPr>
                    <w:rFonts w:asciiTheme="minorHAnsi" w:eastAsiaTheme="minorEastAsia" w:hAnsiTheme="minorHAnsi" w:cstheme="minorBidi"/>
                    <w:noProof/>
                    <w:color w:val="auto"/>
                    <w:sz w:val="22"/>
                    <w:szCs w:val="22"/>
                  </w:rPr>
                  <w:tab/>
                </w:r>
                <w:r w:rsidR="00415D8D" w:rsidRPr="000102AA">
                  <w:rPr>
                    <w:rStyle w:val="Hyperlink"/>
                    <w:b/>
                    <w:bCs/>
                    <w:noProof/>
                  </w:rPr>
                  <w:t>Step 1 – Identifying your GHG emission sources</w:t>
                </w:r>
                <w:r w:rsidR="00415D8D">
                  <w:rPr>
                    <w:noProof/>
                    <w:webHidden/>
                  </w:rPr>
                  <w:tab/>
                </w:r>
                <w:r w:rsidR="00415D8D">
                  <w:rPr>
                    <w:noProof/>
                    <w:webHidden/>
                  </w:rPr>
                  <w:fldChar w:fldCharType="begin"/>
                </w:r>
                <w:r w:rsidR="00415D8D">
                  <w:rPr>
                    <w:noProof/>
                    <w:webHidden/>
                  </w:rPr>
                  <w:instrText xml:space="preserve"> PAGEREF _Toc114566199 \h </w:instrText>
                </w:r>
                <w:r w:rsidR="00415D8D">
                  <w:rPr>
                    <w:noProof/>
                    <w:webHidden/>
                  </w:rPr>
                </w:r>
                <w:r w:rsidR="00415D8D">
                  <w:rPr>
                    <w:noProof/>
                    <w:webHidden/>
                  </w:rPr>
                  <w:fldChar w:fldCharType="separate"/>
                </w:r>
                <w:r w:rsidR="00F34493">
                  <w:rPr>
                    <w:noProof/>
                    <w:webHidden/>
                  </w:rPr>
                  <w:t>12</w:t>
                </w:r>
                <w:r w:rsidR="00415D8D">
                  <w:rPr>
                    <w:noProof/>
                    <w:webHidden/>
                  </w:rPr>
                  <w:fldChar w:fldCharType="end"/>
                </w:r>
              </w:hyperlink>
            </w:p>
            <w:p w14:paraId="4CA46789" w14:textId="245D5A6A"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0" w:history="1">
                <w:r w:rsidR="00415D8D" w:rsidRPr="000102AA">
                  <w:rPr>
                    <w:rStyle w:val="Hyperlink"/>
                    <w:noProof/>
                  </w:rPr>
                  <w:t>3.1</w:t>
                </w:r>
                <w:r w:rsidR="00415D8D">
                  <w:rPr>
                    <w:rFonts w:asciiTheme="minorHAnsi" w:eastAsiaTheme="minorEastAsia" w:hAnsiTheme="minorHAnsi" w:cstheme="minorBidi"/>
                    <w:noProof/>
                    <w:color w:val="auto"/>
                    <w:sz w:val="22"/>
                  </w:rPr>
                  <w:tab/>
                </w:r>
                <w:r w:rsidR="00415D8D" w:rsidRPr="000102AA">
                  <w:rPr>
                    <w:rStyle w:val="Hyperlink"/>
                    <w:noProof/>
                  </w:rPr>
                  <w:t>Scope 1 GHG emissions</w:t>
                </w:r>
                <w:r w:rsidR="00415D8D">
                  <w:rPr>
                    <w:noProof/>
                    <w:webHidden/>
                  </w:rPr>
                  <w:tab/>
                </w:r>
                <w:r w:rsidR="00415D8D">
                  <w:rPr>
                    <w:noProof/>
                    <w:webHidden/>
                  </w:rPr>
                  <w:fldChar w:fldCharType="begin"/>
                </w:r>
                <w:r w:rsidR="00415D8D">
                  <w:rPr>
                    <w:noProof/>
                    <w:webHidden/>
                  </w:rPr>
                  <w:instrText xml:space="preserve"> PAGEREF _Toc114566200 \h </w:instrText>
                </w:r>
                <w:r w:rsidR="00415D8D">
                  <w:rPr>
                    <w:noProof/>
                    <w:webHidden/>
                  </w:rPr>
                </w:r>
                <w:r w:rsidR="00415D8D">
                  <w:rPr>
                    <w:noProof/>
                    <w:webHidden/>
                  </w:rPr>
                  <w:fldChar w:fldCharType="separate"/>
                </w:r>
                <w:r w:rsidR="00F34493">
                  <w:rPr>
                    <w:noProof/>
                    <w:webHidden/>
                  </w:rPr>
                  <w:t>12</w:t>
                </w:r>
                <w:r w:rsidR="00415D8D">
                  <w:rPr>
                    <w:noProof/>
                    <w:webHidden/>
                  </w:rPr>
                  <w:fldChar w:fldCharType="end"/>
                </w:r>
              </w:hyperlink>
            </w:p>
            <w:p w14:paraId="5A24D41A" w14:textId="2185FF67"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1" w:history="1">
                <w:r w:rsidR="00415D8D" w:rsidRPr="000102AA">
                  <w:rPr>
                    <w:rStyle w:val="Hyperlink"/>
                    <w:noProof/>
                  </w:rPr>
                  <w:t>3.2</w:t>
                </w:r>
                <w:r w:rsidR="00415D8D">
                  <w:rPr>
                    <w:rFonts w:asciiTheme="minorHAnsi" w:eastAsiaTheme="minorEastAsia" w:hAnsiTheme="minorHAnsi" w:cstheme="minorBidi"/>
                    <w:noProof/>
                    <w:color w:val="auto"/>
                    <w:sz w:val="22"/>
                  </w:rPr>
                  <w:tab/>
                </w:r>
                <w:r w:rsidR="00415D8D" w:rsidRPr="000102AA">
                  <w:rPr>
                    <w:rStyle w:val="Hyperlink"/>
                    <w:noProof/>
                  </w:rPr>
                  <w:t>Scope 2 GHG emissions</w:t>
                </w:r>
                <w:r w:rsidR="00415D8D">
                  <w:rPr>
                    <w:noProof/>
                    <w:webHidden/>
                  </w:rPr>
                  <w:tab/>
                </w:r>
                <w:r w:rsidR="00415D8D">
                  <w:rPr>
                    <w:noProof/>
                    <w:webHidden/>
                  </w:rPr>
                  <w:fldChar w:fldCharType="begin"/>
                </w:r>
                <w:r w:rsidR="00415D8D">
                  <w:rPr>
                    <w:noProof/>
                    <w:webHidden/>
                  </w:rPr>
                  <w:instrText xml:space="preserve"> PAGEREF _Toc114566201 \h </w:instrText>
                </w:r>
                <w:r w:rsidR="00415D8D">
                  <w:rPr>
                    <w:noProof/>
                    <w:webHidden/>
                  </w:rPr>
                </w:r>
                <w:r w:rsidR="00415D8D">
                  <w:rPr>
                    <w:noProof/>
                    <w:webHidden/>
                  </w:rPr>
                  <w:fldChar w:fldCharType="separate"/>
                </w:r>
                <w:r w:rsidR="00F34493">
                  <w:rPr>
                    <w:noProof/>
                    <w:webHidden/>
                  </w:rPr>
                  <w:t>13</w:t>
                </w:r>
                <w:r w:rsidR="00415D8D">
                  <w:rPr>
                    <w:noProof/>
                    <w:webHidden/>
                  </w:rPr>
                  <w:fldChar w:fldCharType="end"/>
                </w:r>
              </w:hyperlink>
            </w:p>
            <w:p w14:paraId="51E9C169" w14:textId="57EBB9EC"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2" w:history="1">
                <w:r w:rsidR="00415D8D" w:rsidRPr="000102AA">
                  <w:rPr>
                    <w:rStyle w:val="Hyperlink"/>
                    <w:noProof/>
                  </w:rPr>
                  <w:t>3.3</w:t>
                </w:r>
                <w:r w:rsidR="00415D8D">
                  <w:rPr>
                    <w:rFonts w:asciiTheme="minorHAnsi" w:eastAsiaTheme="minorEastAsia" w:hAnsiTheme="minorHAnsi" w:cstheme="minorBidi"/>
                    <w:noProof/>
                    <w:color w:val="auto"/>
                    <w:sz w:val="22"/>
                  </w:rPr>
                  <w:tab/>
                </w:r>
                <w:r w:rsidR="00415D8D" w:rsidRPr="000102AA">
                  <w:rPr>
                    <w:rStyle w:val="Hyperlink"/>
                    <w:noProof/>
                  </w:rPr>
                  <w:t>Scope 3 GHG emissions</w:t>
                </w:r>
                <w:r w:rsidR="00415D8D">
                  <w:rPr>
                    <w:noProof/>
                    <w:webHidden/>
                  </w:rPr>
                  <w:tab/>
                </w:r>
                <w:r w:rsidR="00415D8D">
                  <w:rPr>
                    <w:noProof/>
                    <w:webHidden/>
                  </w:rPr>
                  <w:fldChar w:fldCharType="begin"/>
                </w:r>
                <w:r w:rsidR="00415D8D">
                  <w:rPr>
                    <w:noProof/>
                    <w:webHidden/>
                  </w:rPr>
                  <w:instrText xml:space="preserve"> PAGEREF _Toc114566202 \h </w:instrText>
                </w:r>
                <w:r w:rsidR="00415D8D">
                  <w:rPr>
                    <w:noProof/>
                    <w:webHidden/>
                  </w:rPr>
                </w:r>
                <w:r w:rsidR="00415D8D">
                  <w:rPr>
                    <w:noProof/>
                    <w:webHidden/>
                  </w:rPr>
                  <w:fldChar w:fldCharType="separate"/>
                </w:r>
                <w:r w:rsidR="00F34493">
                  <w:rPr>
                    <w:noProof/>
                    <w:webHidden/>
                  </w:rPr>
                  <w:t>13</w:t>
                </w:r>
                <w:r w:rsidR="00415D8D">
                  <w:rPr>
                    <w:noProof/>
                    <w:webHidden/>
                  </w:rPr>
                  <w:fldChar w:fldCharType="end"/>
                </w:r>
              </w:hyperlink>
            </w:p>
            <w:p w14:paraId="0FADBC6E" w14:textId="3124866E"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03" w:history="1">
                <w:r w:rsidR="00415D8D" w:rsidRPr="000102AA">
                  <w:rPr>
                    <w:rStyle w:val="Hyperlink"/>
                    <w:b/>
                    <w:bCs/>
                    <w:noProof/>
                  </w:rPr>
                  <w:t>4.</w:t>
                </w:r>
                <w:r w:rsidR="00415D8D">
                  <w:rPr>
                    <w:rFonts w:asciiTheme="minorHAnsi" w:eastAsiaTheme="minorEastAsia" w:hAnsiTheme="minorHAnsi" w:cstheme="minorBidi"/>
                    <w:noProof/>
                    <w:color w:val="auto"/>
                    <w:sz w:val="22"/>
                    <w:szCs w:val="22"/>
                  </w:rPr>
                  <w:tab/>
                </w:r>
                <w:r w:rsidR="00415D8D" w:rsidRPr="000102AA">
                  <w:rPr>
                    <w:rStyle w:val="Hyperlink"/>
                    <w:b/>
                    <w:bCs/>
                    <w:noProof/>
                  </w:rPr>
                  <w:t>Step 2 – Assessing risks of harm from GHG</w:t>
                </w:r>
                <w:r w:rsidR="00415D8D" w:rsidRPr="000102AA">
                  <w:rPr>
                    <w:rStyle w:val="Hyperlink"/>
                    <w:rFonts w:ascii="Calibri" w:hAnsi="Calibri" w:cs="Calibri"/>
                    <w:b/>
                    <w:bCs/>
                    <w:noProof/>
                  </w:rPr>
                  <w:t> </w:t>
                </w:r>
                <w:r w:rsidR="00415D8D" w:rsidRPr="000102AA">
                  <w:rPr>
                    <w:rStyle w:val="Hyperlink"/>
                    <w:b/>
                    <w:bCs/>
                    <w:noProof/>
                  </w:rPr>
                  <w:t>emissions</w:t>
                </w:r>
                <w:r w:rsidR="00415D8D">
                  <w:rPr>
                    <w:noProof/>
                    <w:webHidden/>
                  </w:rPr>
                  <w:tab/>
                </w:r>
                <w:r w:rsidR="00415D8D">
                  <w:rPr>
                    <w:noProof/>
                    <w:webHidden/>
                  </w:rPr>
                  <w:fldChar w:fldCharType="begin"/>
                </w:r>
                <w:r w:rsidR="00415D8D">
                  <w:rPr>
                    <w:noProof/>
                    <w:webHidden/>
                  </w:rPr>
                  <w:instrText xml:space="preserve"> PAGEREF _Toc114566203 \h </w:instrText>
                </w:r>
                <w:r w:rsidR="00415D8D">
                  <w:rPr>
                    <w:noProof/>
                    <w:webHidden/>
                  </w:rPr>
                </w:r>
                <w:r w:rsidR="00415D8D">
                  <w:rPr>
                    <w:noProof/>
                    <w:webHidden/>
                  </w:rPr>
                  <w:fldChar w:fldCharType="separate"/>
                </w:r>
                <w:r w:rsidR="00F34493">
                  <w:rPr>
                    <w:noProof/>
                    <w:webHidden/>
                  </w:rPr>
                  <w:t>14</w:t>
                </w:r>
                <w:r w:rsidR="00415D8D">
                  <w:rPr>
                    <w:noProof/>
                    <w:webHidden/>
                  </w:rPr>
                  <w:fldChar w:fldCharType="end"/>
                </w:r>
              </w:hyperlink>
            </w:p>
            <w:p w14:paraId="17226EED" w14:textId="6D836C64"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4" w:history="1">
                <w:r w:rsidR="00415D8D" w:rsidRPr="000102AA">
                  <w:rPr>
                    <w:rStyle w:val="Hyperlink"/>
                    <w:noProof/>
                  </w:rPr>
                  <w:t>4.1</w:t>
                </w:r>
                <w:r w:rsidR="00415D8D">
                  <w:rPr>
                    <w:rFonts w:asciiTheme="minorHAnsi" w:eastAsiaTheme="minorEastAsia" w:hAnsiTheme="minorHAnsi" w:cstheme="minorBidi"/>
                    <w:noProof/>
                    <w:color w:val="auto"/>
                    <w:sz w:val="22"/>
                  </w:rPr>
                  <w:tab/>
                </w:r>
                <w:r w:rsidR="00415D8D" w:rsidRPr="000102AA">
                  <w:rPr>
                    <w:rStyle w:val="Hyperlink"/>
                    <w:noProof/>
                  </w:rPr>
                  <w:t>Calculating GHG emissions</w:t>
                </w:r>
                <w:r w:rsidR="00415D8D">
                  <w:rPr>
                    <w:noProof/>
                    <w:webHidden/>
                  </w:rPr>
                  <w:tab/>
                </w:r>
                <w:r w:rsidR="00415D8D">
                  <w:rPr>
                    <w:noProof/>
                    <w:webHidden/>
                  </w:rPr>
                  <w:fldChar w:fldCharType="begin"/>
                </w:r>
                <w:r w:rsidR="00415D8D">
                  <w:rPr>
                    <w:noProof/>
                    <w:webHidden/>
                  </w:rPr>
                  <w:instrText xml:space="preserve"> PAGEREF _Toc114566204 \h </w:instrText>
                </w:r>
                <w:r w:rsidR="00415D8D">
                  <w:rPr>
                    <w:noProof/>
                    <w:webHidden/>
                  </w:rPr>
                </w:r>
                <w:r w:rsidR="00415D8D">
                  <w:rPr>
                    <w:noProof/>
                    <w:webHidden/>
                  </w:rPr>
                  <w:fldChar w:fldCharType="separate"/>
                </w:r>
                <w:r w:rsidR="00F34493">
                  <w:rPr>
                    <w:noProof/>
                    <w:webHidden/>
                  </w:rPr>
                  <w:t>14</w:t>
                </w:r>
                <w:r w:rsidR="00415D8D">
                  <w:rPr>
                    <w:noProof/>
                    <w:webHidden/>
                  </w:rPr>
                  <w:fldChar w:fldCharType="end"/>
                </w:r>
              </w:hyperlink>
            </w:p>
            <w:p w14:paraId="1F063EF6" w14:textId="0C1DEF60"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05" w:history="1">
                <w:r w:rsidR="00415D8D" w:rsidRPr="000102AA">
                  <w:rPr>
                    <w:rStyle w:val="Hyperlink"/>
                    <w:noProof/>
                  </w:rPr>
                  <w:t>4.1.1</w:t>
                </w:r>
                <w:r w:rsidR="00415D8D">
                  <w:rPr>
                    <w:rFonts w:asciiTheme="minorHAnsi" w:eastAsiaTheme="minorEastAsia" w:hAnsiTheme="minorHAnsi" w:cstheme="minorBidi"/>
                    <w:noProof/>
                    <w:color w:val="auto"/>
                    <w:sz w:val="22"/>
                  </w:rPr>
                  <w:tab/>
                </w:r>
                <w:r w:rsidR="00415D8D" w:rsidRPr="000102AA">
                  <w:rPr>
                    <w:rStyle w:val="Hyperlink"/>
                    <w:noProof/>
                  </w:rPr>
                  <w:t>Activity data</w:t>
                </w:r>
                <w:r w:rsidR="00415D8D">
                  <w:rPr>
                    <w:noProof/>
                    <w:webHidden/>
                  </w:rPr>
                  <w:tab/>
                </w:r>
                <w:r w:rsidR="00415D8D">
                  <w:rPr>
                    <w:noProof/>
                    <w:webHidden/>
                  </w:rPr>
                  <w:fldChar w:fldCharType="begin"/>
                </w:r>
                <w:r w:rsidR="00415D8D">
                  <w:rPr>
                    <w:noProof/>
                    <w:webHidden/>
                  </w:rPr>
                  <w:instrText xml:space="preserve"> PAGEREF _Toc114566205 \h </w:instrText>
                </w:r>
                <w:r w:rsidR="00415D8D">
                  <w:rPr>
                    <w:noProof/>
                    <w:webHidden/>
                  </w:rPr>
                </w:r>
                <w:r w:rsidR="00415D8D">
                  <w:rPr>
                    <w:noProof/>
                    <w:webHidden/>
                  </w:rPr>
                  <w:fldChar w:fldCharType="separate"/>
                </w:r>
                <w:r w:rsidR="00F34493">
                  <w:rPr>
                    <w:noProof/>
                    <w:webHidden/>
                  </w:rPr>
                  <w:t>15</w:t>
                </w:r>
                <w:r w:rsidR="00415D8D">
                  <w:rPr>
                    <w:noProof/>
                    <w:webHidden/>
                  </w:rPr>
                  <w:fldChar w:fldCharType="end"/>
                </w:r>
              </w:hyperlink>
            </w:p>
            <w:p w14:paraId="4DAA1412" w14:textId="0B8CF0E1"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06" w:history="1">
                <w:r w:rsidR="00415D8D" w:rsidRPr="000102AA">
                  <w:rPr>
                    <w:rStyle w:val="Hyperlink"/>
                    <w:noProof/>
                  </w:rPr>
                  <w:t>4.1.2</w:t>
                </w:r>
                <w:r w:rsidR="00415D8D">
                  <w:rPr>
                    <w:rFonts w:asciiTheme="minorHAnsi" w:eastAsiaTheme="minorEastAsia" w:hAnsiTheme="minorHAnsi" w:cstheme="minorBidi"/>
                    <w:noProof/>
                    <w:color w:val="auto"/>
                    <w:sz w:val="22"/>
                  </w:rPr>
                  <w:tab/>
                </w:r>
                <w:r w:rsidR="00415D8D" w:rsidRPr="000102AA">
                  <w:rPr>
                    <w:rStyle w:val="Hyperlink"/>
                    <w:noProof/>
                  </w:rPr>
                  <w:t>Emission factors</w:t>
                </w:r>
                <w:r w:rsidR="00415D8D">
                  <w:rPr>
                    <w:noProof/>
                    <w:webHidden/>
                  </w:rPr>
                  <w:tab/>
                </w:r>
                <w:r w:rsidR="00415D8D">
                  <w:rPr>
                    <w:noProof/>
                    <w:webHidden/>
                  </w:rPr>
                  <w:fldChar w:fldCharType="begin"/>
                </w:r>
                <w:r w:rsidR="00415D8D">
                  <w:rPr>
                    <w:noProof/>
                    <w:webHidden/>
                  </w:rPr>
                  <w:instrText xml:space="preserve"> PAGEREF _Toc114566206 \h </w:instrText>
                </w:r>
                <w:r w:rsidR="00415D8D">
                  <w:rPr>
                    <w:noProof/>
                    <w:webHidden/>
                  </w:rPr>
                </w:r>
                <w:r w:rsidR="00415D8D">
                  <w:rPr>
                    <w:noProof/>
                    <w:webHidden/>
                  </w:rPr>
                  <w:fldChar w:fldCharType="separate"/>
                </w:r>
                <w:r w:rsidR="00F34493">
                  <w:rPr>
                    <w:noProof/>
                    <w:webHidden/>
                  </w:rPr>
                  <w:t>15</w:t>
                </w:r>
                <w:r w:rsidR="00415D8D">
                  <w:rPr>
                    <w:noProof/>
                    <w:webHidden/>
                  </w:rPr>
                  <w:fldChar w:fldCharType="end"/>
                </w:r>
              </w:hyperlink>
            </w:p>
            <w:p w14:paraId="10D0D2EE" w14:textId="6FBD7B99"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7" w:history="1">
                <w:r w:rsidR="00415D8D" w:rsidRPr="000102AA">
                  <w:rPr>
                    <w:rStyle w:val="Hyperlink"/>
                    <w:noProof/>
                  </w:rPr>
                  <w:t>4.2</w:t>
                </w:r>
                <w:r w:rsidR="00415D8D">
                  <w:rPr>
                    <w:rFonts w:asciiTheme="minorHAnsi" w:eastAsiaTheme="minorEastAsia" w:hAnsiTheme="minorHAnsi" w:cstheme="minorBidi"/>
                    <w:noProof/>
                    <w:color w:val="auto"/>
                    <w:sz w:val="22"/>
                  </w:rPr>
                  <w:tab/>
                </w:r>
                <w:r w:rsidR="00415D8D" w:rsidRPr="000102AA">
                  <w:rPr>
                    <w:rStyle w:val="Hyperlink"/>
                    <w:noProof/>
                  </w:rPr>
                  <w:t>Using existing data</w:t>
                </w:r>
                <w:r w:rsidR="00415D8D">
                  <w:rPr>
                    <w:noProof/>
                    <w:webHidden/>
                  </w:rPr>
                  <w:tab/>
                </w:r>
                <w:r w:rsidR="00415D8D">
                  <w:rPr>
                    <w:noProof/>
                    <w:webHidden/>
                  </w:rPr>
                  <w:fldChar w:fldCharType="begin"/>
                </w:r>
                <w:r w:rsidR="00415D8D">
                  <w:rPr>
                    <w:noProof/>
                    <w:webHidden/>
                  </w:rPr>
                  <w:instrText xml:space="preserve"> PAGEREF _Toc114566207 \h </w:instrText>
                </w:r>
                <w:r w:rsidR="00415D8D">
                  <w:rPr>
                    <w:noProof/>
                    <w:webHidden/>
                  </w:rPr>
                </w:r>
                <w:r w:rsidR="00415D8D">
                  <w:rPr>
                    <w:noProof/>
                    <w:webHidden/>
                  </w:rPr>
                  <w:fldChar w:fldCharType="separate"/>
                </w:r>
                <w:r w:rsidR="00F34493">
                  <w:rPr>
                    <w:noProof/>
                    <w:webHidden/>
                  </w:rPr>
                  <w:t>16</w:t>
                </w:r>
                <w:r w:rsidR="00415D8D">
                  <w:rPr>
                    <w:noProof/>
                    <w:webHidden/>
                  </w:rPr>
                  <w:fldChar w:fldCharType="end"/>
                </w:r>
              </w:hyperlink>
            </w:p>
            <w:p w14:paraId="3638A684" w14:textId="44A9E240"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8" w:history="1">
                <w:r w:rsidR="00415D8D" w:rsidRPr="000102AA">
                  <w:rPr>
                    <w:rStyle w:val="Hyperlink"/>
                    <w:noProof/>
                  </w:rPr>
                  <w:t>4.3</w:t>
                </w:r>
                <w:r w:rsidR="00415D8D">
                  <w:rPr>
                    <w:rFonts w:asciiTheme="minorHAnsi" w:eastAsiaTheme="minorEastAsia" w:hAnsiTheme="minorHAnsi" w:cstheme="minorBidi"/>
                    <w:noProof/>
                    <w:color w:val="auto"/>
                    <w:sz w:val="22"/>
                  </w:rPr>
                  <w:tab/>
                </w:r>
                <w:r w:rsidR="00415D8D" w:rsidRPr="000102AA">
                  <w:rPr>
                    <w:rStyle w:val="Hyperlink"/>
                    <w:noProof/>
                  </w:rPr>
                  <w:t>Standards for quantifying your GHG emissions</w:t>
                </w:r>
                <w:r w:rsidR="00415D8D">
                  <w:rPr>
                    <w:noProof/>
                    <w:webHidden/>
                  </w:rPr>
                  <w:tab/>
                </w:r>
                <w:r w:rsidR="00415D8D">
                  <w:rPr>
                    <w:noProof/>
                    <w:webHidden/>
                  </w:rPr>
                  <w:fldChar w:fldCharType="begin"/>
                </w:r>
                <w:r w:rsidR="00415D8D">
                  <w:rPr>
                    <w:noProof/>
                    <w:webHidden/>
                  </w:rPr>
                  <w:instrText xml:space="preserve"> PAGEREF _Toc114566208 \h </w:instrText>
                </w:r>
                <w:r w:rsidR="00415D8D">
                  <w:rPr>
                    <w:noProof/>
                    <w:webHidden/>
                  </w:rPr>
                </w:r>
                <w:r w:rsidR="00415D8D">
                  <w:rPr>
                    <w:noProof/>
                    <w:webHidden/>
                  </w:rPr>
                  <w:fldChar w:fldCharType="separate"/>
                </w:r>
                <w:r w:rsidR="00F34493">
                  <w:rPr>
                    <w:noProof/>
                    <w:webHidden/>
                  </w:rPr>
                  <w:t>16</w:t>
                </w:r>
                <w:r w:rsidR="00415D8D">
                  <w:rPr>
                    <w:noProof/>
                    <w:webHidden/>
                  </w:rPr>
                  <w:fldChar w:fldCharType="end"/>
                </w:r>
              </w:hyperlink>
            </w:p>
            <w:p w14:paraId="3658D651" w14:textId="37B9B155"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09" w:history="1">
                <w:r w:rsidR="00415D8D" w:rsidRPr="000102AA">
                  <w:rPr>
                    <w:rStyle w:val="Hyperlink"/>
                    <w:noProof/>
                  </w:rPr>
                  <w:t>4.4</w:t>
                </w:r>
                <w:r w:rsidR="00415D8D">
                  <w:rPr>
                    <w:rFonts w:asciiTheme="minorHAnsi" w:eastAsiaTheme="minorEastAsia" w:hAnsiTheme="minorHAnsi" w:cstheme="minorBidi"/>
                    <w:noProof/>
                    <w:color w:val="auto"/>
                    <w:sz w:val="22"/>
                  </w:rPr>
                  <w:tab/>
                </w:r>
                <w:r w:rsidR="00415D8D" w:rsidRPr="000102AA">
                  <w:rPr>
                    <w:rStyle w:val="Hyperlink"/>
                    <w:noProof/>
                  </w:rPr>
                  <w:t>Understanding and minimising your Scope 3 emissions</w:t>
                </w:r>
                <w:r w:rsidR="00415D8D">
                  <w:rPr>
                    <w:noProof/>
                    <w:webHidden/>
                  </w:rPr>
                  <w:tab/>
                </w:r>
                <w:r w:rsidR="00415D8D">
                  <w:rPr>
                    <w:noProof/>
                    <w:webHidden/>
                  </w:rPr>
                  <w:fldChar w:fldCharType="begin"/>
                </w:r>
                <w:r w:rsidR="00415D8D">
                  <w:rPr>
                    <w:noProof/>
                    <w:webHidden/>
                  </w:rPr>
                  <w:instrText xml:space="preserve"> PAGEREF _Toc114566209 \h </w:instrText>
                </w:r>
                <w:r w:rsidR="00415D8D">
                  <w:rPr>
                    <w:noProof/>
                    <w:webHidden/>
                  </w:rPr>
                </w:r>
                <w:r w:rsidR="00415D8D">
                  <w:rPr>
                    <w:noProof/>
                    <w:webHidden/>
                  </w:rPr>
                  <w:fldChar w:fldCharType="separate"/>
                </w:r>
                <w:r w:rsidR="00F34493">
                  <w:rPr>
                    <w:noProof/>
                    <w:webHidden/>
                  </w:rPr>
                  <w:t>17</w:t>
                </w:r>
                <w:r w:rsidR="00415D8D">
                  <w:rPr>
                    <w:noProof/>
                    <w:webHidden/>
                  </w:rPr>
                  <w:fldChar w:fldCharType="end"/>
                </w:r>
              </w:hyperlink>
            </w:p>
            <w:p w14:paraId="0922BC64" w14:textId="5B1D6955"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10" w:history="1">
                <w:r w:rsidR="00415D8D" w:rsidRPr="000102AA">
                  <w:rPr>
                    <w:rStyle w:val="Hyperlink"/>
                    <w:noProof/>
                  </w:rPr>
                  <w:t>4.5</w:t>
                </w:r>
                <w:r w:rsidR="00415D8D">
                  <w:rPr>
                    <w:rFonts w:asciiTheme="minorHAnsi" w:eastAsiaTheme="minorEastAsia" w:hAnsiTheme="minorHAnsi" w:cstheme="minorBidi"/>
                    <w:noProof/>
                    <w:color w:val="auto"/>
                    <w:sz w:val="22"/>
                  </w:rPr>
                  <w:tab/>
                </w:r>
                <w:r w:rsidR="00415D8D" w:rsidRPr="000102AA">
                  <w:rPr>
                    <w:rStyle w:val="Hyperlink"/>
                    <w:noProof/>
                  </w:rPr>
                  <w:t>Verification</w:t>
                </w:r>
                <w:r w:rsidR="00415D8D">
                  <w:rPr>
                    <w:noProof/>
                    <w:webHidden/>
                  </w:rPr>
                  <w:tab/>
                </w:r>
                <w:r w:rsidR="00415D8D">
                  <w:rPr>
                    <w:noProof/>
                    <w:webHidden/>
                  </w:rPr>
                  <w:fldChar w:fldCharType="begin"/>
                </w:r>
                <w:r w:rsidR="00415D8D">
                  <w:rPr>
                    <w:noProof/>
                    <w:webHidden/>
                  </w:rPr>
                  <w:instrText xml:space="preserve"> PAGEREF _Toc114566210 \h </w:instrText>
                </w:r>
                <w:r w:rsidR="00415D8D">
                  <w:rPr>
                    <w:noProof/>
                    <w:webHidden/>
                  </w:rPr>
                </w:r>
                <w:r w:rsidR="00415D8D">
                  <w:rPr>
                    <w:noProof/>
                    <w:webHidden/>
                  </w:rPr>
                  <w:fldChar w:fldCharType="separate"/>
                </w:r>
                <w:r w:rsidR="00F34493">
                  <w:rPr>
                    <w:noProof/>
                    <w:webHidden/>
                  </w:rPr>
                  <w:t>18</w:t>
                </w:r>
                <w:r w:rsidR="00415D8D">
                  <w:rPr>
                    <w:noProof/>
                    <w:webHidden/>
                  </w:rPr>
                  <w:fldChar w:fldCharType="end"/>
                </w:r>
              </w:hyperlink>
            </w:p>
            <w:p w14:paraId="14A20F70" w14:textId="55470037"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11" w:history="1">
                <w:r w:rsidR="00415D8D" w:rsidRPr="000102AA">
                  <w:rPr>
                    <w:rStyle w:val="Hyperlink"/>
                    <w:b/>
                    <w:bCs/>
                    <w:noProof/>
                  </w:rPr>
                  <w:t>5.</w:t>
                </w:r>
                <w:r w:rsidR="00415D8D">
                  <w:rPr>
                    <w:rFonts w:asciiTheme="minorHAnsi" w:eastAsiaTheme="minorEastAsia" w:hAnsiTheme="minorHAnsi" w:cstheme="minorBidi"/>
                    <w:noProof/>
                    <w:color w:val="auto"/>
                    <w:sz w:val="22"/>
                    <w:szCs w:val="22"/>
                  </w:rPr>
                  <w:tab/>
                </w:r>
                <w:r w:rsidR="00415D8D" w:rsidRPr="000102AA">
                  <w:rPr>
                    <w:rStyle w:val="Hyperlink"/>
                    <w:b/>
                    <w:bCs/>
                    <w:noProof/>
                  </w:rPr>
                  <w:t>Step 3 – Identify and implement controls to minimise risks arising from GHG emissions</w:t>
                </w:r>
                <w:r w:rsidR="00415D8D">
                  <w:rPr>
                    <w:noProof/>
                    <w:webHidden/>
                  </w:rPr>
                  <w:tab/>
                </w:r>
                <w:r w:rsidR="00415D8D">
                  <w:rPr>
                    <w:noProof/>
                    <w:webHidden/>
                  </w:rPr>
                  <w:fldChar w:fldCharType="begin"/>
                </w:r>
                <w:r w:rsidR="00415D8D">
                  <w:rPr>
                    <w:noProof/>
                    <w:webHidden/>
                  </w:rPr>
                  <w:instrText xml:space="preserve"> PAGEREF _Toc114566211 \h </w:instrText>
                </w:r>
                <w:r w:rsidR="00415D8D">
                  <w:rPr>
                    <w:noProof/>
                    <w:webHidden/>
                  </w:rPr>
                </w:r>
                <w:r w:rsidR="00415D8D">
                  <w:rPr>
                    <w:noProof/>
                    <w:webHidden/>
                  </w:rPr>
                  <w:fldChar w:fldCharType="separate"/>
                </w:r>
                <w:r w:rsidR="00F34493">
                  <w:rPr>
                    <w:noProof/>
                    <w:webHidden/>
                  </w:rPr>
                  <w:t>19</w:t>
                </w:r>
                <w:r w:rsidR="00415D8D">
                  <w:rPr>
                    <w:noProof/>
                    <w:webHidden/>
                  </w:rPr>
                  <w:fldChar w:fldCharType="end"/>
                </w:r>
              </w:hyperlink>
            </w:p>
            <w:p w14:paraId="2836FDA0" w14:textId="63380D15"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12" w:history="1">
                <w:r w:rsidR="00415D8D" w:rsidRPr="000102AA">
                  <w:rPr>
                    <w:rStyle w:val="Hyperlink"/>
                    <w:noProof/>
                  </w:rPr>
                  <w:t>5.1</w:t>
                </w:r>
                <w:r w:rsidR="00415D8D">
                  <w:rPr>
                    <w:rFonts w:asciiTheme="minorHAnsi" w:eastAsiaTheme="minorEastAsia" w:hAnsiTheme="minorHAnsi" w:cstheme="minorBidi"/>
                    <w:noProof/>
                    <w:color w:val="auto"/>
                    <w:sz w:val="22"/>
                  </w:rPr>
                  <w:tab/>
                </w:r>
                <w:r w:rsidR="00415D8D" w:rsidRPr="000102AA">
                  <w:rPr>
                    <w:rStyle w:val="Hyperlink"/>
                    <w:noProof/>
                  </w:rPr>
                  <w:t>GHG emission control options</w:t>
                </w:r>
                <w:r w:rsidR="00415D8D">
                  <w:rPr>
                    <w:noProof/>
                    <w:webHidden/>
                  </w:rPr>
                  <w:tab/>
                </w:r>
                <w:r w:rsidR="00415D8D">
                  <w:rPr>
                    <w:noProof/>
                    <w:webHidden/>
                  </w:rPr>
                  <w:fldChar w:fldCharType="begin"/>
                </w:r>
                <w:r w:rsidR="00415D8D">
                  <w:rPr>
                    <w:noProof/>
                    <w:webHidden/>
                  </w:rPr>
                  <w:instrText xml:space="preserve"> PAGEREF _Toc114566212 \h </w:instrText>
                </w:r>
                <w:r w:rsidR="00415D8D">
                  <w:rPr>
                    <w:noProof/>
                    <w:webHidden/>
                  </w:rPr>
                </w:r>
                <w:r w:rsidR="00415D8D">
                  <w:rPr>
                    <w:noProof/>
                    <w:webHidden/>
                  </w:rPr>
                  <w:fldChar w:fldCharType="separate"/>
                </w:r>
                <w:r w:rsidR="00F34493">
                  <w:rPr>
                    <w:noProof/>
                    <w:webHidden/>
                  </w:rPr>
                  <w:t>19</w:t>
                </w:r>
                <w:r w:rsidR="00415D8D">
                  <w:rPr>
                    <w:noProof/>
                    <w:webHidden/>
                  </w:rPr>
                  <w:fldChar w:fldCharType="end"/>
                </w:r>
              </w:hyperlink>
            </w:p>
            <w:p w14:paraId="60ACB6F8" w14:textId="776645A1"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3" w:history="1">
                <w:r w:rsidR="00415D8D" w:rsidRPr="000102AA">
                  <w:rPr>
                    <w:rStyle w:val="Hyperlink"/>
                    <w:noProof/>
                  </w:rPr>
                  <w:t>5.1.1</w:t>
                </w:r>
                <w:r w:rsidR="00415D8D">
                  <w:rPr>
                    <w:rFonts w:asciiTheme="minorHAnsi" w:eastAsiaTheme="minorEastAsia" w:hAnsiTheme="minorHAnsi" w:cstheme="minorBidi"/>
                    <w:noProof/>
                    <w:color w:val="auto"/>
                    <w:sz w:val="22"/>
                  </w:rPr>
                  <w:tab/>
                </w:r>
                <w:r w:rsidR="00415D8D" w:rsidRPr="000102AA">
                  <w:rPr>
                    <w:rStyle w:val="Hyperlink"/>
                    <w:noProof/>
                  </w:rPr>
                  <w:t>Eliminate the hazard</w:t>
                </w:r>
                <w:r w:rsidR="00415D8D">
                  <w:rPr>
                    <w:noProof/>
                    <w:webHidden/>
                  </w:rPr>
                  <w:tab/>
                </w:r>
                <w:r w:rsidR="00415D8D">
                  <w:rPr>
                    <w:noProof/>
                    <w:webHidden/>
                  </w:rPr>
                  <w:fldChar w:fldCharType="begin"/>
                </w:r>
                <w:r w:rsidR="00415D8D">
                  <w:rPr>
                    <w:noProof/>
                    <w:webHidden/>
                  </w:rPr>
                  <w:instrText xml:space="preserve"> PAGEREF _Toc114566213 \h </w:instrText>
                </w:r>
                <w:r w:rsidR="00415D8D">
                  <w:rPr>
                    <w:noProof/>
                    <w:webHidden/>
                  </w:rPr>
                </w:r>
                <w:r w:rsidR="00415D8D">
                  <w:rPr>
                    <w:noProof/>
                    <w:webHidden/>
                  </w:rPr>
                  <w:fldChar w:fldCharType="separate"/>
                </w:r>
                <w:r w:rsidR="00F34493">
                  <w:rPr>
                    <w:noProof/>
                    <w:webHidden/>
                  </w:rPr>
                  <w:t>20</w:t>
                </w:r>
                <w:r w:rsidR="00415D8D">
                  <w:rPr>
                    <w:noProof/>
                    <w:webHidden/>
                  </w:rPr>
                  <w:fldChar w:fldCharType="end"/>
                </w:r>
              </w:hyperlink>
            </w:p>
            <w:p w14:paraId="5CF42BBF" w14:textId="12692410"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4" w:history="1">
                <w:r w:rsidR="00415D8D" w:rsidRPr="000102AA">
                  <w:rPr>
                    <w:rStyle w:val="Hyperlink"/>
                    <w:noProof/>
                  </w:rPr>
                  <w:t>5.1.2</w:t>
                </w:r>
                <w:r w:rsidR="00415D8D">
                  <w:rPr>
                    <w:rFonts w:asciiTheme="minorHAnsi" w:eastAsiaTheme="minorEastAsia" w:hAnsiTheme="minorHAnsi" w:cstheme="minorBidi"/>
                    <w:noProof/>
                    <w:color w:val="auto"/>
                    <w:sz w:val="22"/>
                  </w:rPr>
                  <w:tab/>
                </w:r>
                <w:r w:rsidR="00415D8D" w:rsidRPr="000102AA">
                  <w:rPr>
                    <w:rStyle w:val="Hyperlink"/>
                    <w:noProof/>
                  </w:rPr>
                  <w:t>Reduce the risks: substitute the hazard/engineering controls</w:t>
                </w:r>
                <w:r w:rsidR="00415D8D">
                  <w:rPr>
                    <w:noProof/>
                    <w:webHidden/>
                  </w:rPr>
                  <w:tab/>
                </w:r>
                <w:r w:rsidR="00415D8D">
                  <w:rPr>
                    <w:noProof/>
                    <w:webHidden/>
                  </w:rPr>
                  <w:fldChar w:fldCharType="begin"/>
                </w:r>
                <w:r w:rsidR="00415D8D">
                  <w:rPr>
                    <w:noProof/>
                    <w:webHidden/>
                  </w:rPr>
                  <w:instrText xml:space="preserve"> PAGEREF _Toc114566214 \h </w:instrText>
                </w:r>
                <w:r w:rsidR="00415D8D">
                  <w:rPr>
                    <w:noProof/>
                    <w:webHidden/>
                  </w:rPr>
                </w:r>
                <w:r w:rsidR="00415D8D">
                  <w:rPr>
                    <w:noProof/>
                    <w:webHidden/>
                  </w:rPr>
                  <w:fldChar w:fldCharType="separate"/>
                </w:r>
                <w:r w:rsidR="00F34493">
                  <w:rPr>
                    <w:noProof/>
                    <w:webHidden/>
                  </w:rPr>
                  <w:t>21</w:t>
                </w:r>
                <w:r w:rsidR="00415D8D">
                  <w:rPr>
                    <w:noProof/>
                    <w:webHidden/>
                  </w:rPr>
                  <w:fldChar w:fldCharType="end"/>
                </w:r>
              </w:hyperlink>
            </w:p>
            <w:p w14:paraId="1E3F2E8F" w14:textId="14B60165"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5" w:history="1">
                <w:r w:rsidR="00415D8D" w:rsidRPr="000102AA">
                  <w:rPr>
                    <w:rStyle w:val="Hyperlink"/>
                    <w:noProof/>
                  </w:rPr>
                  <w:t>5.1.3</w:t>
                </w:r>
                <w:r w:rsidR="00415D8D">
                  <w:rPr>
                    <w:rFonts w:asciiTheme="minorHAnsi" w:eastAsiaTheme="minorEastAsia" w:hAnsiTheme="minorHAnsi" w:cstheme="minorBidi"/>
                    <w:noProof/>
                    <w:color w:val="auto"/>
                    <w:sz w:val="22"/>
                  </w:rPr>
                  <w:tab/>
                </w:r>
                <w:r w:rsidR="00415D8D" w:rsidRPr="000102AA">
                  <w:rPr>
                    <w:rStyle w:val="Hyperlink"/>
                    <w:noProof/>
                  </w:rPr>
                  <w:t>Reduce the risks: administrative controls</w:t>
                </w:r>
                <w:r w:rsidR="00415D8D">
                  <w:rPr>
                    <w:noProof/>
                    <w:webHidden/>
                  </w:rPr>
                  <w:tab/>
                </w:r>
                <w:r w:rsidR="00415D8D">
                  <w:rPr>
                    <w:noProof/>
                    <w:webHidden/>
                  </w:rPr>
                  <w:fldChar w:fldCharType="begin"/>
                </w:r>
                <w:r w:rsidR="00415D8D">
                  <w:rPr>
                    <w:noProof/>
                    <w:webHidden/>
                  </w:rPr>
                  <w:instrText xml:space="preserve"> PAGEREF _Toc114566215 \h </w:instrText>
                </w:r>
                <w:r w:rsidR="00415D8D">
                  <w:rPr>
                    <w:noProof/>
                    <w:webHidden/>
                  </w:rPr>
                </w:r>
                <w:r w:rsidR="00415D8D">
                  <w:rPr>
                    <w:noProof/>
                    <w:webHidden/>
                  </w:rPr>
                  <w:fldChar w:fldCharType="separate"/>
                </w:r>
                <w:r w:rsidR="00F34493">
                  <w:rPr>
                    <w:noProof/>
                    <w:webHidden/>
                  </w:rPr>
                  <w:t>22</w:t>
                </w:r>
                <w:r w:rsidR="00415D8D">
                  <w:rPr>
                    <w:noProof/>
                    <w:webHidden/>
                  </w:rPr>
                  <w:fldChar w:fldCharType="end"/>
                </w:r>
              </w:hyperlink>
            </w:p>
            <w:p w14:paraId="78E9D433" w14:textId="2FC31CA2"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16" w:history="1">
                <w:r w:rsidR="00415D8D" w:rsidRPr="000102AA">
                  <w:rPr>
                    <w:rStyle w:val="Hyperlink"/>
                    <w:noProof/>
                  </w:rPr>
                  <w:t>5.2</w:t>
                </w:r>
                <w:r w:rsidR="00415D8D">
                  <w:rPr>
                    <w:rFonts w:asciiTheme="minorHAnsi" w:eastAsiaTheme="minorEastAsia" w:hAnsiTheme="minorHAnsi" w:cstheme="minorBidi"/>
                    <w:noProof/>
                    <w:color w:val="auto"/>
                    <w:sz w:val="22"/>
                  </w:rPr>
                  <w:tab/>
                </w:r>
                <w:r w:rsidR="00415D8D" w:rsidRPr="000102AA">
                  <w:rPr>
                    <w:rStyle w:val="Hyperlink"/>
                    <w:noProof/>
                  </w:rPr>
                  <w:t>A risk-based approach to minimising the risk of harm from GHG emissions</w:t>
                </w:r>
                <w:r w:rsidR="00415D8D">
                  <w:rPr>
                    <w:noProof/>
                    <w:webHidden/>
                  </w:rPr>
                  <w:tab/>
                </w:r>
                <w:r w:rsidR="00415D8D">
                  <w:rPr>
                    <w:noProof/>
                    <w:webHidden/>
                  </w:rPr>
                  <w:fldChar w:fldCharType="begin"/>
                </w:r>
                <w:r w:rsidR="00415D8D">
                  <w:rPr>
                    <w:noProof/>
                    <w:webHidden/>
                  </w:rPr>
                  <w:instrText xml:space="preserve"> PAGEREF _Toc114566216 \h </w:instrText>
                </w:r>
                <w:r w:rsidR="00415D8D">
                  <w:rPr>
                    <w:noProof/>
                    <w:webHidden/>
                  </w:rPr>
                </w:r>
                <w:r w:rsidR="00415D8D">
                  <w:rPr>
                    <w:noProof/>
                    <w:webHidden/>
                  </w:rPr>
                  <w:fldChar w:fldCharType="separate"/>
                </w:r>
                <w:r w:rsidR="00F34493">
                  <w:rPr>
                    <w:noProof/>
                    <w:webHidden/>
                  </w:rPr>
                  <w:t>23</w:t>
                </w:r>
                <w:r w:rsidR="00415D8D">
                  <w:rPr>
                    <w:noProof/>
                    <w:webHidden/>
                  </w:rPr>
                  <w:fldChar w:fldCharType="end"/>
                </w:r>
              </w:hyperlink>
            </w:p>
            <w:p w14:paraId="3D7EA7D5" w14:textId="43742FDE" w:rsidR="00415D8D" w:rsidRDefault="00A04D78"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7" w:history="1">
                <w:r w:rsidR="00415D8D" w:rsidRPr="000102AA">
                  <w:rPr>
                    <w:rStyle w:val="Hyperlink"/>
                    <w:noProof/>
                  </w:rPr>
                  <w:t>5.2.1</w:t>
                </w:r>
                <w:r w:rsidR="00415D8D">
                  <w:rPr>
                    <w:rFonts w:asciiTheme="minorHAnsi" w:eastAsiaTheme="minorEastAsia" w:hAnsiTheme="minorHAnsi" w:cstheme="minorBidi"/>
                    <w:noProof/>
                    <w:color w:val="auto"/>
                    <w:sz w:val="22"/>
                  </w:rPr>
                  <w:tab/>
                </w:r>
                <w:r w:rsidR="00415D8D" w:rsidRPr="000102AA">
                  <w:rPr>
                    <w:rStyle w:val="Hyperlink"/>
                    <w:noProof/>
                  </w:rPr>
                  <w:t>Minimising the risk of harm from GHG emissions so far as reasonably practicable</w:t>
                </w:r>
                <w:r w:rsidR="00415D8D">
                  <w:rPr>
                    <w:noProof/>
                    <w:webHidden/>
                  </w:rPr>
                  <w:tab/>
                </w:r>
                <w:r w:rsidR="00415D8D">
                  <w:rPr>
                    <w:noProof/>
                    <w:webHidden/>
                  </w:rPr>
                  <w:fldChar w:fldCharType="begin"/>
                </w:r>
                <w:r w:rsidR="00415D8D">
                  <w:rPr>
                    <w:noProof/>
                    <w:webHidden/>
                  </w:rPr>
                  <w:instrText xml:space="preserve"> PAGEREF _Toc114566217 \h </w:instrText>
                </w:r>
                <w:r w:rsidR="00415D8D">
                  <w:rPr>
                    <w:noProof/>
                    <w:webHidden/>
                  </w:rPr>
                </w:r>
                <w:r w:rsidR="00415D8D">
                  <w:rPr>
                    <w:noProof/>
                    <w:webHidden/>
                  </w:rPr>
                  <w:fldChar w:fldCharType="separate"/>
                </w:r>
                <w:r w:rsidR="00F34493">
                  <w:rPr>
                    <w:noProof/>
                    <w:webHidden/>
                  </w:rPr>
                  <w:t>23</w:t>
                </w:r>
                <w:r w:rsidR="00415D8D">
                  <w:rPr>
                    <w:noProof/>
                    <w:webHidden/>
                  </w:rPr>
                  <w:fldChar w:fldCharType="end"/>
                </w:r>
              </w:hyperlink>
            </w:p>
            <w:p w14:paraId="3EF9613C" w14:textId="391E0600"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18" w:history="1">
                <w:r w:rsidR="00415D8D" w:rsidRPr="000102AA">
                  <w:rPr>
                    <w:rStyle w:val="Hyperlink"/>
                    <w:b/>
                    <w:bCs/>
                    <w:noProof/>
                  </w:rPr>
                  <w:t>6.</w:t>
                </w:r>
                <w:r w:rsidR="00415D8D">
                  <w:rPr>
                    <w:rFonts w:asciiTheme="minorHAnsi" w:eastAsiaTheme="minorEastAsia" w:hAnsiTheme="minorHAnsi" w:cstheme="minorBidi"/>
                    <w:noProof/>
                    <w:color w:val="auto"/>
                    <w:sz w:val="22"/>
                    <w:szCs w:val="22"/>
                  </w:rPr>
                  <w:tab/>
                </w:r>
                <w:r w:rsidR="00415D8D" w:rsidRPr="000102AA">
                  <w:rPr>
                    <w:rStyle w:val="Hyperlink"/>
                    <w:b/>
                    <w:bCs/>
                    <w:noProof/>
                  </w:rPr>
                  <w:t>Step 4 – Review controls to ensure they are effective</w:t>
                </w:r>
                <w:r w:rsidR="00415D8D">
                  <w:rPr>
                    <w:noProof/>
                    <w:webHidden/>
                  </w:rPr>
                  <w:tab/>
                </w:r>
                <w:r w:rsidR="00415D8D">
                  <w:rPr>
                    <w:noProof/>
                    <w:webHidden/>
                  </w:rPr>
                  <w:fldChar w:fldCharType="begin"/>
                </w:r>
                <w:r w:rsidR="00415D8D">
                  <w:rPr>
                    <w:noProof/>
                    <w:webHidden/>
                  </w:rPr>
                  <w:instrText xml:space="preserve"> PAGEREF _Toc114566218 \h </w:instrText>
                </w:r>
                <w:r w:rsidR="00415D8D">
                  <w:rPr>
                    <w:noProof/>
                    <w:webHidden/>
                  </w:rPr>
                </w:r>
                <w:r w:rsidR="00415D8D">
                  <w:rPr>
                    <w:noProof/>
                    <w:webHidden/>
                  </w:rPr>
                  <w:fldChar w:fldCharType="separate"/>
                </w:r>
                <w:r w:rsidR="00F34493">
                  <w:rPr>
                    <w:noProof/>
                    <w:webHidden/>
                  </w:rPr>
                  <w:t>26</w:t>
                </w:r>
                <w:r w:rsidR="00415D8D">
                  <w:rPr>
                    <w:noProof/>
                    <w:webHidden/>
                  </w:rPr>
                  <w:fldChar w:fldCharType="end"/>
                </w:r>
              </w:hyperlink>
            </w:p>
            <w:p w14:paraId="0013FFE3" w14:textId="0436C38D"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19" w:history="1">
                <w:r w:rsidR="00415D8D" w:rsidRPr="000102AA">
                  <w:rPr>
                    <w:rStyle w:val="Hyperlink"/>
                    <w:noProof/>
                  </w:rPr>
                  <w:t>6.1</w:t>
                </w:r>
                <w:r w:rsidR="00415D8D">
                  <w:rPr>
                    <w:rFonts w:asciiTheme="minorHAnsi" w:eastAsiaTheme="minorEastAsia" w:hAnsiTheme="minorHAnsi" w:cstheme="minorBidi"/>
                    <w:noProof/>
                    <w:color w:val="auto"/>
                    <w:sz w:val="22"/>
                  </w:rPr>
                  <w:tab/>
                </w:r>
                <w:r w:rsidR="00415D8D" w:rsidRPr="000102AA">
                  <w:rPr>
                    <w:rStyle w:val="Hyperlink"/>
                    <w:noProof/>
                  </w:rPr>
                  <w:t>Checking controls</w:t>
                </w:r>
                <w:r w:rsidR="00415D8D">
                  <w:rPr>
                    <w:noProof/>
                    <w:webHidden/>
                  </w:rPr>
                  <w:tab/>
                </w:r>
                <w:r w:rsidR="00415D8D">
                  <w:rPr>
                    <w:noProof/>
                    <w:webHidden/>
                  </w:rPr>
                  <w:fldChar w:fldCharType="begin"/>
                </w:r>
                <w:r w:rsidR="00415D8D">
                  <w:rPr>
                    <w:noProof/>
                    <w:webHidden/>
                  </w:rPr>
                  <w:instrText xml:space="preserve"> PAGEREF _Toc114566219 \h </w:instrText>
                </w:r>
                <w:r w:rsidR="00415D8D">
                  <w:rPr>
                    <w:noProof/>
                    <w:webHidden/>
                  </w:rPr>
                </w:r>
                <w:r w:rsidR="00415D8D">
                  <w:rPr>
                    <w:noProof/>
                    <w:webHidden/>
                  </w:rPr>
                  <w:fldChar w:fldCharType="separate"/>
                </w:r>
                <w:r w:rsidR="00F34493">
                  <w:rPr>
                    <w:noProof/>
                    <w:webHidden/>
                  </w:rPr>
                  <w:t>26</w:t>
                </w:r>
                <w:r w:rsidR="00415D8D">
                  <w:rPr>
                    <w:noProof/>
                    <w:webHidden/>
                  </w:rPr>
                  <w:fldChar w:fldCharType="end"/>
                </w:r>
              </w:hyperlink>
            </w:p>
            <w:p w14:paraId="1A4C46B6" w14:textId="532661BC"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0" w:history="1">
                <w:r w:rsidR="00415D8D" w:rsidRPr="000102AA">
                  <w:rPr>
                    <w:rStyle w:val="Hyperlink"/>
                    <w:noProof/>
                  </w:rPr>
                  <w:t>6.2</w:t>
                </w:r>
                <w:r w:rsidR="00415D8D">
                  <w:rPr>
                    <w:rFonts w:asciiTheme="minorHAnsi" w:eastAsiaTheme="minorEastAsia" w:hAnsiTheme="minorHAnsi" w:cstheme="minorBidi"/>
                    <w:noProof/>
                    <w:color w:val="auto"/>
                    <w:sz w:val="22"/>
                  </w:rPr>
                  <w:tab/>
                </w:r>
                <w:r w:rsidR="00415D8D" w:rsidRPr="000102AA">
                  <w:rPr>
                    <w:rStyle w:val="Hyperlink"/>
                    <w:noProof/>
                  </w:rPr>
                  <w:t>Maintaining effective controls</w:t>
                </w:r>
                <w:r w:rsidR="00415D8D">
                  <w:rPr>
                    <w:noProof/>
                    <w:webHidden/>
                  </w:rPr>
                  <w:tab/>
                </w:r>
                <w:r w:rsidR="00415D8D">
                  <w:rPr>
                    <w:noProof/>
                    <w:webHidden/>
                  </w:rPr>
                  <w:fldChar w:fldCharType="begin"/>
                </w:r>
                <w:r w:rsidR="00415D8D">
                  <w:rPr>
                    <w:noProof/>
                    <w:webHidden/>
                  </w:rPr>
                  <w:instrText xml:space="preserve"> PAGEREF _Toc114566220 \h </w:instrText>
                </w:r>
                <w:r w:rsidR="00415D8D">
                  <w:rPr>
                    <w:noProof/>
                    <w:webHidden/>
                  </w:rPr>
                </w:r>
                <w:r w:rsidR="00415D8D">
                  <w:rPr>
                    <w:noProof/>
                    <w:webHidden/>
                  </w:rPr>
                  <w:fldChar w:fldCharType="separate"/>
                </w:r>
                <w:r w:rsidR="00F34493">
                  <w:rPr>
                    <w:noProof/>
                    <w:webHidden/>
                  </w:rPr>
                  <w:t>26</w:t>
                </w:r>
                <w:r w:rsidR="00415D8D">
                  <w:rPr>
                    <w:noProof/>
                    <w:webHidden/>
                  </w:rPr>
                  <w:fldChar w:fldCharType="end"/>
                </w:r>
              </w:hyperlink>
            </w:p>
            <w:p w14:paraId="7B418424" w14:textId="4FDEACF4"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1" w:history="1">
                <w:r w:rsidR="00415D8D" w:rsidRPr="000102AA">
                  <w:rPr>
                    <w:rStyle w:val="Hyperlink"/>
                    <w:noProof/>
                  </w:rPr>
                  <w:t>6.3</w:t>
                </w:r>
                <w:r w:rsidR="00415D8D">
                  <w:rPr>
                    <w:rFonts w:asciiTheme="minorHAnsi" w:eastAsiaTheme="minorEastAsia" w:hAnsiTheme="minorHAnsi" w:cstheme="minorBidi"/>
                    <w:noProof/>
                    <w:color w:val="auto"/>
                    <w:sz w:val="22"/>
                  </w:rPr>
                  <w:tab/>
                </w:r>
                <w:r w:rsidR="00415D8D" w:rsidRPr="000102AA">
                  <w:rPr>
                    <w:rStyle w:val="Hyperlink"/>
                    <w:noProof/>
                  </w:rPr>
                  <w:t>Continual improvement and review</w:t>
                </w:r>
                <w:r w:rsidR="00415D8D">
                  <w:rPr>
                    <w:noProof/>
                    <w:webHidden/>
                  </w:rPr>
                  <w:tab/>
                </w:r>
                <w:r w:rsidR="00415D8D">
                  <w:rPr>
                    <w:noProof/>
                    <w:webHidden/>
                  </w:rPr>
                  <w:fldChar w:fldCharType="begin"/>
                </w:r>
                <w:r w:rsidR="00415D8D">
                  <w:rPr>
                    <w:noProof/>
                    <w:webHidden/>
                  </w:rPr>
                  <w:instrText xml:space="preserve"> PAGEREF _Toc114566221 \h </w:instrText>
                </w:r>
                <w:r w:rsidR="00415D8D">
                  <w:rPr>
                    <w:noProof/>
                    <w:webHidden/>
                  </w:rPr>
                </w:r>
                <w:r w:rsidR="00415D8D">
                  <w:rPr>
                    <w:noProof/>
                    <w:webHidden/>
                  </w:rPr>
                  <w:fldChar w:fldCharType="separate"/>
                </w:r>
                <w:r w:rsidR="00F34493">
                  <w:rPr>
                    <w:noProof/>
                    <w:webHidden/>
                  </w:rPr>
                  <w:t>26</w:t>
                </w:r>
                <w:r w:rsidR="00415D8D">
                  <w:rPr>
                    <w:noProof/>
                    <w:webHidden/>
                  </w:rPr>
                  <w:fldChar w:fldCharType="end"/>
                </w:r>
              </w:hyperlink>
            </w:p>
            <w:p w14:paraId="1B774047" w14:textId="74FD46CB"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2" w:history="1">
                <w:r w:rsidR="00415D8D" w:rsidRPr="000102AA">
                  <w:rPr>
                    <w:rStyle w:val="Hyperlink"/>
                    <w:noProof/>
                  </w:rPr>
                  <w:t>6.4</w:t>
                </w:r>
                <w:r w:rsidR="00415D8D">
                  <w:rPr>
                    <w:rFonts w:asciiTheme="minorHAnsi" w:eastAsiaTheme="minorEastAsia" w:hAnsiTheme="minorHAnsi" w:cstheme="minorBidi"/>
                    <w:noProof/>
                    <w:color w:val="auto"/>
                    <w:sz w:val="22"/>
                  </w:rPr>
                  <w:tab/>
                </w:r>
                <w:r w:rsidR="00415D8D" w:rsidRPr="000102AA">
                  <w:rPr>
                    <w:rStyle w:val="Hyperlink"/>
                    <w:noProof/>
                  </w:rPr>
                  <w:t>GHG emission targets</w:t>
                </w:r>
                <w:r w:rsidR="00415D8D">
                  <w:rPr>
                    <w:noProof/>
                    <w:webHidden/>
                  </w:rPr>
                  <w:tab/>
                </w:r>
                <w:r w:rsidR="00415D8D">
                  <w:rPr>
                    <w:noProof/>
                    <w:webHidden/>
                  </w:rPr>
                  <w:fldChar w:fldCharType="begin"/>
                </w:r>
                <w:r w:rsidR="00415D8D">
                  <w:rPr>
                    <w:noProof/>
                    <w:webHidden/>
                  </w:rPr>
                  <w:instrText xml:space="preserve"> PAGEREF _Toc114566222 \h </w:instrText>
                </w:r>
                <w:r w:rsidR="00415D8D">
                  <w:rPr>
                    <w:noProof/>
                    <w:webHidden/>
                  </w:rPr>
                </w:r>
                <w:r w:rsidR="00415D8D">
                  <w:rPr>
                    <w:noProof/>
                    <w:webHidden/>
                  </w:rPr>
                  <w:fldChar w:fldCharType="separate"/>
                </w:r>
                <w:r w:rsidR="00F34493">
                  <w:rPr>
                    <w:noProof/>
                    <w:webHidden/>
                  </w:rPr>
                  <w:t>27</w:t>
                </w:r>
                <w:r w:rsidR="00415D8D">
                  <w:rPr>
                    <w:noProof/>
                    <w:webHidden/>
                  </w:rPr>
                  <w:fldChar w:fldCharType="end"/>
                </w:r>
              </w:hyperlink>
            </w:p>
            <w:p w14:paraId="48E9941F" w14:textId="4F62B411"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23" w:history="1">
                <w:r w:rsidR="00415D8D" w:rsidRPr="000102AA">
                  <w:rPr>
                    <w:rStyle w:val="Hyperlink"/>
                    <w:b/>
                    <w:bCs/>
                    <w:noProof/>
                  </w:rPr>
                  <w:t>7.</w:t>
                </w:r>
                <w:r w:rsidR="00415D8D">
                  <w:rPr>
                    <w:rFonts w:asciiTheme="minorHAnsi" w:eastAsiaTheme="minorEastAsia" w:hAnsiTheme="minorHAnsi" w:cstheme="minorBidi"/>
                    <w:noProof/>
                    <w:color w:val="auto"/>
                    <w:sz w:val="22"/>
                    <w:szCs w:val="22"/>
                  </w:rPr>
                  <w:tab/>
                </w:r>
                <w:r w:rsidR="00415D8D" w:rsidRPr="000102AA">
                  <w:rPr>
                    <w:rStyle w:val="Hyperlink"/>
                    <w:b/>
                    <w:bCs/>
                    <w:noProof/>
                  </w:rPr>
                  <w:t>Risk management examples</w:t>
                </w:r>
                <w:r w:rsidR="00415D8D">
                  <w:rPr>
                    <w:noProof/>
                    <w:webHidden/>
                  </w:rPr>
                  <w:tab/>
                </w:r>
                <w:r w:rsidR="00415D8D">
                  <w:rPr>
                    <w:noProof/>
                    <w:webHidden/>
                  </w:rPr>
                  <w:fldChar w:fldCharType="begin"/>
                </w:r>
                <w:r w:rsidR="00415D8D">
                  <w:rPr>
                    <w:noProof/>
                    <w:webHidden/>
                  </w:rPr>
                  <w:instrText xml:space="preserve"> PAGEREF _Toc114566223 \h </w:instrText>
                </w:r>
                <w:r w:rsidR="00415D8D">
                  <w:rPr>
                    <w:noProof/>
                    <w:webHidden/>
                  </w:rPr>
                </w:r>
                <w:r w:rsidR="00415D8D">
                  <w:rPr>
                    <w:noProof/>
                    <w:webHidden/>
                  </w:rPr>
                  <w:fldChar w:fldCharType="separate"/>
                </w:r>
                <w:r w:rsidR="00F34493">
                  <w:rPr>
                    <w:noProof/>
                    <w:webHidden/>
                  </w:rPr>
                  <w:t>29</w:t>
                </w:r>
                <w:r w:rsidR="00415D8D">
                  <w:rPr>
                    <w:noProof/>
                    <w:webHidden/>
                  </w:rPr>
                  <w:fldChar w:fldCharType="end"/>
                </w:r>
              </w:hyperlink>
            </w:p>
            <w:p w14:paraId="43E4492C" w14:textId="50C8D825"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4" w:history="1">
                <w:r w:rsidR="00415D8D" w:rsidRPr="000102AA">
                  <w:rPr>
                    <w:rStyle w:val="Hyperlink"/>
                    <w:noProof/>
                  </w:rPr>
                  <w:t>7.1</w:t>
                </w:r>
                <w:r w:rsidR="00415D8D">
                  <w:rPr>
                    <w:rFonts w:asciiTheme="minorHAnsi" w:eastAsiaTheme="minorEastAsia" w:hAnsiTheme="minorHAnsi" w:cstheme="minorBidi"/>
                    <w:noProof/>
                    <w:color w:val="auto"/>
                    <w:sz w:val="22"/>
                  </w:rPr>
                  <w:tab/>
                </w:r>
                <w:r w:rsidR="00415D8D" w:rsidRPr="000102AA">
                  <w:rPr>
                    <w:rStyle w:val="Hyperlink"/>
                    <w:noProof/>
                  </w:rPr>
                  <w:t xml:space="preserve">Small </w:t>
                </w:r>
                <w:r w:rsidR="00415D8D">
                  <w:rPr>
                    <w:rStyle w:val="Hyperlink"/>
                    <w:noProof/>
                  </w:rPr>
                  <w:t>b</w:t>
                </w:r>
                <w:r w:rsidR="00415D8D" w:rsidRPr="000102AA">
                  <w:rPr>
                    <w:rStyle w:val="Hyperlink"/>
                    <w:noProof/>
                  </w:rPr>
                  <w:t>usiness (restaurant)</w:t>
                </w:r>
                <w:r w:rsidR="00415D8D">
                  <w:rPr>
                    <w:noProof/>
                    <w:webHidden/>
                  </w:rPr>
                  <w:tab/>
                </w:r>
                <w:r w:rsidR="00415D8D">
                  <w:rPr>
                    <w:noProof/>
                    <w:webHidden/>
                  </w:rPr>
                  <w:fldChar w:fldCharType="begin"/>
                </w:r>
                <w:r w:rsidR="00415D8D">
                  <w:rPr>
                    <w:noProof/>
                    <w:webHidden/>
                  </w:rPr>
                  <w:instrText xml:space="preserve"> PAGEREF _Toc114566224 \h </w:instrText>
                </w:r>
                <w:r w:rsidR="00415D8D">
                  <w:rPr>
                    <w:noProof/>
                    <w:webHidden/>
                  </w:rPr>
                </w:r>
                <w:r w:rsidR="00415D8D">
                  <w:rPr>
                    <w:noProof/>
                    <w:webHidden/>
                  </w:rPr>
                  <w:fldChar w:fldCharType="separate"/>
                </w:r>
                <w:r w:rsidR="00F34493">
                  <w:rPr>
                    <w:noProof/>
                    <w:webHidden/>
                  </w:rPr>
                  <w:t>29</w:t>
                </w:r>
                <w:r w:rsidR="00415D8D">
                  <w:rPr>
                    <w:noProof/>
                    <w:webHidden/>
                  </w:rPr>
                  <w:fldChar w:fldCharType="end"/>
                </w:r>
              </w:hyperlink>
            </w:p>
            <w:p w14:paraId="27D7E3A5" w14:textId="1B083000"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5" w:history="1">
                <w:r w:rsidR="00415D8D" w:rsidRPr="000102AA">
                  <w:rPr>
                    <w:rStyle w:val="Hyperlink"/>
                    <w:noProof/>
                  </w:rPr>
                  <w:t>7.2</w:t>
                </w:r>
                <w:r w:rsidR="00415D8D">
                  <w:rPr>
                    <w:rFonts w:asciiTheme="minorHAnsi" w:eastAsiaTheme="minorEastAsia" w:hAnsiTheme="minorHAnsi" w:cstheme="minorBidi"/>
                    <w:noProof/>
                    <w:color w:val="auto"/>
                    <w:sz w:val="22"/>
                  </w:rPr>
                  <w:tab/>
                </w:r>
                <w:r w:rsidR="00415D8D" w:rsidRPr="000102AA">
                  <w:rPr>
                    <w:rStyle w:val="Hyperlink"/>
                    <w:noProof/>
                  </w:rPr>
                  <w:t>Office building</w:t>
                </w:r>
                <w:r w:rsidR="00415D8D">
                  <w:rPr>
                    <w:noProof/>
                    <w:webHidden/>
                  </w:rPr>
                  <w:tab/>
                </w:r>
                <w:r w:rsidR="00415D8D">
                  <w:rPr>
                    <w:noProof/>
                    <w:webHidden/>
                  </w:rPr>
                  <w:fldChar w:fldCharType="begin"/>
                </w:r>
                <w:r w:rsidR="00415D8D">
                  <w:rPr>
                    <w:noProof/>
                    <w:webHidden/>
                  </w:rPr>
                  <w:instrText xml:space="preserve"> PAGEREF _Toc114566225 \h </w:instrText>
                </w:r>
                <w:r w:rsidR="00415D8D">
                  <w:rPr>
                    <w:noProof/>
                    <w:webHidden/>
                  </w:rPr>
                </w:r>
                <w:r w:rsidR="00415D8D">
                  <w:rPr>
                    <w:noProof/>
                    <w:webHidden/>
                  </w:rPr>
                  <w:fldChar w:fldCharType="separate"/>
                </w:r>
                <w:r w:rsidR="00F34493">
                  <w:rPr>
                    <w:noProof/>
                    <w:webHidden/>
                  </w:rPr>
                  <w:t>30</w:t>
                </w:r>
                <w:r w:rsidR="00415D8D">
                  <w:rPr>
                    <w:noProof/>
                    <w:webHidden/>
                  </w:rPr>
                  <w:fldChar w:fldCharType="end"/>
                </w:r>
              </w:hyperlink>
            </w:p>
            <w:p w14:paraId="2044EF6F" w14:textId="06D6B882"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6" w:history="1">
                <w:r w:rsidR="00415D8D" w:rsidRPr="000102AA">
                  <w:rPr>
                    <w:rStyle w:val="Hyperlink"/>
                    <w:noProof/>
                  </w:rPr>
                  <w:t>7.3</w:t>
                </w:r>
                <w:r w:rsidR="00415D8D">
                  <w:rPr>
                    <w:rFonts w:asciiTheme="minorHAnsi" w:eastAsiaTheme="minorEastAsia" w:hAnsiTheme="minorHAnsi" w:cstheme="minorBidi"/>
                    <w:noProof/>
                    <w:color w:val="auto"/>
                    <w:sz w:val="22"/>
                  </w:rPr>
                  <w:tab/>
                </w:r>
                <w:r w:rsidR="00415D8D" w:rsidRPr="000102AA">
                  <w:rPr>
                    <w:rStyle w:val="Hyperlink"/>
                    <w:noProof/>
                  </w:rPr>
                  <w:t>Medium-sized GHG-intensive factory/industry</w:t>
                </w:r>
                <w:r w:rsidR="00415D8D">
                  <w:rPr>
                    <w:noProof/>
                    <w:webHidden/>
                  </w:rPr>
                  <w:tab/>
                </w:r>
                <w:r w:rsidR="00415D8D">
                  <w:rPr>
                    <w:noProof/>
                    <w:webHidden/>
                  </w:rPr>
                  <w:fldChar w:fldCharType="begin"/>
                </w:r>
                <w:r w:rsidR="00415D8D">
                  <w:rPr>
                    <w:noProof/>
                    <w:webHidden/>
                  </w:rPr>
                  <w:instrText xml:space="preserve"> PAGEREF _Toc114566226 \h </w:instrText>
                </w:r>
                <w:r w:rsidR="00415D8D">
                  <w:rPr>
                    <w:noProof/>
                    <w:webHidden/>
                  </w:rPr>
                </w:r>
                <w:r w:rsidR="00415D8D">
                  <w:rPr>
                    <w:noProof/>
                    <w:webHidden/>
                  </w:rPr>
                  <w:fldChar w:fldCharType="separate"/>
                </w:r>
                <w:r w:rsidR="00F34493">
                  <w:rPr>
                    <w:noProof/>
                    <w:webHidden/>
                  </w:rPr>
                  <w:t>31</w:t>
                </w:r>
                <w:r w:rsidR="00415D8D">
                  <w:rPr>
                    <w:noProof/>
                    <w:webHidden/>
                  </w:rPr>
                  <w:fldChar w:fldCharType="end"/>
                </w:r>
              </w:hyperlink>
            </w:p>
            <w:p w14:paraId="0FA23B89" w14:textId="13419976" w:rsidR="00415D8D" w:rsidRDefault="00A04D78" w:rsidP="00415D8D">
              <w:pPr>
                <w:pStyle w:val="TOC2"/>
                <w:tabs>
                  <w:tab w:val="right" w:leader="dot" w:pos="10163"/>
                </w:tabs>
                <w:rPr>
                  <w:rFonts w:asciiTheme="minorHAnsi" w:eastAsiaTheme="minorEastAsia" w:hAnsiTheme="minorHAnsi" w:cstheme="minorBidi"/>
                  <w:noProof/>
                  <w:color w:val="auto"/>
                  <w:sz w:val="22"/>
                </w:rPr>
              </w:pPr>
              <w:hyperlink w:anchor="_Toc114566227" w:history="1">
                <w:r w:rsidR="00415D8D" w:rsidRPr="000102AA">
                  <w:rPr>
                    <w:rStyle w:val="Hyperlink"/>
                    <w:noProof/>
                  </w:rPr>
                  <w:t>7.4</w:t>
                </w:r>
                <w:r w:rsidR="00415D8D">
                  <w:rPr>
                    <w:rFonts w:asciiTheme="minorHAnsi" w:eastAsiaTheme="minorEastAsia" w:hAnsiTheme="minorHAnsi" w:cstheme="minorBidi"/>
                    <w:noProof/>
                    <w:color w:val="auto"/>
                    <w:sz w:val="22"/>
                  </w:rPr>
                  <w:tab/>
                </w:r>
                <w:r w:rsidR="00415D8D" w:rsidRPr="000102AA">
                  <w:rPr>
                    <w:rStyle w:val="Hyperlink"/>
                    <w:noProof/>
                  </w:rPr>
                  <w:t>EPA licensed business</w:t>
                </w:r>
                <w:r w:rsidR="00415D8D">
                  <w:rPr>
                    <w:noProof/>
                    <w:webHidden/>
                  </w:rPr>
                  <w:tab/>
                </w:r>
                <w:r w:rsidR="00415D8D">
                  <w:rPr>
                    <w:noProof/>
                    <w:webHidden/>
                  </w:rPr>
                  <w:fldChar w:fldCharType="begin"/>
                </w:r>
                <w:r w:rsidR="00415D8D">
                  <w:rPr>
                    <w:noProof/>
                    <w:webHidden/>
                  </w:rPr>
                  <w:instrText xml:space="preserve"> PAGEREF _Toc114566227 \h </w:instrText>
                </w:r>
                <w:r w:rsidR="00415D8D">
                  <w:rPr>
                    <w:noProof/>
                    <w:webHidden/>
                  </w:rPr>
                </w:r>
                <w:r w:rsidR="00415D8D">
                  <w:rPr>
                    <w:noProof/>
                    <w:webHidden/>
                  </w:rPr>
                  <w:fldChar w:fldCharType="separate"/>
                </w:r>
                <w:r w:rsidR="00F34493">
                  <w:rPr>
                    <w:noProof/>
                    <w:webHidden/>
                  </w:rPr>
                  <w:t>31</w:t>
                </w:r>
                <w:r w:rsidR="00415D8D">
                  <w:rPr>
                    <w:noProof/>
                    <w:webHidden/>
                  </w:rPr>
                  <w:fldChar w:fldCharType="end"/>
                </w:r>
              </w:hyperlink>
            </w:p>
            <w:p w14:paraId="5DD2B1D0" w14:textId="6B836780"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28" w:history="1">
                <w:r w:rsidR="00415D8D" w:rsidRPr="000102AA">
                  <w:rPr>
                    <w:rStyle w:val="Hyperlink"/>
                    <w:b/>
                    <w:bCs/>
                    <w:noProof/>
                  </w:rPr>
                  <w:t>8.</w:t>
                </w:r>
                <w:r w:rsidR="00415D8D">
                  <w:rPr>
                    <w:rFonts w:asciiTheme="minorHAnsi" w:eastAsiaTheme="minorEastAsia" w:hAnsiTheme="minorHAnsi" w:cstheme="minorBidi"/>
                    <w:noProof/>
                    <w:color w:val="auto"/>
                    <w:sz w:val="22"/>
                    <w:szCs w:val="22"/>
                  </w:rPr>
                  <w:tab/>
                </w:r>
                <w:r w:rsidR="00415D8D" w:rsidRPr="000102AA">
                  <w:rPr>
                    <w:rStyle w:val="Hyperlink"/>
                    <w:b/>
                    <w:bCs/>
                    <w:noProof/>
                  </w:rPr>
                  <w:t>EPA guidance relevant to GHG emissions and climate change</w:t>
                </w:r>
                <w:r w:rsidR="00415D8D">
                  <w:rPr>
                    <w:noProof/>
                    <w:webHidden/>
                  </w:rPr>
                  <w:tab/>
                </w:r>
                <w:r w:rsidR="00415D8D">
                  <w:rPr>
                    <w:noProof/>
                    <w:webHidden/>
                  </w:rPr>
                  <w:fldChar w:fldCharType="begin"/>
                </w:r>
                <w:r w:rsidR="00415D8D">
                  <w:rPr>
                    <w:noProof/>
                    <w:webHidden/>
                  </w:rPr>
                  <w:instrText xml:space="preserve"> PAGEREF _Toc114566228 \h </w:instrText>
                </w:r>
                <w:r w:rsidR="00415D8D">
                  <w:rPr>
                    <w:noProof/>
                    <w:webHidden/>
                  </w:rPr>
                </w:r>
                <w:r w:rsidR="00415D8D">
                  <w:rPr>
                    <w:noProof/>
                    <w:webHidden/>
                  </w:rPr>
                  <w:fldChar w:fldCharType="separate"/>
                </w:r>
                <w:r w:rsidR="00F34493">
                  <w:rPr>
                    <w:noProof/>
                    <w:webHidden/>
                  </w:rPr>
                  <w:t>33</w:t>
                </w:r>
                <w:r w:rsidR="00415D8D">
                  <w:rPr>
                    <w:noProof/>
                    <w:webHidden/>
                  </w:rPr>
                  <w:fldChar w:fldCharType="end"/>
                </w:r>
              </w:hyperlink>
            </w:p>
            <w:p w14:paraId="76FC577E" w14:textId="473C6289"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29" w:history="1">
                <w:r w:rsidR="00415D8D" w:rsidRPr="000102AA">
                  <w:rPr>
                    <w:rStyle w:val="Hyperlink"/>
                    <w:rFonts w:eastAsia="Calibri" w:cs="Arial"/>
                    <w:b/>
                    <w:bCs/>
                    <w:noProof/>
                  </w:rPr>
                  <w:t>9.</w:t>
                </w:r>
                <w:r w:rsidR="00415D8D">
                  <w:rPr>
                    <w:rFonts w:asciiTheme="minorHAnsi" w:eastAsiaTheme="minorEastAsia" w:hAnsiTheme="minorHAnsi" w:cstheme="minorBidi"/>
                    <w:noProof/>
                    <w:color w:val="auto"/>
                    <w:sz w:val="22"/>
                    <w:szCs w:val="22"/>
                  </w:rPr>
                  <w:tab/>
                </w:r>
                <w:r w:rsidR="00415D8D" w:rsidRPr="000102AA">
                  <w:rPr>
                    <w:rStyle w:val="Hyperlink"/>
                    <w:b/>
                    <w:bCs/>
                    <w:noProof/>
                  </w:rPr>
                  <w:t>Further reading and references</w:t>
                </w:r>
                <w:r w:rsidR="00415D8D">
                  <w:rPr>
                    <w:noProof/>
                    <w:webHidden/>
                  </w:rPr>
                  <w:tab/>
                </w:r>
                <w:r w:rsidR="00415D8D">
                  <w:rPr>
                    <w:noProof/>
                    <w:webHidden/>
                  </w:rPr>
                  <w:fldChar w:fldCharType="begin"/>
                </w:r>
                <w:r w:rsidR="00415D8D">
                  <w:rPr>
                    <w:noProof/>
                    <w:webHidden/>
                  </w:rPr>
                  <w:instrText xml:space="preserve"> PAGEREF _Toc114566229 \h </w:instrText>
                </w:r>
                <w:r w:rsidR="00415D8D">
                  <w:rPr>
                    <w:noProof/>
                    <w:webHidden/>
                  </w:rPr>
                </w:r>
                <w:r w:rsidR="00415D8D">
                  <w:rPr>
                    <w:noProof/>
                    <w:webHidden/>
                  </w:rPr>
                  <w:fldChar w:fldCharType="separate"/>
                </w:r>
                <w:r w:rsidR="00F34493">
                  <w:rPr>
                    <w:noProof/>
                    <w:webHidden/>
                  </w:rPr>
                  <w:t>34</w:t>
                </w:r>
                <w:r w:rsidR="00415D8D">
                  <w:rPr>
                    <w:noProof/>
                    <w:webHidden/>
                  </w:rPr>
                  <w:fldChar w:fldCharType="end"/>
                </w:r>
              </w:hyperlink>
            </w:p>
            <w:p w14:paraId="49B5824C" w14:textId="508BF754"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0" w:history="1">
                <w:r w:rsidR="00415D8D" w:rsidRPr="000102AA">
                  <w:rPr>
                    <w:rStyle w:val="Hyperlink"/>
                    <w:b/>
                    <w:bCs/>
                    <w:noProof/>
                  </w:rPr>
                  <w:t>Appendix A – Greenhouse gas substances</w:t>
                </w:r>
                <w:r w:rsidR="00415D8D">
                  <w:rPr>
                    <w:noProof/>
                    <w:webHidden/>
                  </w:rPr>
                  <w:tab/>
                </w:r>
                <w:r w:rsidR="00415D8D">
                  <w:rPr>
                    <w:noProof/>
                    <w:webHidden/>
                  </w:rPr>
                  <w:fldChar w:fldCharType="begin"/>
                </w:r>
                <w:r w:rsidR="00415D8D">
                  <w:rPr>
                    <w:noProof/>
                    <w:webHidden/>
                  </w:rPr>
                  <w:instrText xml:space="preserve"> PAGEREF _Toc114566230 \h </w:instrText>
                </w:r>
                <w:r w:rsidR="00415D8D">
                  <w:rPr>
                    <w:noProof/>
                    <w:webHidden/>
                  </w:rPr>
                </w:r>
                <w:r w:rsidR="00415D8D">
                  <w:rPr>
                    <w:noProof/>
                    <w:webHidden/>
                  </w:rPr>
                  <w:fldChar w:fldCharType="separate"/>
                </w:r>
                <w:r w:rsidR="00F34493">
                  <w:rPr>
                    <w:noProof/>
                    <w:webHidden/>
                  </w:rPr>
                  <w:t>38</w:t>
                </w:r>
                <w:r w:rsidR="00415D8D">
                  <w:rPr>
                    <w:noProof/>
                    <w:webHidden/>
                  </w:rPr>
                  <w:fldChar w:fldCharType="end"/>
                </w:r>
              </w:hyperlink>
            </w:p>
            <w:p w14:paraId="53546B76" w14:textId="5CC77CFF"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1" w:history="1">
                <w:r w:rsidR="00415D8D" w:rsidRPr="000102AA">
                  <w:rPr>
                    <w:rStyle w:val="Hyperlink"/>
                    <w:b/>
                    <w:bCs/>
                    <w:noProof/>
                  </w:rPr>
                  <w:t xml:space="preserve">Appendix B – </w:t>
                </w:r>
                <w:r w:rsidR="00415D8D" w:rsidRPr="000102AA">
                  <w:rPr>
                    <w:rStyle w:val="Hyperlink"/>
                    <w:b/>
                    <w:bCs/>
                    <w:iCs/>
                    <w:noProof/>
                  </w:rPr>
                  <w:t xml:space="preserve">Action plan template </w:t>
                </w:r>
                <w:r w:rsidR="00415D8D">
                  <w:rPr>
                    <w:noProof/>
                    <w:webHidden/>
                  </w:rPr>
                  <w:tab/>
                </w:r>
                <w:r w:rsidR="00415D8D">
                  <w:rPr>
                    <w:noProof/>
                    <w:webHidden/>
                  </w:rPr>
                  <w:fldChar w:fldCharType="begin"/>
                </w:r>
                <w:r w:rsidR="00415D8D">
                  <w:rPr>
                    <w:noProof/>
                    <w:webHidden/>
                  </w:rPr>
                  <w:instrText xml:space="preserve"> PAGEREF _Toc114566231 \h </w:instrText>
                </w:r>
                <w:r w:rsidR="00415D8D">
                  <w:rPr>
                    <w:noProof/>
                    <w:webHidden/>
                  </w:rPr>
                </w:r>
                <w:r w:rsidR="00415D8D">
                  <w:rPr>
                    <w:noProof/>
                    <w:webHidden/>
                  </w:rPr>
                  <w:fldChar w:fldCharType="separate"/>
                </w:r>
                <w:r w:rsidR="00F34493">
                  <w:rPr>
                    <w:noProof/>
                    <w:webHidden/>
                  </w:rPr>
                  <w:t>39</w:t>
                </w:r>
                <w:r w:rsidR="00415D8D">
                  <w:rPr>
                    <w:noProof/>
                    <w:webHidden/>
                  </w:rPr>
                  <w:fldChar w:fldCharType="end"/>
                </w:r>
              </w:hyperlink>
            </w:p>
            <w:p w14:paraId="68AB5D24" w14:textId="77646F21"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2" w:history="1">
                <w:r w:rsidR="00415D8D" w:rsidRPr="000102AA">
                  <w:rPr>
                    <w:rStyle w:val="Hyperlink"/>
                    <w:b/>
                    <w:bCs/>
                    <w:noProof/>
                  </w:rPr>
                  <w:t>Contact EPA</w:t>
                </w:r>
                <w:r w:rsidR="00415D8D">
                  <w:rPr>
                    <w:noProof/>
                    <w:webHidden/>
                  </w:rPr>
                  <w:tab/>
                </w:r>
                <w:r w:rsidR="00415D8D">
                  <w:rPr>
                    <w:noProof/>
                    <w:webHidden/>
                  </w:rPr>
                  <w:fldChar w:fldCharType="begin"/>
                </w:r>
                <w:r w:rsidR="00415D8D">
                  <w:rPr>
                    <w:noProof/>
                    <w:webHidden/>
                  </w:rPr>
                  <w:instrText xml:space="preserve"> PAGEREF _Toc114566232 \h </w:instrText>
                </w:r>
                <w:r w:rsidR="00415D8D">
                  <w:rPr>
                    <w:noProof/>
                    <w:webHidden/>
                  </w:rPr>
                </w:r>
                <w:r w:rsidR="00415D8D">
                  <w:rPr>
                    <w:noProof/>
                    <w:webHidden/>
                  </w:rPr>
                  <w:fldChar w:fldCharType="separate"/>
                </w:r>
                <w:r w:rsidR="00F34493">
                  <w:rPr>
                    <w:noProof/>
                    <w:webHidden/>
                  </w:rPr>
                  <w:t>40</w:t>
                </w:r>
                <w:r w:rsidR="00415D8D">
                  <w:rPr>
                    <w:noProof/>
                    <w:webHidden/>
                  </w:rPr>
                  <w:fldChar w:fldCharType="end"/>
                </w:r>
              </w:hyperlink>
            </w:p>
            <w:p w14:paraId="11210EAA" w14:textId="37685542" w:rsidR="00415D8D" w:rsidRDefault="00A04D78"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3" w:history="1">
                <w:r w:rsidR="00415D8D" w:rsidRPr="000102AA">
                  <w:rPr>
                    <w:rStyle w:val="Hyperlink"/>
                    <w:b/>
                    <w:bCs/>
                    <w:noProof/>
                  </w:rPr>
                  <w:t>Other stakeholders and networks</w:t>
                </w:r>
                <w:r w:rsidR="00415D8D">
                  <w:rPr>
                    <w:noProof/>
                    <w:webHidden/>
                  </w:rPr>
                  <w:tab/>
                </w:r>
                <w:r w:rsidR="00415D8D">
                  <w:rPr>
                    <w:noProof/>
                    <w:webHidden/>
                  </w:rPr>
                  <w:fldChar w:fldCharType="begin"/>
                </w:r>
                <w:r w:rsidR="00415D8D">
                  <w:rPr>
                    <w:noProof/>
                    <w:webHidden/>
                  </w:rPr>
                  <w:instrText xml:space="preserve"> PAGEREF _Toc114566233 \h </w:instrText>
                </w:r>
                <w:r w:rsidR="00415D8D">
                  <w:rPr>
                    <w:noProof/>
                    <w:webHidden/>
                  </w:rPr>
                </w:r>
                <w:r w:rsidR="00415D8D">
                  <w:rPr>
                    <w:noProof/>
                    <w:webHidden/>
                  </w:rPr>
                  <w:fldChar w:fldCharType="separate"/>
                </w:r>
                <w:r w:rsidR="00F34493">
                  <w:rPr>
                    <w:noProof/>
                    <w:webHidden/>
                  </w:rPr>
                  <w:t>41</w:t>
                </w:r>
                <w:r w:rsidR="00415D8D">
                  <w:rPr>
                    <w:noProof/>
                    <w:webHidden/>
                  </w:rPr>
                  <w:fldChar w:fldCharType="end"/>
                </w:r>
              </w:hyperlink>
            </w:p>
            <w:p w14:paraId="67B364E7" w14:textId="6941AC82" w:rsidR="0031313C" w:rsidRDefault="0031313C" w:rsidP="00E21E00">
              <w:pPr>
                <w:pStyle w:val="TOC1"/>
                <w:tabs>
                  <w:tab w:val="right" w:leader="dot" w:pos="10163"/>
                </w:tabs>
                <w:spacing w:before="0"/>
              </w:pPr>
              <w:r w:rsidRPr="00E21E00">
                <w:rPr>
                  <w:b/>
                  <w:bCs/>
                  <w:noProof/>
                  <w:sz w:val="18"/>
                  <w:szCs w:val="22"/>
                </w:rPr>
                <w:fldChar w:fldCharType="end"/>
              </w:r>
            </w:p>
          </w:sdtContent>
        </w:sdt>
        <w:p w14:paraId="29AA7196" w14:textId="6A78C226" w:rsidR="00D5480E" w:rsidRPr="00010FA6" w:rsidRDefault="00A04D78" w:rsidP="006F7AA9">
          <w:pPr>
            <w:pStyle w:val="TOC1"/>
            <w:tabs>
              <w:tab w:val="left" w:pos="993"/>
              <w:tab w:val="left" w:pos="9923"/>
              <w:tab w:val="left" w:leader="dot" w:pos="10360"/>
            </w:tabs>
            <w:spacing w:before="117" w:after="240"/>
            <w:ind w:left="0" w:firstLine="0"/>
            <w:rPr>
              <w:rFonts w:ascii="VIC" w:hAnsi="VIC"/>
            </w:rPr>
            <w:sectPr w:rsidR="00D5480E" w:rsidRPr="00010FA6" w:rsidSect="00742582">
              <w:headerReference w:type="even" r:id="rId22"/>
              <w:headerReference w:type="default" r:id="rId23"/>
              <w:footerReference w:type="default" r:id="rId24"/>
              <w:headerReference w:type="first" r:id="rId25"/>
              <w:pgSz w:w="11900" w:h="16840"/>
              <w:pgMar w:top="1040" w:right="740" w:bottom="1320" w:left="987" w:header="735" w:footer="854" w:gutter="0"/>
              <w:cols w:space="720"/>
            </w:sectPr>
          </w:pPr>
        </w:p>
      </w:sdtContent>
    </w:sdt>
    <w:p w14:paraId="524A144A" w14:textId="56E0F513" w:rsidR="00927E13" w:rsidRPr="00E21E00" w:rsidRDefault="00F31AB1" w:rsidP="009940F2">
      <w:pPr>
        <w:pStyle w:val="Heading1"/>
        <w:numPr>
          <w:ilvl w:val="0"/>
          <w:numId w:val="4"/>
        </w:numPr>
        <w:rPr>
          <w:b/>
          <w:bCs/>
        </w:rPr>
      </w:pPr>
      <w:bookmarkStart w:id="11" w:name="_Toc114045786"/>
      <w:bookmarkStart w:id="12" w:name="_Toc114566192"/>
      <w:r w:rsidRPr="00E21E00">
        <w:rPr>
          <w:b/>
          <w:bCs/>
        </w:rPr>
        <w:lastRenderedPageBreak/>
        <w:t>Introduction</w:t>
      </w:r>
      <w:bookmarkEnd w:id="11"/>
      <w:bookmarkEnd w:id="12"/>
    </w:p>
    <w:p w14:paraId="6C1342E9" w14:textId="7BBE222D" w:rsidR="00F94A1F" w:rsidRDefault="00F94A1F" w:rsidP="00F94A1F">
      <w:pPr>
        <w:pStyle w:val="BodyText"/>
      </w:pPr>
      <w:r>
        <w:t xml:space="preserve">The </w:t>
      </w:r>
      <w:hyperlink r:id="rId26" w:history="1">
        <w:r>
          <w:rPr>
            <w:rStyle w:val="Hyperlink"/>
            <w:i/>
            <w:iCs/>
          </w:rPr>
          <w:t>Environment Protection Act 2017</w:t>
        </w:r>
      </w:hyperlink>
      <w:r>
        <w:t xml:space="preserve"> </w:t>
      </w:r>
      <w:r w:rsidR="005375BF">
        <w:t xml:space="preserve"> </w:t>
      </w:r>
      <w:r>
        <w:t xml:space="preserve">(the </w:t>
      </w:r>
      <w:r w:rsidR="001F6967">
        <w:t xml:space="preserve">EP </w:t>
      </w:r>
      <w:r>
        <w:t xml:space="preserve">Act) requires all persons </w:t>
      </w:r>
      <w:r w:rsidRPr="004469F3">
        <w:t>who engage in an activity that may give rise to risks of harm to human health or the environment from pollution or waste</w:t>
      </w:r>
      <w:r>
        <w:t xml:space="preserve"> to </w:t>
      </w:r>
      <w:proofErr w:type="spellStart"/>
      <w:r>
        <w:t>minimise</w:t>
      </w:r>
      <w:proofErr w:type="spellEnd"/>
      <w:r>
        <w:t xml:space="preserve"> those risks so far as reasonably practicable.</w:t>
      </w:r>
      <w:r w:rsidRPr="00C7053D">
        <w:t xml:space="preserve"> This is the general environmental duty (GED).</w:t>
      </w:r>
    </w:p>
    <w:p w14:paraId="06E8ADDA" w14:textId="77777777" w:rsidR="00536048" w:rsidRPr="00536048" w:rsidRDefault="00536048" w:rsidP="00536048">
      <w:pPr>
        <w:pStyle w:val="BodyText"/>
        <w:spacing w:before="120"/>
        <w:ind w:right="152"/>
        <w:rPr>
          <w:szCs w:val="20"/>
        </w:rPr>
      </w:pPr>
      <w:r w:rsidRPr="00536048">
        <w:rPr>
          <w:szCs w:val="20"/>
        </w:rPr>
        <w:t xml:space="preserve">Greenhouse gas (GHG) emissions contribute to an increase in climate change risks, and so create a risk of harm to human health and the environment. </w:t>
      </w:r>
    </w:p>
    <w:p w14:paraId="276231FA" w14:textId="77777777" w:rsidR="00536048" w:rsidRPr="00536048" w:rsidRDefault="00536048" w:rsidP="00536048">
      <w:pPr>
        <w:pStyle w:val="BodyText"/>
        <w:spacing w:before="120"/>
        <w:ind w:right="152"/>
        <w:rPr>
          <w:szCs w:val="20"/>
        </w:rPr>
      </w:pPr>
      <w:r w:rsidRPr="00536048">
        <w:rPr>
          <w:szCs w:val="20"/>
        </w:rPr>
        <w:t xml:space="preserve">This guideline is designed specifically to help persons who conduct a business to understand their obligations under the GED in relation to GHG emissions.  </w:t>
      </w:r>
    </w:p>
    <w:p w14:paraId="7D241CFB" w14:textId="77777777" w:rsidR="00536048" w:rsidRPr="00536048" w:rsidRDefault="00536048" w:rsidP="00536048">
      <w:pPr>
        <w:pStyle w:val="BodyText"/>
        <w:spacing w:before="120"/>
        <w:ind w:right="152"/>
        <w:rPr>
          <w:szCs w:val="20"/>
        </w:rPr>
      </w:pPr>
      <w:r w:rsidRPr="00536048">
        <w:rPr>
          <w:szCs w:val="20"/>
        </w:rPr>
        <w:t xml:space="preserve">As a business owner, whether a company or sole trader, it is your responsibility to understand and </w:t>
      </w:r>
      <w:proofErr w:type="spellStart"/>
      <w:r w:rsidRPr="00536048">
        <w:rPr>
          <w:szCs w:val="20"/>
        </w:rPr>
        <w:t>minimise</w:t>
      </w:r>
      <w:proofErr w:type="spellEnd"/>
      <w:r w:rsidRPr="00536048">
        <w:rPr>
          <w:szCs w:val="20"/>
        </w:rPr>
        <w:t xml:space="preserve"> (so far as reasonably practicable) the risks of harm from GHG emissions from any activity you engage in. This applies whether you emit small or large amounts of GHG emissions. </w:t>
      </w:r>
    </w:p>
    <w:p w14:paraId="6D78CF3A" w14:textId="347EB4C7" w:rsidR="00536048" w:rsidRPr="00536048" w:rsidRDefault="00536048" w:rsidP="00536048">
      <w:pPr>
        <w:pStyle w:val="BodyText"/>
        <w:spacing w:before="120"/>
        <w:ind w:right="152"/>
        <w:rPr>
          <w:szCs w:val="20"/>
        </w:rPr>
      </w:pPr>
      <w:r w:rsidRPr="00536048">
        <w:rPr>
          <w:szCs w:val="20"/>
        </w:rPr>
        <w:t xml:space="preserve">You do this by demonstrating </w:t>
      </w:r>
      <w:r w:rsidR="005375BF">
        <w:rPr>
          <w:szCs w:val="20"/>
        </w:rPr>
        <w:t xml:space="preserve">that </w:t>
      </w:r>
      <w:r w:rsidRPr="00536048">
        <w:rPr>
          <w:szCs w:val="20"/>
        </w:rPr>
        <w:t>you</w:t>
      </w:r>
      <w:r w:rsidR="005375BF">
        <w:rPr>
          <w:szCs w:val="20"/>
        </w:rPr>
        <w:t xml:space="preserve"> ha</w:t>
      </w:r>
      <w:r w:rsidRPr="00536048">
        <w:rPr>
          <w:szCs w:val="20"/>
        </w:rPr>
        <w:t>ve considered and implemented the most suitable actions and controls that are available to eliminate or reduce the harm.</w:t>
      </w:r>
    </w:p>
    <w:p w14:paraId="4EB2E2A0" w14:textId="77777777" w:rsidR="00536048" w:rsidRPr="00536048" w:rsidRDefault="00536048" w:rsidP="00536048">
      <w:pPr>
        <w:pStyle w:val="BodyText"/>
        <w:spacing w:before="120"/>
        <w:ind w:right="152"/>
        <w:rPr>
          <w:szCs w:val="20"/>
        </w:rPr>
      </w:pPr>
      <w:r w:rsidRPr="00536048">
        <w:rPr>
          <w:szCs w:val="20"/>
        </w:rPr>
        <w:t xml:space="preserve">Doing what is reasonably practicable means putting in proportionate controls to understand and </w:t>
      </w:r>
      <w:proofErr w:type="spellStart"/>
      <w:r w:rsidRPr="00536048">
        <w:rPr>
          <w:szCs w:val="20"/>
        </w:rPr>
        <w:t>minimise</w:t>
      </w:r>
      <w:proofErr w:type="spellEnd"/>
      <w:r w:rsidRPr="00536048">
        <w:rPr>
          <w:szCs w:val="20"/>
        </w:rPr>
        <w:t xml:space="preserve"> the risk of harm from GHG emissions. Being proportionate means the greater the risk of harm (for example, the type and quantity of your GHG emissions), the greater the expectation for you to </w:t>
      </w:r>
      <w:proofErr w:type="spellStart"/>
      <w:r w:rsidRPr="00536048">
        <w:rPr>
          <w:szCs w:val="20"/>
        </w:rPr>
        <w:t>minimise</w:t>
      </w:r>
      <w:proofErr w:type="spellEnd"/>
      <w:r w:rsidRPr="00536048">
        <w:rPr>
          <w:szCs w:val="20"/>
        </w:rPr>
        <w:t xml:space="preserve"> it. </w:t>
      </w:r>
    </w:p>
    <w:p w14:paraId="3A17C6FE" w14:textId="3FACE606" w:rsidR="00927E13" w:rsidRPr="00234D15" w:rsidRDefault="00536048" w:rsidP="00536048">
      <w:pPr>
        <w:pStyle w:val="BodyText"/>
        <w:spacing w:before="120"/>
        <w:ind w:right="152"/>
        <w:rPr>
          <w:szCs w:val="20"/>
        </w:rPr>
      </w:pPr>
      <w:r w:rsidRPr="00536048">
        <w:rPr>
          <w:szCs w:val="20"/>
        </w:rPr>
        <w:t>The approach and steps you take will depend on the scale and complexity of your activities.</w:t>
      </w:r>
    </w:p>
    <w:p w14:paraId="275000BA" w14:textId="77777777" w:rsidR="00453AB4" w:rsidRPr="00453AB4" w:rsidRDefault="00453AB4" w:rsidP="00453AB4">
      <w:pPr>
        <w:pStyle w:val="BodyText"/>
        <w:spacing w:before="117"/>
        <w:rPr>
          <w:rFonts w:eastAsia="Times New Roman" w:cs="Arial"/>
          <w:szCs w:val="20"/>
          <w:lang w:val="en-AU" w:eastAsia="en-AU"/>
        </w:rPr>
      </w:pPr>
      <w:r w:rsidRPr="00453AB4">
        <w:rPr>
          <w:rFonts w:eastAsia="Times New Roman" w:cs="Arial"/>
          <w:szCs w:val="20"/>
          <w:lang w:val="en-AU" w:eastAsia="en-AU"/>
        </w:rPr>
        <w:t>For example, as a small business with small energy use, you might minimise risks of harm from your GHG emissions by:</w:t>
      </w:r>
    </w:p>
    <w:p w14:paraId="4338AAE0" w14:textId="3DF8B6B5" w:rsidR="00453AB4" w:rsidRPr="00664040" w:rsidRDefault="00453AB4" w:rsidP="009940F2">
      <w:pPr>
        <w:pStyle w:val="ListBullet0"/>
        <w:rPr>
          <w:rFonts w:ascii="VIC" w:hAnsi="VIC"/>
          <w:sz w:val="20"/>
          <w:szCs w:val="20"/>
        </w:rPr>
      </w:pPr>
      <w:r w:rsidRPr="00664040">
        <w:rPr>
          <w:rFonts w:ascii="VIC" w:hAnsi="VIC"/>
          <w:sz w:val="20"/>
          <w:szCs w:val="20"/>
        </w:rPr>
        <w:t>adjusting air conditioning temperatures according to the season</w:t>
      </w:r>
    </w:p>
    <w:p w14:paraId="70001BE7" w14:textId="768F078C" w:rsidR="00453AB4" w:rsidRPr="00664040" w:rsidRDefault="00453AB4" w:rsidP="009940F2">
      <w:pPr>
        <w:pStyle w:val="ListBullet0"/>
        <w:rPr>
          <w:rFonts w:ascii="VIC" w:hAnsi="VIC"/>
          <w:sz w:val="20"/>
          <w:szCs w:val="20"/>
        </w:rPr>
      </w:pPr>
      <w:r w:rsidRPr="00664040">
        <w:rPr>
          <w:rFonts w:ascii="VIC" w:hAnsi="VIC"/>
          <w:sz w:val="20"/>
          <w:szCs w:val="20"/>
        </w:rPr>
        <w:t>installing LED lighting to save electricity</w:t>
      </w:r>
    </w:p>
    <w:p w14:paraId="4F3B6687" w14:textId="6532D2D2" w:rsidR="00453AB4" w:rsidRPr="00664040" w:rsidRDefault="00453AB4" w:rsidP="009940F2">
      <w:pPr>
        <w:pStyle w:val="ListBullet0"/>
        <w:rPr>
          <w:rFonts w:ascii="VIC" w:hAnsi="VIC"/>
          <w:sz w:val="20"/>
          <w:szCs w:val="20"/>
        </w:rPr>
      </w:pPr>
      <w:r w:rsidRPr="00664040">
        <w:rPr>
          <w:rFonts w:ascii="VIC" w:hAnsi="VIC"/>
          <w:sz w:val="20"/>
          <w:szCs w:val="20"/>
        </w:rPr>
        <w:t xml:space="preserve">maintaining your equipment. </w:t>
      </w:r>
    </w:p>
    <w:p w14:paraId="34D91B64" w14:textId="77777777" w:rsidR="00453AB4" w:rsidRPr="00453AB4" w:rsidRDefault="00453AB4" w:rsidP="00F16D94">
      <w:r w:rsidRPr="00453AB4">
        <w:t xml:space="preserve">You may also choose to track your energy, </w:t>
      </w:r>
      <w:proofErr w:type="gramStart"/>
      <w:r w:rsidRPr="00453AB4">
        <w:t>gas</w:t>
      </w:r>
      <w:proofErr w:type="gramEnd"/>
      <w:r w:rsidRPr="00453AB4">
        <w:t xml:space="preserve"> and fuel usage to see how effective your controls are over time. </w:t>
      </w:r>
    </w:p>
    <w:p w14:paraId="07FC96B6" w14:textId="77777777" w:rsidR="00453AB4" w:rsidRPr="00453AB4" w:rsidRDefault="00453AB4" w:rsidP="00F16D94">
      <w:r w:rsidRPr="00453AB4">
        <w:t xml:space="preserve">In contrast, a larger business may require more complex systems, </w:t>
      </w:r>
      <w:proofErr w:type="gramStart"/>
      <w:r w:rsidRPr="00453AB4">
        <w:t>procedures</w:t>
      </w:r>
      <w:proofErr w:type="gramEnd"/>
      <w:r w:rsidRPr="00453AB4">
        <w:t xml:space="preserve"> and documentation to minimise risks of harm from their GHG emissions. </w:t>
      </w:r>
    </w:p>
    <w:p w14:paraId="523CA263" w14:textId="5171CDF9" w:rsidR="00F73117" w:rsidRDefault="00F73117" w:rsidP="00F16D94">
      <w:bookmarkStart w:id="13" w:name="_Toc114045787"/>
      <w:r>
        <w:t>For specific requirements for EPA licence holders</w:t>
      </w:r>
      <w:r w:rsidR="008A775F">
        <w:t>,</w:t>
      </w:r>
      <w:r>
        <w:t xml:space="preserve"> see </w:t>
      </w:r>
      <w:hyperlink r:id="rId27" w:history="1">
        <w:r>
          <w:rPr>
            <w:rStyle w:val="Hyperlink"/>
          </w:rPr>
          <w:t>Implementing the general environmental duty – a guide for licence holders</w:t>
        </w:r>
      </w:hyperlink>
      <w:r>
        <w:t>.</w:t>
      </w:r>
    </w:p>
    <w:p w14:paraId="37B1FEF9" w14:textId="797064EF" w:rsidR="00927E13" w:rsidRDefault="00BD0738" w:rsidP="00BD0738">
      <w:pPr>
        <w:pStyle w:val="Heading2"/>
      </w:pPr>
      <w:bookmarkStart w:id="14" w:name="_Toc114566193"/>
      <w:r>
        <w:t>1.1</w:t>
      </w:r>
      <w:r w:rsidR="002638DD">
        <w:tab/>
      </w:r>
      <w:r w:rsidR="007B420E">
        <w:t>Climate change</w:t>
      </w:r>
      <w:bookmarkEnd w:id="13"/>
      <w:bookmarkEnd w:id="14"/>
    </w:p>
    <w:p w14:paraId="0C07D908" w14:textId="77777777" w:rsidR="006A62F5" w:rsidRDefault="006A62F5" w:rsidP="006A62F5">
      <w:pPr>
        <w:pStyle w:val="BodyText"/>
        <w:spacing w:before="119"/>
        <w:ind w:right="346"/>
        <w:jc w:val="both"/>
      </w:pPr>
      <w:r w:rsidRPr="00686BA7">
        <w:t>Human-induced climate change is already affecting many weather and climate extremes in every</w:t>
      </w:r>
      <w:r>
        <w:t xml:space="preserve"> region across the globe (IPCC, 2021). </w:t>
      </w:r>
    </w:p>
    <w:p w14:paraId="241DD263" w14:textId="77777777" w:rsidR="006A62F5" w:rsidRDefault="006A62F5" w:rsidP="006A62F5">
      <w:pPr>
        <w:pStyle w:val="BodyText"/>
        <w:spacing w:before="119"/>
        <w:ind w:right="346"/>
        <w:jc w:val="both"/>
      </w:pPr>
      <w:r>
        <w:t>Changes to the climate system are now evident from observations of:</w:t>
      </w:r>
    </w:p>
    <w:p w14:paraId="271CE892" w14:textId="447FEC04" w:rsidR="006A62F5" w:rsidRPr="000C7764" w:rsidRDefault="006A62F5" w:rsidP="009940F2">
      <w:pPr>
        <w:pStyle w:val="ListBullet0"/>
        <w:rPr>
          <w:rFonts w:ascii="VIC" w:hAnsi="VIC"/>
          <w:sz w:val="20"/>
          <w:szCs w:val="20"/>
        </w:rPr>
      </w:pPr>
      <w:r w:rsidRPr="000C7764">
        <w:rPr>
          <w:rFonts w:ascii="VIC" w:hAnsi="VIC"/>
          <w:sz w:val="20"/>
          <w:szCs w:val="20"/>
        </w:rPr>
        <w:t>increases in global average air and ocean temperatures</w:t>
      </w:r>
    </w:p>
    <w:p w14:paraId="1B130341" w14:textId="3E346556" w:rsidR="006A62F5" w:rsidRPr="000C7764" w:rsidRDefault="006A62F5" w:rsidP="009940F2">
      <w:pPr>
        <w:pStyle w:val="ListBullet0"/>
        <w:rPr>
          <w:rFonts w:ascii="VIC" w:hAnsi="VIC"/>
          <w:sz w:val="20"/>
          <w:szCs w:val="20"/>
        </w:rPr>
      </w:pPr>
      <w:r w:rsidRPr="000C7764">
        <w:rPr>
          <w:rFonts w:ascii="VIC" w:hAnsi="VIC"/>
          <w:sz w:val="20"/>
          <w:szCs w:val="20"/>
        </w:rPr>
        <w:t>widespread melting of snow and ice, and rising global average sea level</w:t>
      </w:r>
    </w:p>
    <w:p w14:paraId="4370A2C3" w14:textId="279BDCC0" w:rsidR="006A62F5" w:rsidRPr="000C7764" w:rsidRDefault="006A62F5" w:rsidP="009940F2">
      <w:pPr>
        <w:pStyle w:val="ListBullet0"/>
        <w:rPr>
          <w:rFonts w:ascii="VIC" w:hAnsi="VIC"/>
          <w:sz w:val="20"/>
          <w:szCs w:val="20"/>
        </w:rPr>
      </w:pPr>
      <w:r w:rsidRPr="000C7764">
        <w:rPr>
          <w:rFonts w:ascii="VIC" w:hAnsi="VIC"/>
          <w:sz w:val="20"/>
          <w:szCs w:val="20"/>
        </w:rPr>
        <w:t xml:space="preserve">changes in weather patterns, and the frequency and intensity of weather events. </w:t>
      </w:r>
    </w:p>
    <w:p w14:paraId="40E47763" w14:textId="77777777" w:rsidR="003C3B92" w:rsidRDefault="006A62F5" w:rsidP="007A552A">
      <w:r>
        <w:t xml:space="preserve">Victoria has warmed by 1.2°C since official records began in 1910. As a result, Victoria’s average rainfall has already decreased (especially in cooler months), the frequency of extreme heat events has </w:t>
      </w:r>
    </w:p>
    <w:p w14:paraId="51BA27FE" w14:textId="77777777" w:rsidR="007A7A4A" w:rsidRDefault="007A7A4A" w:rsidP="007A552A"/>
    <w:p w14:paraId="381869D7" w14:textId="77777777" w:rsidR="0075443F" w:rsidRDefault="0075443F" w:rsidP="007A552A"/>
    <w:p w14:paraId="5320FDFD" w14:textId="7098FC6A" w:rsidR="006A62F5" w:rsidRDefault="006A62F5" w:rsidP="007A552A">
      <w:r>
        <w:t>increased, and there has been an increase in</w:t>
      </w:r>
      <w:r w:rsidR="008910E0">
        <w:t xml:space="preserve"> </w:t>
      </w:r>
      <w:r>
        <w:t>dangerous fire weather and the length of the bushfire season.</w:t>
      </w:r>
    </w:p>
    <w:p w14:paraId="33BCA302" w14:textId="1F1DCA42" w:rsidR="006A62F5" w:rsidRDefault="006A62F5" w:rsidP="007A552A">
      <w:r>
        <w:t xml:space="preserve">If global emissions continue to increase, in </w:t>
      </w:r>
      <w:r w:rsidRPr="0028739D">
        <w:t>the</w:t>
      </w:r>
      <w:r w:rsidR="000B7F70">
        <w:t xml:space="preserve"> </w:t>
      </w:r>
      <w:r w:rsidR="00EE58DF" w:rsidRPr="0028739D">
        <w:t>2</w:t>
      </w:r>
      <w:r w:rsidRPr="0028739D">
        <w:t>050s</w:t>
      </w:r>
      <w:r>
        <w:t xml:space="preserve"> Victoria may experience an average annual temperature increase of up to 2.4°C, longer fire seasons and more very hot days, more intense downpours, rising sea levels, and declines in cool season rainfall and alpine snowfall</w:t>
      </w:r>
      <w:r w:rsidR="00012342">
        <w:t>.</w:t>
      </w:r>
      <w:r w:rsidR="00091B32">
        <w:rPr>
          <w:rStyle w:val="FootnoteReference"/>
        </w:rPr>
        <w:footnoteReference w:id="2"/>
      </w:r>
      <w:r>
        <w:t xml:space="preserve"> </w:t>
      </w:r>
    </w:p>
    <w:p w14:paraId="66C6643B" w14:textId="2EE8C947" w:rsidR="006A62F5" w:rsidRDefault="006A62F5" w:rsidP="007A552A">
      <w:r>
        <w:t>Climate change impacts on health and wellbeing are many and varied. These impacts, along with impacts on the social determinants of health (such as education, gender, socio-economic status), will be felt earlier and will be most pronounced for vulnerable communities</w:t>
      </w:r>
      <w:r w:rsidR="00012342">
        <w:t>.</w:t>
      </w:r>
      <w:r w:rsidR="0080056D">
        <w:rPr>
          <w:rStyle w:val="FootnoteReference"/>
        </w:rPr>
        <w:footnoteReference w:id="3"/>
      </w:r>
    </w:p>
    <w:p w14:paraId="640029D6" w14:textId="1F6C948D" w:rsidR="006A62F5" w:rsidRDefault="006A62F5" w:rsidP="007A552A">
      <w:r>
        <w:t>The report from Working Group 1 of the Intergovernmental Panel for Climate Change (IPCC, 2021)</w:t>
      </w:r>
      <w:r w:rsidR="006557DC">
        <w:rPr>
          <w:rStyle w:val="FootnoteReference"/>
        </w:rPr>
        <w:footnoteReference w:id="4"/>
      </w:r>
      <w:r>
        <w:t xml:space="preserve">  covers the physical science of climate change. It is the first contribution to the IPCC’s </w:t>
      </w:r>
      <w:hyperlink r:id="rId28" w:history="1">
        <w:r w:rsidRPr="007729FD">
          <w:rPr>
            <w:rStyle w:val="Hyperlink"/>
            <w:rFonts w:ascii="VIC" w:hAnsi="VIC"/>
          </w:rPr>
          <w:t>Sixth Assessment Report</w:t>
        </w:r>
      </w:hyperlink>
      <w:r>
        <w:t>. This report has found that:</w:t>
      </w:r>
    </w:p>
    <w:p w14:paraId="7551E0FD" w14:textId="338795E9" w:rsidR="006A62F5" w:rsidRPr="001947CD" w:rsidRDefault="006A62F5" w:rsidP="009940F2">
      <w:pPr>
        <w:pStyle w:val="ListBullet0"/>
        <w:rPr>
          <w:rFonts w:ascii="VIC" w:hAnsi="VIC"/>
          <w:sz w:val="20"/>
          <w:szCs w:val="20"/>
        </w:rPr>
      </w:pPr>
      <w:r w:rsidRPr="001947CD">
        <w:rPr>
          <w:rFonts w:ascii="VIC" w:hAnsi="VIC"/>
          <w:sz w:val="20"/>
          <w:szCs w:val="20"/>
        </w:rPr>
        <w:t>‘It is unequivocal that human influence has warmed the atmosphere, ocean and land.’ (A.1)</w:t>
      </w:r>
    </w:p>
    <w:p w14:paraId="6131397A" w14:textId="738EE5B5" w:rsidR="006A62F5" w:rsidRPr="001947CD" w:rsidRDefault="006A62F5" w:rsidP="009940F2">
      <w:pPr>
        <w:pStyle w:val="ListBullet0"/>
        <w:rPr>
          <w:rFonts w:ascii="VIC" w:hAnsi="VIC"/>
          <w:sz w:val="20"/>
          <w:szCs w:val="20"/>
        </w:rPr>
      </w:pPr>
      <w:r w:rsidRPr="001947CD">
        <w:rPr>
          <w:rFonts w:ascii="VIC" w:hAnsi="VIC"/>
          <w:sz w:val="20"/>
          <w:szCs w:val="20"/>
        </w:rPr>
        <w:t>‘Global surface temperature will continue to increase until at least the mid-century under all emissions scenarios considered. Global warming of 1.5°C and 2°C will be exceeded during the 21st century unless deep reductions in carbon dioxide (CO2) and other greenhouse gas emissions occur in the coming decades.’ (B.1)</w:t>
      </w:r>
    </w:p>
    <w:p w14:paraId="3876E8FE" w14:textId="2BEDE8CA" w:rsidR="006A62F5" w:rsidRDefault="006A62F5" w:rsidP="009940F2">
      <w:pPr>
        <w:pStyle w:val="ListBullet0"/>
        <w:rPr>
          <w:rFonts w:ascii="VIC" w:hAnsi="VIC"/>
          <w:sz w:val="20"/>
          <w:szCs w:val="20"/>
        </w:rPr>
      </w:pPr>
      <w:r w:rsidRPr="001947CD">
        <w:rPr>
          <w:rFonts w:ascii="VIC" w:hAnsi="VIC"/>
          <w:sz w:val="20"/>
          <w:szCs w:val="20"/>
        </w:rPr>
        <w:t>‘With every additional increment of global warming, change in extremes continue to become larger. For example, every additional 0.5°C of global warming causes clearly discernible increases in the intensity and frequency of hot extremes, including heatwaves and heavy precipitation, as well as agricultural and ecological droughts in some regions.’ (B.2.2)</w:t>
      </w:r>
    </w:p>
    <w:p w14:paraId="10B78015" w14:textId="74DFF456" w:rsidR="006B75DC" w:rsidRDefault="00C80383" w:rsidP="00C80383">
      <w:r>
        <w:t>Global GHG emissions will need to decline to net zero levels by the second half of the century to reach the international community’s agreement (</w:t>
      </w:r>
      <w:hyperlink r:id="rId29" w:history="1">
        <w:r>
          <w:rPr>
            <w:rStyle w:val="Hyperlink"/>
          </w:rPr>
          <w:t>Paris Agreement</w:t>
        </w:r>
      </w:hyperlink>
      <w:r>
        <w:t>) to hold the global average temperature increase to well below 2°C above pre-industrial levels and to pursue efforts to limit the temperature increase to 1·5°C above pre-industrial levels.</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57" w:type="dxa"/>
          <w:bottom w:w="113" w:type="dxa"/>
          <w:right w:w="57" w:type="dxa"/>
        </w:tblCellMar>
        <w:tblLook w:val="0620" w:firstRow="1" w:lastRow="0" w:firstColumn="0" w:lastColumn="0" w:noHBand="1" w:noVBand="1"/>
        <w:tblCaption w:val="Victoria's net zero emissions future"/>
        <w:tblDescription w:val="Provides details on the Victorian Government's Climate Change Act 2017 and Climate Change Strategy"/>
      </w:tblPr>
      <w:tblGrid>
        <w:gridCol w:w="10157"/>
      </w:tblGrid>
      <w:tr w:rsidR="00833F6A" w14:paraId="2C4F8694" w14:textId="77777777" w:rsidTr="009B2835">
        <w:trPr>
          <w:trHeight w:val="494"/>
        </w:trPr>
        <w:tc>
          <w:tcPr>
            <w:tcW w:w="10502" w:type="dxa"/>
            <w:shd w:val="clear" w:color="auto" w:fill="auto"/>
            <w:hideMark/>
          </w:tcPr>
          <w:p w14:paraId="383F072A" w14:textId="77777777" w:rsidR="00833F6A" w:rsidRPr="00E44863" w:rsidRDefault="00833F6A" w:rsidP="00E44863">
            <w:pPr>
              <w:pStyle w:val="PulloutText"/>
              <w:rPr>
                <w:rFonts w:ascii="VIC" w:hAnsi="VIC"/>
                <w:b/>
                <w:bCs/>
                <w:color w:val="005FB4"/>
                <w:sz w:val="20"/>
                <w:szCs w:val="20"/>
              </w:rPr>
            </w:pPr>
            <w:r w:rsidRPr="00E44863">
              <w:rPr>
                <w:rFonts w:ascii="VIC" w:hAnsi="VIC"/>
                <w:b/>
                <w:bCs/>
                <w:color w:val="005FB4"/>
                <w:sz w:val="20"/>
                <w:szCs w:val="20"/>
              </w:rPr>
              <w:t>Victoria’s net zero emissions future</w:t>
            </w:r>
          </w:p>
          <w:p w14:paraId="65029AAA" w14:textId="0E940360" w:rsidR="00833F6A" w:rsidRPr="00E44863" w:rsidRDefault="00833F6A" w:rsidP="00E44863">
            <w:pPr>
              <w:pStyle w:val="TableText"/>
              <w:rPr>
                <w:rFonts w:ascii="VIC" w:hAnsi="VIC"/>
                <w:sz w:val="20"/>
                <w:szCs w:val="20"/>
              </w:rPr>
            </w:pPr>
            <w:r w:rsidRPr="00E44863">
              <w:rPr>
                <w:rFonts w:ascii="VIC" w:hAnsi="VIC"/>
                <w:sz w:val="20"/>
                <w:szCs w:val="20"/>
              </w:rPr>
              <w:t xml:space="preserve">Through the </w:t>
            </w:r>
            <w:hyperlink r:id="rId30" w:history="1">
              <w:r w:rsidRPr="00071A35">
                <w:rPr>
                  <w:rStyle w:val="Hyperlink"/>
                  <w:rFonts w:ascii="VIC" w:hAnsi="VIC"/>
                  <w:i/>
                  <w:iCs/>
                </w:rPr>
                <w:t>Climate Change Act 2017</w:t>
              </w:r>
            </w:hyperlink>
            <w:r w:rsidRPr="00E44863">
              <w:rPr>
                <w:rFonts w:ascii="VIC" w:hAnsi="VIC"/>
                <w:sz w:val="20"/>
                <w:szCs w:val="20"/>
              </w:rPr>
              <w:t xml:space="preserve"> (CC Act) Victoria has legislated a long-term target of net zero emissions by 2050 consistent with the Paris Agreement goal. This provides a clear signal to sectors of the Victorian economy for sustained and significant actions to reduce emissions and adapt to a changing climate.</w:t>
            </w:r>
          </w:p>
          <w:p w14:paraId="2FF465BE" w14:textId="4F70DF97" w:rsidR="00833F6A" w:rsidRPr="00E44863" w:rsidRDefault="00833F6A" w:rsidP="00E44863">
            <w:pPr>
              <w:pStyle w:val="TableText"/>
              <w:rPr>
                <w:rFonts w:ascii="VIC" w:hAnsi="VIC"/>
                <w:sz w:val="20"/>
                <w:szCs w:val="20"/>
              </w:rPr>
            </w:pPr>
            <w:r w:rsidRPr="00E44863">
              <w:rPr>
                <w:rFonts w:ascii="VIC" w:hAnsi="VIC"/>
                <w:sz w:val="20"/>
                <w:szCs w:val="20"/>
              </w:rPr>
              <w:t xml:space="preserve">As a key requirement under the CC Act, the Victorian Government released </w:t>
            </w:r>
            <w:hyperlink r:id="rId31" w:history="1">
              <w:r w:rsidRPr="00071A35">
                <w:rPr>
                  <w:rStyle w:val="Hyperlink"/>
                  <w:rFonts w:eastAsia="Times New Roman" w:cs="Arial"/>
                  <w:szCs w:val="20"/>
                  <w:lang w:eastAsia="en-AU"/>
                </w:rPr>
                <w:t>Victoria’s Climate Change Strategy</w:t>
              </w:r>
            </w:hyperlink>
            <w:r w:rsidRPr="00E44863">
              <w:rPr>
                <w:rStyle w:val="Hyperlink"/>
                <w:rFonts w:ascii="VIC" w:hAnsi="VIC"/>
                <w:color w:val="auto"/>
                <w:szCs w:val="20"/>
              </w:rPr>
              <w:t xml:space="preserve"> </w:t>
            </w:r>
            <w:r w:rsidR="00176B31" w:rsidRPr="00A45D32">
              <w:rPr>
                <w:rStyle w:val="Hyperlink"/>
                <w:rFonts w:ascii="VIC" w:hAnsi="VIC"/>
                <w:color w:val="auto"/>
                <w:szCs w:val="20"/>
              </w:rPr>
              <w:t>in</w:t>
            </w:r>
            <w:r w:rsidR="00176B31">
              <w:rPr>
                <w:rStyle w:val="Hyperlink"/>
                <w:rFonts w:ascii="VIC" w:hAnsi="VIC"/>
                <w:szCs w:val="20"/>
              </w:rPr>
              <w:t xml:space="preserve"> </w:t>
            </w:r>
            <w:r w:rsidRPr="00E44863">
              <w:rPr>
                <w:rStyle w:val="Hyperlink"/>
                <w:rFonts w:ascii="VIC" w:hAnsi="VIC"/>
                <w:color w:val="auto"/>
                <w:szCs w:val="20"/>
              </w:rPr>
              <w:t>May 2021</w:t>
            </w:r>
            <w:r w:rsidRPr="00E44863">
              <w:rPr>
                <w:rFonts w:ascii="VIC" w:hAnsi="VIC"/>
                <w:sz w:val="20"/>
                <w:szCs w:val="20"/>
              </w:rPr>
              <w:t xml:space="preserve">, setting out the government’s action on climate change and next steps towards achieving net zero emissions and a climate-resilient Victoria by 2050. </w:t>
            </w:r>
          </w:p>
          <w:p w14:paraId="4DEFF8C6" w14:textId="77777777" w:rsidR="00833F6A" w:rsidRPr="00E44863" w:rsidRDefault="00833F6A" w:rsidP="00E44863">
            <w:pPr>
              <w:pStyle w:val="TableText"/>
              <w:rPr>
                <w:rFonts w:ascii="VIC" w:hAnsi="VIC"/>
                <w:sz w:val="20"/>
                <w:szCs w:val="20"/>
              </w:rPr>
            </w:pPr>
            <w:r w:rsidRPr="00E44863">
              <w:rPr>
                <w:rFonts w:ascii="VIC" w:hAnsi="VIC"/>
                <w:sz w:val="20"/>
                <w:szCs w:val="20"/>
              </w:rPr>
              <w:lastRenderedPageBreak/>
              <w:t>The strategy includes interim targets to reduce the state’s GHG from 2005 levels by 28–33 per cent by 2025 and 45–50 per cent by 2030. These and future targets are informed by the latest climate science, including the IPCC reports.</w:t>
            </w:r>
          </w:p>
          <w:p w14:paraId="0A279A1A" w14:textId="77777777" w:rsidR="00833F6A" w:rsidRPr="00E44863" w:rsidRDefault="00833F6A" w:rsidP="00E44863">
            <w:pPr>
              <w:pStyle w:val="TableText"/>
            </w:pPr>
            <w:r w:rsidRPr="00E44863">
              <w:rPr>
                <w:rFonts w:ascii="VIC" w:hAnsi="VIC"/>
                <w:sz w:val="20"/>
                <w:szCs w:val="20"/>
              </w:rPr>
              <w:t xml:space="preserve">Achieving these targets – and ultimately net zero emissions – requires action across all sectors of the economy by governments, </w:t>
            </w:r>
            <w:proofErr w:type="gramStart"/>
            <w:r w:rsidRPr="00E44863">
              <w:rPr>
                <w:rFonts w:ascii="VIC" w:hAnsi="VIC"/>
                <w:sz w:val="20"/>
                <w:szCs w:val="20"/>
              </w:rPr>
              <w:t>businesses</w:t>
            </w:r>
            <w:proofErr w:type="gramEnd"/>
            <w:r w:rsidRPr="00E44863">
              <w:rPr>
                <w:rFonts w:ascii="VIC" w:hAnsi="VIC"/>
                <w:sz w:val="20"/>
                <w:szCs w:val="20"/>
              </w:rPr>
              <w:t xml:space="preserve"> and the community. To help drive this the government released emissions reduction pledges for sectors of the economy for 2021–2025, the first in a series of five-yearly pledges required under the CC Act.</w:t>
            </w:r>
          </w:p>
        </w:tc>
      </w:tr>
    </w:tbl>
    <w:p w14:paraId="5069C501" w14:textId="77777777" w:rsidR="009B61D7" w:rsidRPr="001947CD" w:rsidRDefault="009B61D7" w:rsidP="00C80383"/>
    <w:p w14:paraId="16283E78" w14:textId="48618EA8" w:rsidR="006A62F5" w:rsidRDefault="006A62F5" w:rsidP="00D5556E">
      <w:r>
        <w:t>The main sources of GHG emissions in Victoria are from the energy sector (including electricity generation</w:t>
      </w:r>
      <w:r w:rsidR="006700ED">
        <w:t xml:space="preserve"> and</w:t>
      </w:r>
      <w:r>
        <w:t xml:space="preserve"> direct combustion), transport (including fugitive emissions from fuel) and agriculture (including from livestock and fertiliser use). </w:t>
      </w:r>
    </w:p>
    <w:p w14:paraId="20F15118" w14:textId="770D85FA" w:rsidR="006A62F5" w:rsidRDefault="006A62F5" w:rsidP="00D5556E">
      <w:r>
        <w:t>Other sources include industrial processes (such as metal and chemical production) and use of synthetic gases (such as in refrigeration, air conditioning and electrical equipment), waste (including from landfills and wastewater treatment) and clearance of forested land</w:t>
      </w:r>
      <w:r w:rsidR="00126E7C">
        <w:t>.</w:t>
      </w:r>
      <w:r w:rsidR="00B358B2">
        <w:rPr>
          <w:rStyle w:val="FootnoteReference"/>
        </w:rPr>
        <w:footnoteReference w:id="5"/>
      </w:r>
      <w:r>
        <w:t xml:space="preserve"> </w:t>
      </w:r>
    </w:p>
    <w:p w14:paraId="64C0D4D7" w14:textId="77777777" w:rsidR="006A62F5" w:rsidRDefault="006A62F5" w:rsidP="006A62F5">
      <w:pPr>
        <w:pStyle w:val="BodyText"/>
        <w:spacing w:before="119"/>
        <w:ind w:right="346"/>
        <w:jc w:val="both"/>
      </w:pPr>
      <w:r>
        <w:t xml:space="preserve">Businesses, </w:t>
      </w:r>
      <w:proofErr w:type="gramStart"/>
      <w:r>
        <w:t>governments</w:t>
      </w:r>
      <w:proofErr w:type="gramEnd"/>
      <w:r>
        <w:t xml:space="preserve"> and households generate GHG emissions, including through:</w:t>
      </w:r>
    </w:p>
    <w:p w14:paraId="54B2351D" w14:textId="4E81DEBF" w:rsidR="006A62F5" w:rsidRPr="001947CD" w:rsidRDefault="006A62F5" w:rsidP="009940F2">
      <w:pPr>
        <w:pStyle w:val="ListBullet0"/>
        <w:rPr>
          <w:rFonts w:ascii="VIC" w:hAnsi="VIC"/>
          <w:sz w:val="20"/>
          <w:szCs w:val="20"/>
        </w:rPr>
      </w:pPr>
      <w:r w:rsidRPr="001947CD">
        <w:rPr>
          <w:rFonts w:ascii="VIC" w:hAnsi="VIC"/>
          <w:sz w:val="20"/>
          <w:szCs w:val="20"/>
        </w:rPr>
        <w:t xml:space="preserve">direct combustion emissions – from activities such as generating heat, steam or pressure in industry and burning gas for household heating, hot </w:t>
      </w:r>
      <w:proofErr w:type="gramStart"/>
      <w:r w:rsidRPr="001947CD">
        <w:rPr>
          <w:rFonts w:ascii="VIC" w:hAnsi="VIC"/>
          <w:sz w:val="20"/>
          <w:szCs w:val="20"/>
        </w:rPr>
        <w:t>water</w:t>
      </w:r>
      <w:proofErr w:type="gramEnd"/>
      <w:r w:rsidRPr="001947CD">
        <w:rPr>
          <w:rFonts w:ascii="VIC" w:hAnsi="VIC"/>
          <w:sz w:val="20"/>
          <w:szCs w:val="20"/>
        </w:rPr>
        <w:t xml:space="preserve"> and cooking </w:t>
      </w:r>
    </w:p>
    <w:p w14:paraId="53AC80C9" w14:textId="674B158F" w:rsidR="006A62F5" w:rsidRPr="001947CD" w:rsidRDefault="006A62F5" w:rsidP="009940F2">
      <w:pPr>
        <w:pStyle w:val="ListBullet0"/>
        <w:rPr>
          <w:rFonts w:ascii="VIC" w:hAnsi="VIC"/>
          <w:sz w:val="20"/>
          <w:szCs w:val="20"/>
        </w:rPr>
      </w:pPr>
      <w:r w:rsidRPr="001947CD">
        <w:rPr>
          <w:rFonts w:ascii="VIC" w:hAnsi="VIC"/>
          <w:sz w:val="20"/>
          <w:szCs w:val="20"/>
        </w:rPr>
        <w:t>transport emissions – from the combustion of fuel such as petrol and diesel in passenger and commercial motor vehicles</w:t>
      </w:r>
    </w:p>
    <w:p w14:paraId="3ACAA429" w14:textId="42A88784" w:rsidR="005A2AD6" w:rsidRPr="001947CD" w:rsidRDefault="006A62F5" w:rsidP="009940F2">
      <w:pPr>
        <w:pStyle w:val="ListBullet0"/>
        <w:rPr>
          <w:rFonts w:ascii="VIC" w:hAnsi="VIC"/>
          <w:sz w:val="20"/>
          <w:szCs w:val="20"/>
        </w:rPr>
      </w:pPr>
      <w:r w:rsidRPr="001947CD">
        <w:rPr>
          <w:rFonts w:ascii="VIC" w:hAnsi="VIC"/>
          <w:sz w:val="20"/>
          <w:szCs w:val="20"/>
        </w:rPr>
        <w:t>fugitive emissions – equipment leaks and losses during the use of refrigeration and air conditioning equipment</w:t>
      </w:r>
      <w:r w:rsidR="00927E13" w:rsidRPr="001947CD">
        <w:rPr>
          <w:rFonts w:ascii="VIC" w:hAnsi="VIC"/>
          <w:sz w:val="20"/>
          <w:szCs w:val="20"/>
        </w:rPr>
        <w:t>.</w:t>
      </w:r>
    </w:p>
    <w:p w14:paraId="3377DF42" w14:textId="7BDBEDBA" w:rsidR="00B32AD7" w:rsidRDefault="00BD0738" w:rsidP="00BD0738">
      <w:pPr>
        <w:pStyle w:val="Heading2"/>
      </w:pPr>
      <w:bookmarkStart w:id="15" w:name="_Toc114045788"/>
      <w:bookmarkStart w:id="16" w:name="_Toc114566194"/>
      <w:r>
        <w:t>1.2</w:t>
      </w:r>
      <w:r w:rsidR="002638DD">
        <w:tab/>
      </w:r>
      <w:r w:rsidR="00B32AD7">
        <w:t>Purpose</w:t>
      </w:r>
      <w:bookmarkEnd w:id="15"/>
      <w:bookmarkEnd w:id="16"/>
    </w:p>
    <w:p w14:paraId="29E4EE23" w14:textId="5432C76B" w:rsidR="006271E5" w:rsidRPr="006271E5" w:rsidRDefault="006271E5" w:rsidP="00686BA7">
      <w:pPr>
        <w:rPr>
          <w:rFonts w:eastAsia="VIC"/>
          <w:lang w:val="en-US" w:eastAsia="en-US"/>
        </w:rPr>
      </w:pPr>
      <w:r w:rsidRPr="006271E5">
        <w:rPr>
          <w:rFonts w:eastAsia="VIC"/>
          <w:lang w:val="en-US" w:eastAsia="en-US"/>
        </w:rPr>
        <w:t xml:space="preserve">This guideline will assist you to understand and meet your obligations under the general environmental duty (GED) under </w:t>
      </w:r>
      <w:r w:rsidR="00114179">
        <w:rPr>
          <w:rFonts w:eastAsia="VIC"/>
          <w:lang w:val="en-US" w:eastAsia="en-US"/>
        </w:rPr>
        <w:t>Section</w:t>
      </w:r>
      <w:r w:rsidRPr="006271E5">
        <w:rPr>
          <w:rFonts w:eastAsia="VIC"/>
          <w:lang w:val="en-US" w:eastAsia="en-US"/>
        </w:rPr>
        <w:t xml:space="preserve"> 25 of the </w:t>
      </w:r>
      <w:r w:rsidR="005C65EC">
        <w:rPr>
          <w:rFonts w:eastAsia="VIC"/>
          <w:lang w:val="en-US" w:eastAsia="en-US"/>
        </w:rPr>
        <w:t xml:space="preserve">EP </w:t>
      </w:r>
      <w:r w:rsidRPr="006271E5">
        <w:rPr>
          <w:rFonts w:eastAsia="VIC"/>
          <w:lang w:val="en-US" w:eastAsia="en-US"/>
        </w:rPr>
        <w:t>Act. It provides clarity on the application of the GED to GHG emissions and adds to the ‘state of knowledge’</w:t>
      </w:r>
      <w:r w:rsidR="00126E7C">
        <w:rPr>
          <w:rFonts w:eastAsia="VIC"/>
          <w:lang w:val="en-US" w:eastAsia="en-US"/>
        </w:rPr>
        <w:t>.</w:t>
      </w:r>
      <w:r w:rsidR="00DD57F7">
        <w:rPr>
          <w:rStyle w:val="FootnoteReference"/>
          <w:rFonts w:eastAsia="VIC"/>
          <w:lang w:val="en-US" w:eastAsia="en-US"/>
        </w:rPr>
        <w:footnoteReference w:id="6"/>
      </w:r>
      <w:r w:rsidRPr="006271E5">
        <w:rPr>
          <w:rFonts w:eastAsia="VIC"/>
          <w:lang w:val="en-US" w:eastAsia="en-US"/>
        </w:rPr>
        <w:t xml:space="preserve">  </w:t>
      </w:r>
    </w:p>
    <w:p w14:paraId="4E906BB6" w14:textId="77777777" w:rsidR="006271E5" w:rsidRPr="006271E5" w:rsidRDefault="006271E5" w:rsidP="006271E5">
      <w:pPr>
        <w:rPr>
          <w:rFonts w:eastAsia="VIC" w:cs="VIC"/>
          <w:szCs w:val="22"/>
          <w:lang w:val="en-US" w:eastAsia="en-US"/>
        </w:rPr>
      </w:pPr>
      <w:r w:rsidRPr="006271E5">
        <w:rPr>
          <w:rFonts w:eastAsia="VIC" w:cs="VIC"/>
          <w:szCs w:val="22"/>
          <w:lang w:val="en-US" w:eastAsia="en-US"/>
        </w:rPr>
        <w:t xml:space="preserve">The guideline is designed to support Victorians conducting a business with direct or indirect GHG emissions. It outlines a risk management approach that can be applied to those emissions.  </w:t>
      </w:r>
    </w:p>
    <w:p w14:paraId="19BDC6CE" w14:textId="77777777" w:rsidR="00927E13" w:rsidRDefault="006271E5" w:rsidP="006271E5">
      <w:pPr>
        <w:rPr>
          <w:rFonts w:eastAsia="VIC" w:cs="VIC"/>
          <w:szCs w:val="22"/>
          <w:lang w:val="en-US" w:eastAsia="en-US"/>
        </w:rPr>
      </w:pPr>
      <w:r w:rsidRPr="006271E5">
        <w:rPr>
          <w:rFonts w:eastAsia="VIC" w:cs="VIC"/>
          <w:szCs w:val="22"/>
          <w:lang w:val="en-US" w:eastAsia="en-US"/>
        </w:rPr>
        <w:t xml:space="preserve">The guideline will help you better understand how to identify and assess your GHG emissions and implement and check controls to </w:t>
      </w:r>
      <w:proofErr w:type="spellStart"/>
      <w:r w:rsidRPr="006271E5">
        <w:rPr>
          <w:rFonts w:eastAsia="VIC" w:cs="VIC"/>
          <w:szCs w:val="22"/>
          <w:lang w:val="en-US" w:eastAsia="en-US"/>
        </w:rPr>
        <w:t>minimise</w:t>
      </w:r>
      <w:proofErr w:type="spellEnd"/>
      <w:r w:rsidRPr="006271E5">
        <w:rPr>
          <w:rFonts w:eastAsia="VIC" w:cs="VIC"/>
          <w:szCs w:val="22"/>
          <w:lang w:val="en-US" w:eastAsia="en-US"/>
        </w:rPr>
        <w:t xml:space="preserve"> the risks of harm from these emissions so far as reasonably practicable.</w:t>
      </w:r>
    </w:p>
    <w:p w14:paraId="75178B21" w14:textId="76333E35" w:rsidR="007F4DDD" w:rsidRDefault="007F4DDD" w:rsidP="007F4DDD">
      <w:r>
        <w:t>The guideline does</w:t>
      </w:r>
      <w:r w:rsidR="00883494">
        <w:t xml:space="preserve"> not</w:t>
      </w:r>
      <w:r>
        <w:t xml:space="preserve"> tell you what specific controls to put in place. It provides examples of controls to help you decide what best suits you. It also provides knowledge sources including a list of resources and where to go for more help.</w:t>
      </w:r>
    </w:p>
    <w:p w14:paraId="12AEB4A0" w14:textId="77777777" w:rsidR="0075443F" w:rsidRDefault="0075443F" w:rsidP="007F703D">
      <w:pPr>
        <w:pStyle w:val="BodyText"/>
      </w:pPr>
    </w:p>
    <w:p w14:paraId="4730E7F2" w14:textId="1BA13659" w:rsidR="007F703D" w:rsidRDefault="007F703D" w:rsidP="00961826">
      <w:r>
        <w:t xml:space="preserve">See also </w:t>
      </w:r>
      <w:hyperlink r:id="rId32" w:history="1">
        <w:r>
          <w:rPr>
            <w:rStyle w:val="Hyperlink"/>
          </w:rPr>
          <w:t>Industry guidance: Supporting you to comply with the general environmental duty</w:t>
        </w:r>
      </w:hyperlink>
      <w:r>
        <w:t xml:space="preserve"> (EPA publication 1741) for information about other resources that can contribute to your knowledge. </w:t>
      </w:r>
    </w:p>
    <w:p w14:paraId="017472DE" w14:textId="664A04A4" w:rsidR="000C0488" w:rsidRDefault="007F4DDD" w:rsidP="00961826">
      <w:r>
        <w:t>This guideline is for all types of businesses whose activities give rise to risks of harm from GHG emissions (directly or indirectly), including:</w:t>
      </w:r>
    </w:p>
    <w:p w14:paraId="4EF3F238" w14:textId="224B7188" w:rsidR="007F4DDD" w:rsidRPr="00241130" w:rsidRDefault="007F4DDD" w:rsidP="009940F2">
      <w:pPr>
        <w:pStyle w:val="ListBullet0"/>
        <w:rPr>
          <w:rFonts w:ascii="VIC" w:hAnsi="VIC"/>
          <w:sz w:val="20"/>
          <w:szCs w:val="20"/>
        </w:rPr>
      </w:pPr>
      <w:r w:rsidRPr="00241130">
        <w:rPr>
          <w:rFonts w:ascii="VIC" w:hAnsi="VIC"/>
          <w:sz w:val="20"/>
          <w:szCs w:val="20"/>
        </w:rPr>
        <w:t>hospitality and retail, such as cafes,</w:t>
      </w:r>
      <w:r w:rsidR="00C27670" w:rsidRPr="00241130">
        <w:rPr>
          <w:rFonts w:ascii="VIC" w:hAnsi="VIC"/>
          <w:sz w:val="20"/>
          <w:szCs w:val="20"/>
        </w:rPr>
        <w:t xml:space="preserve"> </w:t>
      </w:r>
      <w:proofErr w:type="gramStart"/>
      <w:r w:rsidR="00C27670" w:rsidRPr="00241130">
        <w:rPr>
          <w:rFonts w:ascii="VIC" w:hAnsi="VIC"/>
          <w:sz w:val="20"/>
          <w:szCs w:val="20"/>
        </w:rPr>
        <w:t>r</w:t>
      </w:r>
      <w:r w:rsidRPr="00241130">
        <w:rPr>
          <w:rFonts w:ascii="VIC" w:hAnsi="VIC"/>
          <w:sz w:val="20"/>
          <w:szCs w:val="20"/>
        </w:rPr>
        <w:t>estaurants</w:t>
      </w:r>
      <w:proofErr w:type="gramEnd"/>
      <w:r w:rsidRPr="00241130">
        <w:rPr>
          <w:rFonts w:ascii="VIC" w:hAnsi="VIC"/>
          <w:sz w:val="20"/>
          <w:szCs w:val="20"/>
        </w:rPr>
        <w:t xml:space="preserve"> and shops</w:t>
      </w:r>
    </w:p>
    <w:p w14:paraId="7FA0306C" w14:textId="523A7A14" w:rsidR="007F4DDD" w:rsidRPr="001947CD" w:rsidRDefault="007F4DDD" w:rsidP="009940F2">
      <w:pPr>
        <w:pStyle w:val="ListBullet0"/>
        <w:rPr>
          <w:rFonts w:ascii="VIC" w:hAnsi="VIC"/>
          <w:sz w:val="20"/>
          <w:szCs w:val="20"/>
        </w:rPr>
      </w:pPr>
      <w:r w:rsidRPr="001947CD">
        <w:rPr>
          <w:rFonts w:ascii="VIC" w:hAnsi="VIC"/>
          <w:sz w:val="20"/>
          <w:szCs w:val="20"/>
        </w:rPr>
        <w:t>commercial, such as offices</w:t>
      </w:r>
    </w:p>
    <w:p w14:paraId="3F6E9685" w14:textId="0B524481" w:rsidR="007F4DDD" w:rsidRPr="001947CD" w:rsidRDefault="007F4DDD" w:rsidP="009940F2">
      <w:pPr>
        <w:pStyle w:val="ListBullet0"/>
        <w:rPr>
          <w:rFonts w:ascii="VIC" w:hAnsi="VIC"/>
          <w:sz w:val="20"/>
          <w:szCs w:val="20"/>
        </w:rPr>
      </w:pPr>
      <w:r w:rsidRPr="001947CD">
        <w:rPr>
          <w:rFonts w:ascii="VIC" w:hAnsi="VIC"/>
          <w:sz w:val="20"/>
          <w:szCs w:val="20"/>
        </w:rPr>
        <w:t>manufacturing</w:t>
      </w:r>
    </w:p>
    <w:p w14:paraId="10914CC1" w14:textId="10B2BE8F" w:rsidR="007F4DDD" w:rsidRPr="001947CD" w:rsidRDefault="007F4DDD" w:rsidP="009940F2">
      <w:pPr>
        <w:pStyle w:val="ListBullet0"/>
        <w:rPr>
          <w:rFonts w:ascii="VIC" w:hAnsi="VIC"/>
          <w:sz w:val="20"/>
          <w:szCs w:val="20"/>
        </w:rPr>
      </w:pPr>
      <w:r w:rsidRPr="001947CD">
        <w:rPr>
          <w:rFonts w:ascii="VIC" w:hAnsi="VIC"/>
          <w:sz w:val="20"/>
          <w:szCs w:val="20"/>
        </w:rPr>
        <w:t>transport, postal and warehousing</w:t>
      </w:r>
    </w:p>
    <w:p w14:paraId="313A32D3" w14:textId="5DE93C8B" w:rsidR="007F4DDD" w:rsidRPr="001947CD" w:rsidRDefault="007F4DDD" w:rsidP="009940F2">
      <w:pPr>
        <w:pStyle w:val="ListBullet0"/>
        <w:rPr>
          <w:rFonts w:ascii="VIC" w:hAnsi="VIC"/>
          <w:sz w:val="20"/>
          <w:szCs w:val="20"/>
        </w:rPr>
      </w:pPr>
      <w:r w:rsidRPr="001947CD">
        <w:rPr>
          <w:rFonts w:ascii="VIC" w:hAnsi="VIC"/>
          <w:sz w:val="20"/>
          <w:szCs w:val="20"/>
        </w:rPr>
        <w:t>healthcare</w:t>
      </w:r>
    </w:p>
    <w:p w14:paraId="20BC90A9" w14:textId="273FCACC" w:rsidR="007F4DDD" w:rsidRPr="001947CD" w:rsidRDefault="007F4DDD" w:rsidP="009940F2">
      <w:pPr>
        <w:pStyle w:val="ListBullet0"/>
        <w:rPr>
          <w:rFonts w:ascii="VIC" w:hAnsi="VIC"/>
          <w:sz w:val="20"/>
          <w:szCs w:val="20"/>
        </w:rPr>
      </w:pPr>
      <w:r w:rsidRPr="001947CD">
        <w:rPr>
          <w:rFonts w:ascii="VIC" w:hAnsi="VIC"/>
          <w:sz w:val="20"/>
          <w:szCs w:val="20"/>
        </w:rPr>
        <w:t>education and training</w:t>
      </w:r>
    </w:p>
    <w:p w14:paraId="7D066C39" w14:textId="06876933" w:rsidR="007F4DDD" w:rsidRPr="001947CD" w:rsidRDefault="007F4DDD" w:rsidP="009940F2">
      <w:pPr>
        <w:pStyle w:val="ListBullet0"/>
        <w:rPr>
          <w:rFonts w:ascii="VIC" w:hAnsi="VIC"/>
          <w:sz w:val="20"/>
          <w:szCs w:val="20"/>
        </w:rPr>
      </w:pPr>
      <w:r w:rsidRPr="001947CD">
        <w:rPr>
          <w:rFonts w:ascii="VIC" w:hAnsi="VIC"/>
          <w:sz w:val="20"/>
          <w:szCs w:val="20"/>
        </w:rPr>
        <w:t>mining and construction</w:t>
      </w:r>
    </w:p>
    <w:p w14:paraId="7A72B5D3" w14:textId="6890876D" w:rsidR="007F4DDD" w:rsidRPr="001947CD" w:rsidRDefault="007F4DDD" w:rsidP="009940F2">
      <w:pPr>
        <w:pStyle w:val="ListBullet0"/>
        <w:rPr>
          <w:rFonts w:ascii="VIC" w:hAnsi="VIC"/>
          <w:sz w:val="20"/>
          <w:szCs w:val="20"/>
        </w:rPr>
      </w:pPr>
      <w:r w:rsidRPr="001947CD">
        <w:rPr>
          <w:rFonts w:ascii="VIC" w:hAnsi="VIC"/>
          <w:sz w:val="20"/>
          <w:szCs w:val="20"/>
        </w:rPr>
        <w:t>primary industries, such as agriculture and forestry</w:t>
      </w:r>
    </w:p>
    <w:p w14:paraId="1DB647E1" w14:textId="53F87CC4" w:rsidR="007F4DDD" w:rsidRPr="001947CD" w:rsidRDefault="007F4DDD" w:rsidP="009940F2">
      <w:pPr>
        <w:pStyle w:val="ListBullet0"/>
        <w:rPr>
          <w:rFonts w:ascii="VIC" w:hAnsi="VIC"/>
          <w:sz w:val="20"/>
          <w:szCs w:val="20"/>
        </w:rPr>
      </w:pPr>
      <w:r w:rsidRPr="001947CD">
        <w:rPr>
          <w:rFonts w:ascii="VIC" w:hAnsi="VIC"/>
          <w:sz w:val="20"/>
          <w:szCs w:val="20"/>
        </w:rPr>
        <w:t>waste, including landfills and wastewater treatment.</w:t>
      </w:r>
    </w:p>
    <w:p w14:paraId="5D155A68" w14:textId="77777777" w:rsidR="007F4DDD" w:rsidRDefault="007F4DDD" w:rsidP="007F4DDD">
      <w:r>
        <w:t>The guideline may also be of interest to others, including the broader community. For information on how individuals and households can minimise their risk of harm to human health and the environment from activities which result in GHG emissions, please go to the ‘For community’ pages at epa.vic.gov.au.</w:t>
      </w:r>
    </w:p>
    <w:p w14:paraId="695A9468" w14:textId="3900E7A8" w:rsidR="00B32AD7" w:rsidRDefault="00BD0738" w:rsidP="00BD0738">
      <w:pPr>
        <w:pStyle w:val="Heading2"/>
      </w:pPr>
      <w:bookmarkStart w:id="17" w:name="_Toc114045789"/>
      <w:bookmarkStart w:id="18" w:name="_Toc114566195"/>
      <w:r>
        <w:t>1.3</w:t>
      </w:r>
      <w:r w:rsidR="002638DD">
        <w:tab/>
      </w:r>
      <w:r w:rsidR="00B32AD7">
        <w:t>Regulatory context</w:t>
      </w:r>
      <w:bookmarkEnd w:id="17"/>
      <w:bookmarkEnd w:id="18"/>
    </w:p>
    <w:p w14:paraId="03C128DA" w14:textId="60681D99" w:rsidR="00FC52B4" w:rsidRPr="00FA5A68" w:rsidRDefault="00BD0738" w:rsidP="00BD0738">
      <w:pPr>
        <w:pStyle w:val="Heading3"/>
      </w:pPr>
      <w:bookmarkStart w:id="19" w:name="_Toc114045790"/>
      <w:bookmarkStart w:id="20" w:name="_Toc114046099"/>
      <w:bookmarkStart w:id="21" w:name="_Toc114566196"/>
      <w:r>
        <w:t>1.3.1</w:t>
      </w:r>
      <w:r w:rsidR="002638DD">
        <w:tab/>
      </w:r>
      <w:r w:rsidR="00FC52B4" w:rsidRPr="00FC52B4">
        <w:t>General environmental duty</w:t>
      </w:r>
      <w:bookmarkEnd w:id="19"/>
      <w:bookmarkEnd w:id="20"/>
      <w:bookmarkEnd w:id="21"/>
    </w:p>
    <w:p w14:paraId="6715AECA" w14:textId="2A78FEA8" w:rsidR="000E60F7" w:rsidRDefault="000E60F7" w:rsidP="000E60F7">
      <w:pPr>
        <w:pStyle w:val="BodyText"/>
        <w:spacing w:before="80" w:after="80"/>
      </w:pPr>
      <w:r>
        <w:t xml:space="preserve">A cornerstone of the </w:t>
      </w:r>
      <w:r>
        <w:rPr>
          <w:rFonts w:eastAsia="Calibri" w:cs="Arial"/>
          <w:i/>
          <w:iCs/>
        </w:rPr>
        <w:t>Environment Protection Act 2017</w:t>
      </w:r>
      <w:r>
        <w:rPr>
          <w:i/>
          <w:iCs/>
        </w:rPr>
        <w:t xml:space="preserve"> </w:t>
      </w:r>
      <w:r>
        <w:t xml:space="preserve">(the </w:t>
      </w:r>
      <w:r w:rsidR="001F6967">
        <w:t xml:space="preserve">EP </w:t>
      </w:r>
      <w:r>
        <w:t xml:space="preserve">Act) is the GED, which is a preventative duty. </w:t>
      </w:r>
    </w:p>
    <w:p w14:paraId="45DF69FA" w14:textId="030BFC46" w:rsidR="000E60F7" w:rsidRDefault="00114179" w:rsidP="000E60F7">
      <w:pPr>
        <w:pStyle w:val="BodyText"/>
        <w:spacing w:before="80" w:after="80"/>
      </w:pPr>
      <w:r>
        <w:t>Section</w:t>
      </w:r>
      <w:r w:rsidR="000E60F7">
        <w:t xml:space="preserve"> 25(1) of the Act requires:</w:t>
      </w:r>
    </w:p>
    <w:p w14:paraId="26F1798F" w14:textId="77777777" w:rsidR="000E60F7" w:rsidRDefault="000E60F7" w:rsidP="000E60F7">
      <w:pPr>
        <w:pStyle w:val="BodyText"/>
        <w:spacing w:before="80" w:after="80"/>
        <w:ind w:left="720"/>
      </w:pPr>
      <w:r>
        <w:t xml:space="preserve">‘A person who is engaging in an activity that may give rise to risks of harm to human health or the environment from pollution or waste must </w:t>
      </w:r>
      <w:proofErr w:type="spellStart"/>
      <w:r>
        <w:t>minimise</w:t>
      </w:r>
      <w:proofErr w:type="spellEnd"/>
      <w:r>
        <w:t xml:space="preserve"> those risks, </w:t>
      </w:r>
      <w:hyperlink r:id="rId33" w:history="1">
        <w:r>
          <w:rPr>
            <w:rStyle w:val="Hyperlink"/>
          </w:rPr>
          <w:t>so far as reasonably practicable</w:t>
        </w:r>
      </w:hyperlink>
      <w:r>
        <w:t xml:space="preserve">.’  </w:t>
      </w:r>
    </w:p>
    <w:p w14:paraId="18D11F58" w14:textId="713E897E" w:rsidR="000E60F7" w:rsidRDefault="000E60F7" w:rsidP="000E60F7">
      <w:pPr>
        <w:pStyle w:val="BodyText"/>
        <w:spacing w:before="80" w:after="80"/>
        <w:rPr>
          <w:lang w:eastAsia="en-AU"/>
        </w:rPr>
      </w:pPr>
      <w:r w:rsidRPr="003B7415">
        <w:rPr>
          <w:lang w:eastAsia="en-AU"/>
        </w:rPr>
        <w:t>GHG emissions are considered waste and pollution under the Act.</w:t>
      </w:r>
      <w:r>
        <w:rPr>
          <w:lang w:eastAsia="en-AU"/>
        </w:rPr>
        <w:t xml:space="preserve"> As per </w:t>
      </w:r>
      <w:r w:rsidR="00114179">
        <w:rPr>
          <w:lang w:eastAsia="en-AU"/>
        </w:rPr>
        <w:t>Section</w:t>
      </w:r>
      <w:r>
        <w:rPr>
          <w:lang w:eastAsia="en-AU"/>
        </w:rPr>
        <w:t xml:space="preserve"> 3 of the Act, the definition of:</w:t>
      </w:r>
    </w:p>
    <w:p w14:paraId="29AC35E2" w14:textId="77777777" w:rsidR="000E60F7" w:rsidRPr="001947CD" w:rsidRDefault="000E60F7" w:rsidP="009940F2">
      <w:pPr>
        <w:pStyle w:val="ListBullet0"/>
        <w:rPr>
          <w:rFonts w:ascii="VIC" w:hAnsi="VIC"/>
          <w:sz w:val="20"/>
          <w:szCs w:val="20"/>
        </w:rPr>
      </w:pPr>
      <w:r w:rsidRPr="001947CD">
        <w:rPr>
          <w:rFonts w:ascii="VIC" w:hAnsi="VIC"/>
          <w:sz w:val="20"/>
          <w:szCs w:val="20"/>
        </w:rPr>
        <w:t>environment includes ‘the physical factors of the surroundings of human beings including the land, waters, atmosphere, climate, sound, odours and tastes…’</w:t>
      </w:r>
    </w:p>
    <w:p w14:paraId="4E9BDA72" w14:textId="77777777" w:rsidR="000E60F7" w:rsidRPr="001947CD" w:rsidRDefault="000E60F7" w:rsidP="009940F2">
      <w:pPr>
        <w:pStyle w:val="ListBullet0"/>
        <w:rPr>
          <w:rFonts w:ascii="VIC" w:hAnsi="VIC"/>
          <w:sz w:val="20"/>
          <w:szCs w:val="20"/>
        </w:rPr>
      </w:pPr>
      <w:r w:rsidRPr="001947CD">
        <w:rPr>
          <w:rFonts w:ascii="VIC" w:hAnsi="VIC"/>
          <w:sz w:val="20"/>
          <w:szCs w:val="20"/>
        </w:rPr>
        <w:t>GHG substance is:</w:t>
      </w:r>
    </w:p>
    <w:p w14:paraId="4C181BDC" w14:textId="77777777" w:rsidR="000E60F7" w:rsidRPr="001947CD" w:rsidRDefault="000E60F7" w:rsidP="009940F2">
      <w:pPr>
        <w:pStyle w:val="ListBullet0"/>
        <w:numPr>
          <w:ilvl w:val="0"/>
          <w:numId w:val="5"/>
        </w:numPr>
        <w:rPr>
          <w:rFonts w:ascii="VIC" w:hAnsi="VIC"/>
          <w:sz w:val="20"/>
          <w:szCs w:val="20"/>
        </w:rPr>
      </w:pPr>
      <w:r w:rsidRPr="001947CD">
        <w:rPr>
          <w:rFonts w:ascii="VIC" w:hAnsi="VIC"/>
          <w:sz w:val="20"/>
          <w:szCs w:val="20"/>
        </w:rPr>
        <w:t xml:space="preserve">carbon dioxide, methane, nitrous </w:t>
      </w:r>
      <w:proofErr w:type="gramStart"/>
      <w:r w:rsidRPr="001947CD">
        <w:rPr>
          <w:rFonts w:ascii="VIC" w:hAnsi="VIC"/>
          <w:sz w:val="20"/>
          <w:szCs w:val="20"/>
        </w:rPr>
        <w:t>oxide</w:t>
      </w:r>
      <w:proofErr w:type="gramEnd"/>
      <w:r w:rsidRPr="001947CD">
        <w:rPr>
          <w:rFonts w:ascii="VIC" w:hAnsi="VIC"/>
          <w:sz w:val="20"/>
          <w:szCs w:val="20"/>
        </w:rPr>
        <w:t xml:space="preserve"> or sulphur hexafluoride; or</w:t>
      </w:r>
    </w:p>
    <w:p w14:paraId="53F19598" w14:textId="75E3E3C1" w:rsidR="000E60F7" w:rsidRPr="001947CD" w:rsidRDefault="000E60F7" w:rsidP="009940F2">
      <w:pPr>
        <w:pStyle w:val="ListBullet0"/>
        <w:numPr>
          <w:ilvl w:val="0"/>
          <w:numId w:val="5"/>
        </w:numPr>
        <w:rPr>
          <w:rFonts w:ascii="VIC" w:hAnsi="VIC"/>
          <w:sz w:val="20"/>
          <w:szCs w:val="20"/>
        </w:rPr>
      </w:pPr>
      <w:r w:rsidRPr="001947CD">
        <w:rPr>
          <w:rFonts w:ascii="VIC" w:hAnsi="VIC"/>
          <w:sz w:val="20"/>
          <w:szCs w:val="20"/>
        </w:rPr>
        <w:t xml:space="preserve">a hydrofluorocarbon or a perfluorocarbon that is specified in the regulations made under the National Greenhouse and Energy Reporting Act 2007 of the Commonwealth. (See also Appendix A of this </w:t>
      </w:r>
      <w:r w:rsidR="00906330">
        <w:rPr>
          <w:rFonts w:ascii="VIC" w:hAnsi="VIC"/>
          <w:sz w:val="20"/>
          <w:szCs w:val="20"/>
        </w:rPr>
        <w:t>G</w:t>
      </w:r>
      <w:r w:rsidRPr="001947CD">
        <w:rPr>
          <w:rFonts w:ascii="VIC" w:hAnsi="VIC"/>
          <w:sz w:val="20"/>
          <w:szCs w:val="20"/>
        </w:rPr>
        <w:t>uideline)</w:t>
      </w:r>
    </w:p>
    <w:p w14:paraId="7604DDC7" w14:textId="77777777" w:rsidR="000E60F7" w:rsidRPr="001947CD" w:rsidRDefault="000E60F7" w:rsidP="009940F2">
      <w:pPr>
        <w:pStyle w:val="ListBullet0"/>
        <w:rPr>
          <w:rFonts w:ascii="VIC" w:hAnsi="VIC"/>
          <w:sz w:val="20"/>
          <w:szCs w:val="20"/>
        </w:rPr>
      </w:pPr>
      <w:r w:rsidRPr="001947CD">
        <w:rPr>
          <w:rFonts w:ascii="VIC" w:hAnsi="VIC"/>
          <w:sz w:val="20"/>
          <w:szCs w:val="20"/>
        </w:rPr>
        <w:t>waste expressly includes ‘a greenhouse gas substance emitted or discharged into the environment…’</w:t>
      </w:r>
    </w:p>
    <w:p w14:paraId="33BD1B46" w14:textId="77777777" w:rsidR="000E60F7" w:rsidRPr="001947CD" w:rsidRDefault="000E60F7" w:rsidP="009940F2">
      <w:pPr>
        <w:pStyle w:val="ListBullet0"/>
        <w:rPr>
          <w:rFonts w:ascii="VIC" w:hAnsi="VIC"/>
          <w:sz w:val="20"/>
          <w:szCs w:val="20"/>
        </w:rPr>
      </w:pPr>
      <w:r w:rsidRPr="001947CD">
        <w:rPr>
          <w:rFonts w:ascii="VIC" w:hAnsi="VIC"/>
          <w:sz w:val="20"/>
          <w:szCs w:val="20"/>
        </w:rPr>
        <w:t>pollution captures GHG emissions as an ’emission, discharge, deposit, disturbance or escape of … a solid, liquid or gas…’.</w:t>
      </w:r>
    </w:p>
    <w:p w14:paraId="78CC0932" w14:textId="05940704" w:rsidR="000E60F7" w:rsidRDefault="000E60F7" w:rsidP="000E60F7">
      <w:pPr>
        <w:pStyle w:val="BodyText"/>
        <w:spacing w:before="80" w:after="80"/>
      </w:pPr>
      <w:r>
        <w:t xml:space="preserve">As per </w:t>
      </w:r>
      <w:r w:rsidR="00114179">
        <w:t>Section</w:t>
      </w:r>
      <w:r>
        <w:t xml:space="preserve"> 4 of the Act, the definition of harm:</w:t>
      </w:r>
    </w:p>
    <w:p w14:paraId="640CCCF3" w14:textId="77777777" w:rsidR="00F20369" w:rsidRDefault="00F20369" w:rsidP="000E60F7">
      <w:pPr>
        <w:pStyle w:val="BodyText"/>
        <w:spacing w:before="80" w:after="80"/>
      </w:pPr>
    </w:p>
    <w:p w14:paraId="0D4FF7A2" w14:textId="77777777" w:rsidR="00F82C8A" w:rsidRDefault="00F82C8A" w:rsidP="000E60F7">
      <w:pPr>
        <w:pStyle w:val="BodyText"/>
        <w:spacing w:before="80" w:after="80"/>
      </w:pPr>
    </w:p>
    <w:p w14:paraId="0501562D" w14:textId="77777777" w:rsidR="00F20369" w:rsidRDefault="00F20369" w:rsidP="000E60F7">
      <w:pPr>
        <w:pStyle w:val="BodyText"/>
        <w:spacing w:before="80" w:after="80"/>
      </w:pPr>
    </w:p>
    <w:p w14:paraId="4689A8EB" w14:textId="77777777" w:rsidR="000E60F7" w:rsidRPr="001D7D7C" w:rsidRDefault="000E60F7" w:rsidP="009940F2">
      <w:pPr>
        <w:pStyle w:val="ListBullet0"/>
        <w:rPr>
          <w:rFonts w:ascii="VIC" w:hAnsi="VIC"/>
          <w:sz w:val="20"/>
          <w:szCs w:val="20"/>
        </w:rPr>
      </w:pPr>
      <w:r w:rsidRPr="001D7D7C">
        <w:rPr>
          <w:rFonts w:ascii="VIC" w:hAnsi="VIC"/>
          <w:sz w:val="20"/>
          <w:szCs w:val="20"/>
        </w:rPr>
        <w:t>‘</w:t>
      </w:r>
      <w:proofErr w:type="gramStart"/>
      <w:r w:rsidRPr="001D7D7C">
        <w:rPr>
          <w:rFonts w:ascii="VIC" w:hAnsi="VIC"/>
          <w:sz w:val="20"/>
          <w:szCs w:val="20"/>
        </w:rPr>
        <w:t>means</w:t>
      </w:r>
      <w:proofErr w:type="gramEnd"/>
      <w:r w:rsidRPr="001D7D7C">
        <w:rPr>
          <w:rFonts w:ascii="VIC" w:hAnsi="VIC"/>
          <w:sz w:val="20"/>
          <w:szCs w:val="20"/>
        </w:rPr>
        <w:t xml:space="preserve"> an adverse effect on human health or the environment (of whatever degree or duration)’ and</w:t>
      </w:r>
    </w:p>
    <w:p w14:paraId="2A220CA0" w14:textId="77777777" w:rsidR="000E60F7" w:rsidRPr="001D7D7C" w:rsidRDefault="000E60F7" w:rsidP="009940F2">
      <w:pPr>
        <w:pStyle w:val="ListBullet0"/>
        <w:rPr>
          <w:rFonts w:ascii="VIC" w:hAnsi="VIC"/>
          <w:sz w:val="20"/>
          <w:szCs w:val="20"/>
        </w:rPr>
      </w:pPr>
      <w:r w:rsidRPr="001D7D7C">
        <w:rPr>
          <w:rFonts w:ascii="VIC" w:hAnsi="VIC"/>
          <w:sz w:val="20"/>
          <w:szCs w:val="20"/>
        </w:rPr>
        <w:t>‘</w:t>
      </w:r>
      <w:proofErr w:type="gramStart"/>
      <w:r w:rsidRPr="001D7D7C">
        <w:rPr>
          <w:rFonts w:ascii="VIC" w:hAnsi="VIC"/>
          <w:sz w:val="20"/>
          <w:szCs w:val="20"/>
        </w:rPr>
        <w:t>may</w:t>
      </w:r>
      <w:proofErr w:type="gramEnd"/>
      <w:r w:rsidRPr="001D7D7C">
        <w:rPr>
          <w:rFonts w:ascii="VIC" w:hAnsi="VIC"/>
          <w:sz w:val="20"/>
          <w:szCs w:val="20"/>
        </w:rPr>
        <w:t xml:space="preserve"> arise as a result of the cumulative effect of harm arising from an activity combined with harm arising from other activities or factors.’ </w:t>
      </w:r>
    </w:p>
    <w:p w14:paraId="774B1403" w14:textId="367BCB60" w:rsidR="000E60F7" w:rsidRDefault="000E60F7" w:rsidP="000E60F7">
      <w:pPr>
        <w:pStyle w:val="BodyText"/>
        <w:spacing w:before="80" w:after="80"/>
      </w:pPr>
      <w:r>
        <w:t xml:space="preserve">As per </w:t>
      </w:r>
      <w:r w:rsidR="00114179">
        <w:t>Section</w:t>
      </w:r>
      <w:r>
        <w:t xml:space="preserve"> 6 of the Act, </w:t>
      </w:r>
      <w:proofErr w:type="spellStart"/>
      <w:r>
        <w:t>minimising</w:t>
      </w:r>
      <w:proofErr w:type="spellEnd"/>
      <w:r>
        <w:t xml:space="preserve"> the risk of harm to human health and the environment requires the person:</w:t>
      </w:r>
    </w:p>
    <w:p w14:paraId="43206A90" w14:textId="77777777" w:rsidR="00DC3B04" w:rsidRPr="00DC3B04" w:rsidRDefault="00DC3B04" w:rsidP="009940F2">
      <w:pPr>
        <w:pStyle w:val="ListBullet0"/>
        <w:rPr>
          <w:rFonts w:ascii="VIC" w:hAnsi="VIC"/>
          <w:sz w:val="20"/>
          <w:szCs w:val="20"/>
        </w:rPr>
      </w:pPr>
      <w:r w:rsidRPr="00DC3B04">
        <w:rPr>
          <w:rFonts w:ascii="VIC" w:hAnsi="VIC"/>
          <w:sz w:val="20"/>
          <w:szCs w:val="20"/>
        </w:rPr>
        <w:t xml:space="preserve">to </w:t>
      </w:r>
      <w:r w:rsidRPr="00DC3B04">
        <w:rPr>
          <w:rFonts w:ascii="VIC" w:hAnsi="VIC"/>
          <w:b/>
          <w:bCs/>
          <w:sz w:val="20"/>
          <w:szCs w:val="20"/>
        </w:rPr>
        <w:t>eliminate</w:t>
      </w:r>
      <w:r w:rsidRPr="00DC3B04">
        <w:rPr>
          <w:rFonts w:ascii="VIC" w:hAnsi="VIC"/>
          <w:sz w:val="20"/>
          <w:szCs w:val="20"/>
        </w:rPr>
        <w:t xml:space="preserve"> risks of harm to human health and the environment so far as reasonably practicable; and </w:t>
      </w:r>
    </w:p>
    <w:p w14:paraId="4DA4E85C" w14:textId="77777777" w:rsidR="00DC3B04" w:rsidRPr="00DC3B04" w:rsidRDefault="00DC3B04" w:rsidP="009940F2">
      <w:pPr>
        <w:pStyle w:val="ListBullet0"/>
        <w:rPr>
          <w:rFonts w:ascii="VIC" w:hAnsi="VIC"/>
          <w:sz w:val="20"/>
          <w:szCs w:val="20"/>
        </w:rPr>
      </w:pPr>
      <w:r w:rsidRPr="00DC3B04">
        <w:rPr>
          <w:rFonts w:ascii="VIC" w:hAnsi="VIC"/>
          <w:sz w:val="20"/>
          <w:szCs w:val="20"/>
        </w:rPr>
        <w:t xml:space="preserve">if it is not reasonably practicable to eliminate risks of harm to human health and the environment, to </w:t>
      </w:r>
      <w:r w:rsidRPr="00DC3B04">
        <w:rPr>
          <w:rFonts w:ascii="VIC" w:hAnsi="VIC"/>
          <w:b/>
          <w:bCs/>
          <w:sz w:val="20"/>
          <w:szCs w:val="20"/>
        </w:rPr>
        <w:t>reduce</w:t>
      </w:r>
      <w:r w:rsidRPr="00DC3B04">
        <w:rPr>
          <w:rFonts w:ascii="VIC" w:hAnsi="VIC"/>
          <w:sz w:val="20"/>
          <w:szCs w:val="20"/>
        </w:rPr>
        <w:t xml:space="preserve"> those risks so far as reasonably practicable.</w:t>
      </w:r>
    </w:p>
    <w:p w14:paraId="368527AA" w14:textId="1BD02FF9" w:rsidR="000E60F7" w:rsidRPr="00B4094B" w:rsidRDefault="000E60F7" w:rsidP="000E60F7">
      <w:r w:rsidRPr="00B4094B">
        <w:t xml:space="preserve">As per </w:t>
      </w:r>
      <w:r w:rsidR="00114179">
        <w:t>Section</w:t>
      </w:r>
      <w:r w:rsidRPr="00B4094B">
        <w:t xml:space="preserve"> 6 of the Act, to determine what is </w:t>
      </w:r>
      <w:r w:rsidRPr="00B4094B">
        <w:rPr>
          <w:b/>
          <w:bCs/>
        </w:rPr>
        <w:t>reasonably practicable</w:t>
      </w:r>
      <w:r w:rsidRPr="00B4094B">
        <w:t xml:space="preserve"> for the minimisation of risks of harm, you must have regard to the following matters:</w:t>
      </w:r>
    </w:p>
    <w:p w14:paraId="2D4F759B" w14:textId="77777777" w:rsidR="000E60F7" w:rsidRPr="001D7D7C" w:rsidRDefault="000E60F7" w:rsidP="009940F2">
      <w:pPr>
        <w:pStyle w:val="ListBullet0"/>
        <w:rPr>
          <w:rFonts w:ascii="VIC" w:hAnsi="VIC"/>
          <w:sz w:val="20"/>
          <w:szCs w:val="20"/>
        </w:rPr>
      </w:pPr>
      <w:r w:rsidRPr="001D7D7C">
        <w:rPr>
          <w:rFonts w:ascii="VIC" w:hAnsi="VIC"/>
          <w:sz w:val="20"/>
          <w:szCs w:val="20"/>
        </w:rPr>
        <w:t>the likelihood of those risks eventuating</w:t>
      </w:r>
    </w:p>
    <w:p w14:paraId="5C5F94C6" w14:textId="77777777" w:rsidR="000E60F7" w:rsidRPr="001D7D7C" w:rsidRDefault="000E60F7" w:rsidP="009940F2">
      <w:pPr>
        <w:pStyle w:val="ListBullet0"/>
        <w:rPr>
          <w:rFonts w:ascii="VIC" w:hAnsi="VIC"/>
          <w:sz w:val="20"/>
          <w:szCs w:val="20"/>
        </w:rPr>
      </w:pPr>
      <w:r w:rsidRPr="001D7D7C">
        <w:rPr>
          <w:rFonts w:ascii="VIC" w:hAnsi="VIC"/>
          <w:sz w:val="20"/>
          <w:szCs w:val="20"/>
        </w:rPr>
        <w:t>the degree of harm that would result if those risks eventuated</w:t>
      </w:r>
    </w:p>
    <w:p w14:paraId="59DB451F" w14:textId="71E2F0DC" w:rsidR="000E60F7" w:rsidRPr="001D7D7C" w:rsidRDefault="000E60F7" w:rsidP="009940F2">
      <w:pPr>
        <w:pStyle w:val="ListBullet0"/>
        <w:rPr>
          <w:rFonts w:ascii="VIC" w:hAnsi="VIC"/>
          <w:sz w:val="20"/>
          <w:szCs w:val="20"/>
        </w:rPr>
      </w:pPr>
      <w:r w:rsidRPr="001D7D7C">
        <w:rPr>
          <w:rFonts w:ascii="VIC" w:hAnsi="VIC"/>
          <w:sz w:val="20"/>
          <w:szCs w:val="20"/>
        </w:rPr>
        <w:t>what the person knows, or ought reasonably to know, about the harm or risks of harm and any ways of eliminating or reducing those risks (the state of knowledge)</w:t>
      </w:r>
    </w:p>
    <w:p w14:paraId="4BF7A442" w14:textId="77777777" w:rsidR="000E60F7" w:rsidRPr="001D7D7C" w:rsidRDefault="000E60F7" w:rsidP="009940F2">
      <w:pPr>
        <w:pStyle w:val="ListBullet0"/>
        <w:rPr>
          <w:rFonts w:ascii="VIC" w:hAnsi="VIC"/>
          <w:sz w:val="20"/>
          <w:szCs w:val="20"/>
        </w:rPr>
      </w:pPr>
      <w:r w:rsidRPr="001D7D7C">
        <w:rPr>
          <w:rFonts w:ascii="VIC" w:hAnsi="VIC"/>
          <w:sz w:val="20"/>
          <w:szCs w:val="20"/>
        </w:rPr>
        <w:t>the availability and suitability of ways to eliminate or reduce those risks</w:t>
      </w:r>
    </w:p>
    <w:p w14:paraId="76654453" w14:textId="77777777" w:rsidR="000E60F7" w:rsidRPr="001D7D7C" w:rsidRDefault="000E60F7" w:rsidP="009940F2">
      <w:pPr>
        <w:pStyle w:val="ListBullet0"/>
        <w:rPr>
          <w:rFonts w:ascii="VIC" w:hAnsi="VIC"/>
          <w:sz w:val="20"/>
          <w:szCs w:val="20"/>
        </w:rPr>
      </w:pPr>
      <w:r w:rsidRPr="001D7D7C">
        <w:rPr>
          <w:rFonts w:ascii="VIC" w:hAnsi="VIC"/>
          <w:sz w:val="20"/>
          <w:szCs w:val="20"/>
        </w:rPr>
        <w:t>the cost of eliminating or reducing those risks.</w:t>
      </w:r>
    </w:p>
    <w:p w14:paraId="25FB27E1" w14:textId="714A19F1" w:rsidR="000E60F7" w:rsidRDefault="00114179" w:rsidP="00D5556E">
      <w:r>
        <w:t>Section</w:t>
      </w:r>
      <w:r w:rsidR="000E60F7">
        <w:t xml:space="preserve"> 5.2 of this guideline helps to determine what is </w:t>
      </w:r>
      <w:r w:rsidR="000E60F7" w:rsidRPr="004725DE">
        <w:t>reasonably</w:t>
      </w:r>
      <w:r w:rsidR="000E60F7">
        <w:t xml:space="preserve"> practicable for GHG emissions. See </w:t>
      </w:r>
      <w:hyperlink r:id="rId34" w:history="1">
        <w:r w:rsidR="000E60F7">
          <w:rPr>
            <w:rStyle w:val="Hyperlink"/>
          </w:rPr>
          <w:t>Reasonably practicable</w:t>
        </w:r>
      </w:hyperlink>
      <w:r w:rsidR="000E60F7">
        <w:t xml:space="preserve"> (publication 1856) for more information.</w:t>
      </w:r>
    </w:p>
    <w:p w14:paraId="2F35A2CE" w14:textId="77777777" w:rsidR="000E60F7" w:rsidRDefault="000E60F7" w:rsidP="00D5556E">
      <w:r>
        <w:t>It is your responsibility to understand and minimise the risks of harm to human health and the environment from GHG emissions arising from any activity you engage in.</w:t>
      </w:r>
    </w:p>
    <w:p w14:paraId="37B377ED" w14:textId="11176801" w:rsidR="000E60F7" w:rsidRDefault="000E60F7" w:rsidP="00D5556E">
      <w:r>
        <w:t xml:space="preserve">EPA’s compliance and enforcement approach uses a mix of encouragement and deterrence to motivate action to deliver improved outcomes. For more information see </w:t>
      </w:r>
      <w:hyperlink r:id="rId35" w:history="1">
        <w:r w:rsidRPr="001742FA">
          <w:rPr>
            <w:rStyle w:val="Hyperlink"/>
          </w:rPr>
          <w:t>EPA’s Regulatory Approach</w:t>
        </w:r>
      </w:hyperlink>
      <w:r>
        <w:t xml:space="preserve"> and </w:t>
      </w:r>
      <w:hyperlink r:id="rId36" w:history="1">
        <w:r w:rsidR="00AD47D0">
          <w:rPr>
            <w:rStyle w:val="Hyperlink"/>
          </w:rPr>
          <w:t>Compliance and enforcement policy</w:t>
        </w:r>
      </w:hyperlink>
      <w:r>
        <w:t xml:space="preserve"> (publication 1798). EPA may refer to this </w:t>
      </w:r>
      <w:r w:rsidR="00AD47D0">
        <w:t>G</w:t>
      </w:r>
      <w:r>
        <w:t xml:space="preserve">uideline, or any other relevant information, when providing advice or assessing compliance and the </w:t>
      </w:r>
      <w:r w:rsidR="00AD47D0">
        <w:t>G</w:t>
      </w:r>
      <w:r>
        <w:t xml:space="preserve">uideline may be considered to form part of the state of knowledge. </w:t>
      </w:r>
    </w:p>
    <w:p w14:paraId="0AAA98A5" w14:textId="7B0C96B0" w:rsidR="007F4DDD" w:rsidRDefault="000E60F7" w:rsidP="000E60F7">
      <w:r>
        <w:t>It is important to note that a breach of the GED could lead to civil or criminal penalties if you are a business or conducting an undertaking, even if harm has not occurred.</w:t>
      </w:r>
    </w:p>
    <w:p w14:paraId="0199BF39" w14:textId="77777777" w:rsidR="009057B8" w:rsidRPr="00144D9D" w:rsidRDefault="009057B8" w:rsidP="00287480">
      <w:pPr>
        <w:pStyle w:val="Tabletitle"/>
      </w:pPr>
      <w:r w:rsidRPr="00144D9D">
        <w:t xml:space="preserve">Summary of the general environmental duty in the </w:t>
      </w:r>
      <w:r w:rsidRPr="00144D9D">
        <w:rPr>
          <w:i/>
          <w:iCs/>
        </w:rPr>
        <w:t xml:space="preserve">Environment Protection Act 2017 </w:t>
      </w:r>
      <w:r w:rsidRPr="00144D9D">
        <w:t>for businesses</w:t>
      </w:r>
    </w:p>
    <w:tbl>
      <w:tblPr>
        <w:tblW w:w="10206" w:type="dxa"/>
        <w:tblBorders>
          <w:insideH w:val="single" w:sz="4" w:space="0" w:color="auto"/>
        </w:tblBorders>
        <w:tblLayout w:type="fixed"/>
        <w:tblCellMar>
          <w:left w:w="0" w:type="dxa"/>
          <w:right w:w="0" w:type="dxa"/>
        </w:tblCellMar>
        <w:tblLook w:val="01E0" w:firstRow="1" w:lastRow="1" w:firstColumn="1" w:lastColumn="1" w:noHBand="0" w:noVBand="0"/>
        <w:tblCaption w:val="Summary of the general environmental duty in the Environment Protection Act 2017 for businesses"/>
        <w:tblDescription w:val="Provides a summary of legal requirements under sections 25 to 27 of the Environment Protection Act 2017."/>
      </w:tblPr>
      <w:tblGrid>
        <w:gridCol w:w="3119"/>
        <w:gridCol w:w="7087"/>
      </w:tblGrid>
      <w:tr w:rsidR="005C4A58" w:rsidRPr="00C46389" w14:paraId="727273AC" w14:textId="77777777" w:rsidTr="00AA17AE">
        <w:trPr>
          <w:trHeight w:val="641"/>
        </w:trPr>
        <w:tc>
          <w:tcPr>
            <w:tcW w:w="3119" w:type="dxa"/>
            <w:tcBorders>
              <w:top w:val="single" w:sz="6" w:space="0" w:color="005FB4"/>
              <w:bottom w:val="single" w:sz="4" w:space="0" w:color="005FB4"/>
            </w:tcBorders>
            <w:vAlign w:val="center"/>
          </w:tcPr>
          <w:p w14:paraId="078E7F0B" w14:textId="39FE2926" w:rsidR="005C4A58" w:rsidRPr="00C46389" w:rsidRDefault="00E400C8" w:rsidP="00A50069">
            <w:pPr>
              <w:pStyle w:val="Tabletitle"/>
            </w:pPr>
            <w:bookmarkStart w:id="22" w:name="_Hlk113974043"/>
            <w:r>
              <w:t>This legal requirement</w:t>
            </w:r>
          </w:p>
        </w:tc>
        <w:tc>
          <w:tcPr>
            <w:tcW w:w="7087" w:type="dxa"/>
            <w:tcBorders>
              <w:top w:val="single" w:sz="6" w:space="0" w:color="005FB4"/>
              <w:bottom w:val="single" w:sz="4" w:space="0" w:color="005FB4"/>
            </w:tcBorders>
            <w:vAlign w:val="center"/>
          </w:tcPr>
          <w:p w14:paraId="00AC70DD" w14:textId="3F96D6BA" w:rsidR="005C4A58" w:rsidRPr="00C46389" w:rsidRDefault="00E400C8" w:rsidP="00A50069">
            <w:pPr>
              <w:pStyle w:val="Tabletitle"/>
            </w:pPr>
            <w:r>
              <w:t xml:space="preserve">Means you </w:t>
            </w:r>
            <w:proofErr w:type="gramStart"/>
            <w:r>
              <w:t>have to</w:t>
            </w:r>
            <w:proofErr w:type="gramEnd"/>
            <w:r w:rsidR="00D00176">
              <w:t>…</w:t>
            </w:r>
          </w:p>
        </w:tc>
      </w:tr>
      <w:tr w:rsidR="005C4A58" w14:paraId="3532E260" w14:textId="77777777" w:rsidTr="00426DD4">
        <w:trPr>
          <w:trHeight w:val="1402"/>
        </w:trPr>
        <w:tc>
          <w:tcPr>
            <w:tcW w:w="3119" w:type="dxa"/>
            <w:tcBorders>
              <w:top w:val="single" w:sz="4" w:space="0" w:color="005FB4"/>
              <w:bottom w:val="single" w:sz="4" w:space="0" w:color="005FB4"/>
            </w:tcBorders>
            <w:vAlign w:val="center"/>
          </w:tcPr>
          <w:p w14:paraId="2BCC7FD4" w14:textId="4DF094D3" w:rsidR="005C4A58" w:rsidRPr="009D17F9" w:rsidRDefault="009C45D7" w:rsidP="000B7F34">
            <w:r w:rsidRPr="009D17F9">
              <w:t>General environmental duty (</w:t>
            </w:r>
            <w:r w:rsidR="00114179">
              <w:t>Section</w:t>
            </w:r>
            <w:r w:rsidRPr="009D17F9">
              <w:t xml:space="preserve"> 25–27 of the </w:t>
            </w:r>
            <w:r w:rsidR="005C65EC">
              <w:t xml:space="preserve">EP </w:t>
            </w:r>
            <w:r w:rsidRPr="009D17F9">
              <w:t>Act)</w:t>
            </w:r>
          </w:p>
        </w:tc>
        <w:tc>
          <w:tcPr>
            <w:tcW w:w="7087" w:type="dxa"/>
            <w:tcBorders>
              <w:top w:val="single" w:sz="4" w:space="0" w:color="005FB4"/>
              <w:bottom w:val="single" w:sz="4" w:space="0" w:color="005FB4"/>
            </w:tcBorders>
            <w:vAlign w:val="center"/>
          </w:tcPr>
          <w:p w14:paraId="051ADEC0" w14:textId="77777777" w:rsidR="004F1090" w:rsidRDefault="004F1090" w:rsidP="000B7F34">
            <w:r>
              <w:rPr>
                <w:i/>
                <w:iCs/>
              </w:rPr>
              <w:t>Understand</w:t>
            </w:r>
            <w:r>
              <w:t xml:space="preserve"> how your business activities may give rise to risks of harm to human health or the environment from pollution or waste.</w:t>
            </w:r>
          </w:p>
          <w:p w14:paraId="72E02A03" w14:textId="77777777" w:rsidR="004F1090" w:rsidRDefault="004F1090" w:rsidP="000B7F34">
            <w:r>
              <w:rPr>
                <w:i/>
                <w:iCs/>
              </w:rPr>
              <w:t>Put in place</w:t>
            </w:r>
            <w:r>
              <w:t xml:space="preserve"> reasonably practicable measures to eliminate or reduce identified risks of harm from pollution and waste (including GHG emissions).</w:t>
            </w:r>
          </w:p>
          <w:p w14:paraId="1CB8B31F" w14:textId="77777777" w:rsidR="004F1090" w:rsidRDefault="004F1090" w:rsidP="000B7F34">
            <w:r>
              <w:rPr>
                <w:i/>
                <w:iCs/>
              </w:rPr>
              <w:t xml:space="preserve">Use and maintain </w:t>
            </w:r>
            <w:r w:rsidRPr="0080201E">
              <w:t>so far as reasonably practicable</w:t>
            </w:r>
            <w:r>
              <w:t>:</w:t>
            </w:r>
          </w:p>
          <w:p w14:paraId="74BC73D1" w14:textId="77777777" w:rsidR="004F1090" w:rsidRPr="0080541E" w:rsidRDefault="004F1090" w:rsidP="009940F2">
            <w:pPr>
              <w:pStyle w:val="TableBullet"/>
              <w:rPr>
                <w:rFonts w:ascii="VIC" w:hAnsi="VIC"/>
                <w:sz w:val="20"/>
                <w:szCs w:val="20"/>
              </w:rPr>
            </w:pPr>
            <w:r w:rsidRPr="0080541E">
              <w:rPr>
                <w:rFonts w:ascii="VIC" w:hAnsi="VIC"/>
                <w:sz w:val="20"/>
                <w:szCs w:val="20"/>
              </w:rPr>
              <w:t xml:space="preserve">plant, equipment, </w:t>
            </w:r>
            <w:proofErr w:type="gramStart"/>
            <w:r w:rsidRPr="0080541E">
              <w:rPr>
                <w:rFonts w:ascii="VIC" w:hAnsi="VIC"/>
                <w:sz w:val="20"/>
                <w:szCs w:val="20"/>
              </w:rPr>
              <w:t>processes</w:t>
            </w:r>
            <w:proofErr w:type="gramEnd"/>
            <w:r w:rsidRPr="0080541E">
              <w:rPr>
                <w:rFonts w:ascii="VIC" w:hAnsi="VIC"/>
                <w:sz w:val="20"/>
                <w:szCs w:val="20"/>
              </w:rPr>
              <w:t xml:space="preserve"> and systems in a way that minimises risks of harm (for example, maintain machinery and equipment in accordance with manufacturer’s specifications)</w:t>
            </w:r>
          </w:p>
          <w:p w14:paraId="7CB404AB" w14:textId="77777777" w:rsidR="004F1090" w:rsidRPr="0080541E" w:rsidRDefault="004F1090" w:rsidP="009940F2">
            <w:pPr>
              <w:pStyle w:val="TableBullet"/>
              <w:rPr>
                <w:rFonts w:ascii="VIC" w:hAnsi="VIC"/>
                <w:sz w:val="20"/>
                <w:szCs w:val="20"/>
              </w:rPr>
            </w:pPr>
            <w:r w:rsidRPr="0080541E">
              <w:rPr>
                <w:rFonts w:ascii="VIC" w:hAnsi="VIC"/>
                <w:sz w:val="20"/>
                <w:szCs w:val="20"/>
              </w:rPr>
              <w:lastRenderedPageBreak/>
              <w:t xml:space="preserve">systems for identifying, </w:t>
            </w:r>
            <w:proofErr w:type="gramStart"/>
            <w:r w:rsidRPr="0080541E">
              <w:rPr>
                <w:rFonts w:ascii="VIC" w:hAnsi="VIC"/>
                <w:sz w:val="20"/>
                <w:szCs w:val="20"/>
              </w:rPr>
              <w:t>assessing</w:t>
            </w:r>
            <w:proofErr w:type="gramEnd"/>
            <w:r w:rsidRPr="0080541E">
              <w:rPr>
                <w:rFonts w:ascii="VIC" w:hAnsi="VIC"/>
                <w:sz w:val="20"/>
                <w:szCs w:val="20"/>
              </w:rPr>
              <w:t xml:space="preserve"> and controlling risks of harm</w:t>
            </w:r>
          </w:p>
          <w:p w14:paraId="21241C1E" w14:textId="77777777" w:rsidR="004F1090" w:rsidRPr="0080541E" w:rsidRDefault="004F1090" w:rsidP="009940F2">
            <w:pPr>
              <w:pStyle w:val="TableBullet"/>
              <w:rPr>
                <w:rFonts w:ascii="VIC" w:hAnsi="VIC"/>
                <w:sz w:val="20"/>
                <w:szCs w:val="20"/>
              </w:rPr>
            </w:pPr>
            <w:r w:rsidRPr="0080541E">
              <w:rPr>
                <w:rFonts w:ascii="VIC" w:hAnsi="VIC"/>
                <w:sz w:val="20"/>
                <w:szCs w:val="20"/>
              </w:rPr>
              <w:t>systems for evaluating the effectiveness of controls</w:t>
            </w:r>
          </w:p>
          <w:p w14:paraId="01577874" w14:textId="77777777" w:rsidR="004F1090" w:rsidRPr="0080541E" w:rsidRDefault="004F1090" w:rsidP="009940F2">
            <w:pPr>
              <w:pStyle w:val="TableBullet"/>
              <w:rPr>
                <w:rFonts w:ascii="VIC" w:hAnsi="VIC"/>
                <w:sz w:val="20"/>
                <w:szCs w:val="20"/>
              </w:rPr>
            </w:pPr>
            <w:r w:rsidRPr="0080541E">
              <w:rPr>
                <w:rFonts w:ascii="VIC" w:hAnsi="VIC"/>
                <w:sz w:val="20"/>
                <w:szCs w:val="20"/>
              </w:rPr>
              <w:t>adequate systems to ensure that if a risk of harm eventuates, its harmful effects are minimised.</w:t>
            </w:r>
          </w:p>
          <w:p w14:paraId="13B4AD8B" w14:textId="77777777" w:rsidR="004F1090" w:rsidRDefault="004F1090" w:rsidP="000B7F34">
            <w:r>
              <w:rPr>
                <w:i/>
                <w:iCs/>
              </w:rPr>
              <w:t>Ensure,</w:t>
            </w:r>
            <w:r>
              <w:t xml:space="preserve"> </w:t>
            </w:r>
            <w:r w:rsidRPr="009B7A8D">
              <w:t xml:space="preserve">so far as reasonably practicable, that all </w:t>
            </w:r>
            <w:r>
              <w:t xml:space="preserve">substances are handled, stored, </w:t>
            </w:r>
            <w:proofErr w:type="gramStart"/>
            <w:r>
              <w:t>used</w:t>
            </w:r>
            <w:proofErr w:type="gramEnd"/>
            <w:r>
              <w:t xml:space="preserve"> or transported in a way that minimises risks </w:t>
            </w:r>
            <w:r w:rsidRPr="003B77D9">
              <w:t>of harm from pollution and waste (including GHG emissions)</w:t>
            </w:r>
            <w:r>
              <w:t>.</w:t>
            </w:r>
          </w:p>
          <w:p w14:paraId="15727834" w14:textId="77777777" w:rsidR="004F1090" w:rsidRDefault="004F1090" w:rsidP="000B7F34">
            <w:r>
              <w:rPr>
                <w:i/>
                <w:iCs/>
              </w:rPr>
              <w:t>Provide,</w:t>
            </w:r>
            <w:r>
              <w:t xml:space="preserve"> </w:t>
            </w:r>
            <w:r w:rsidRPr="009B7A8D">
              <w:t xml:space="preserve">so far as reasonably practicable, </w:t>
            </w:r>
            <w:r>
              <w:t xml:space="preserve">information, instruction, </w:t>
            </w:r>
            <w:proofErr w:type="gramStart"/>
            <w:r>
              <w:t>supervision</w:t>
            </w:r>
            <w:proofErr w:type="gramEnd"/>
            <w:r>
              <w:t xml:space="preserve"> and training to any person engaged in activities that may give rise to risks of harm to enable them to comply with the GED (for example, undertake toolbox sessions).</w:t>
            </w:r>
          </w:p>
          <w:p w14:paraId="637A258A" w14:textId="77777777" w:rsidR="004F1090" w:rsidRDefault="004F1090" w:rsidP="000B7F34">
            <w:r>
              <w:rPr>
                <w:b/>
                <w:bCs/>
              </w:rPr>
              <w:t>Note:</w:t>
            </w:r>
            <w:r>
              <w:t xml:space="preserve"> </w:t>
            </w:r>
            <w:r w:rsidRPr="00930210">
              <w:t xml:space="preserve">The duty to minimise risks is a preventive duty. It is triggered whenever a person's activity may give rise to risks of harm to human health or the environment. It doesn’t matter whether an adverse effect on human health or the environment has </w:t>
            </w:r>
            <w:proofErr w:type="gramStart"/>
            <w:r w:rsidRPr="00930210">
              <w:t>actually occurred</w:t>
            </w:r>
            <w:proofErr w:type="gramEnd"/>
            <w:r w:rsidRPr="00930210">
              <w:t xml:space="preserve">. </w:t>
            </w:r>
            <w:r>
              <w:t>Failing</w:t>
            </w:r>
            <w:r w:rsidRPr="00930210">
              <w:t xml:space="preserve"> to minimise the risks of harm, so far as reasonably practicable, will breach the GED, even if harm has not yet occurred.</w:t>
            </w:r>
          </w:p>
          <w:p w14:paraId="7598FA85" w14:textId="6C34C925" w:rsidR="003E3BFC" w:rsidRDefault="00426DD4" w:rsidP="004F1090">
            <w:pPr>
              <w:pStyle w:val="BodyText"/>
              <w:spacing w:before="80" w:after="80"/>
            </w:pPr>
            <w:r>
              <w:rPr>
                <w:noProof/>
              </w:rPr>
              <mc:AlternateContent>
                <mc:Choice Requires="wps">
                  <w:drawing>
                    <wp:anchor distT="45720" distB="45720" distL="114300" distR="114300" simplePos="0" relativeHeight="251658245" behindDoc="0" locked="1" layoutInCell="1" allowOverlap="0" wp14:anchorId="579CBEBD" wp14:editId="1C0AB605">
                      <wp:simplePos x="0" y="0"/>
                      <wp:positionH relativeFrom="column">
                        <wp:posOffset>0</wp:posOffset>
                      </wp:positionH>
                      <wp:positionV relativeFrom="paragraph">
                        <wp:posOffset>14605</wp:posOffset>
                      </wp:positionV>
                      <wp:extent cx="3790315" cy="3086735"/>
                      <wp:effectExtent l="0" t="0" r="19685" b="1333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3086735"/>
                              </a:xfrm>
                              <a:prstGeom prst="rect">
                                <a:avLst/>
                              </a:prstGeom>
                              <a:solidFill>
                                <a:srgbClr val="FFFFFF"/>
                              </a:solidFill>
                              <a:ln w="9525">
                                <a:solidFill>
                                  <a:srgbClr val="000000"/>
                                </a:solidFill>
                                <a:miter lim="800000"/>
                                <a:headEnd/>
                                <a:tailEnd/>
                              </a:ln>
                            </wps:spPr>
                            <wps:txbx>
                              <w:txbxContent>
                                <w:p w14:paraId="2A37EA1A" w14:textId="77777777" w:rsidR="00426DD4" w:rsidRPr="003037AE" w:rsidDel="00BC40B8" w:rsidRDefault="00426DD4" w:rsidP="003037AE">
                                  <w:pPr>
                                    <w:rPr>
                                      <w:b/>
                                      <w:bCs/>
                                    </w:rPr>
                                  </w:pPr>
                                  <w:r w:rsidRPr="003037AE" w:rsidDel="00BC40B8">
                                    <w:rPr>
                                      <w:b/>
                                      <w:bCs/>
                                    </w:rPr>
                                    <w:t>If you engage in an activity that</w:t>
                                  </w:r>
                                  <w:r w:rsidRPr="003037AE">
                                    <w:rPr>
                                      <w:b/>
                                      <w:bCs/>
                                    </w:rPr>
                                    <w:t xml:space="preserve"> also</w:t>
                                  </w:r>
                                  <w:r w:rsidRPr="003037AE" w:rsidDel="00BC40B8">
                                    <w:rPr>
                                      <w:b/>
                                      <w:bCs/>
                                    </w:rPr>
                                    <w:t xml:space="preserve"> involves the design, manufacture, installation or supply of a substance, plant, </w:t>
                                  </w:r>
                                  <w:proofErr w:type="gramStart"/>
                                  <w:r w:rsidRPr="003037AE" w:rsidDel="00BC40B8">
                                    <w:rPr>
                                      <w:b/>
                                      <w:bCs/>
                                    </w:rPr>
                                    <w:t>equipment</w:t>
                                  </w:r>
                                  <w:proofErr w:type="gramEnd"/>
                                  <w:r w:rsidRPr="003037AE" w:rsidDel="00BC40B8">
                                    <w:rPr>
                                      <w:b/>
                                      <w:bCs/>
                                    </w:rPr>
                                    <w:t xml:space="preserve"> or structure you must, so far as reasonably practicable:</w:t>
                                  </w:r>
                                </w:p>
                                <w:p w14:paraId="3E1CA530" w14:textId="77777777" w:rsidR="00426DD4" w:rsidRPr="00B73846" w:rsidDel="00BC40B8" w:rsidRDefault="00426DD4" w:rsidP="009940F2">
                                  <w:pPr>
                                    <w:pStyle w:val="TableBullet"/>
                                    <w:rPr>
                                      <w:rFonts w:ascii="VIC" w:hAnsi="VIC"/>
                                      <w:sz w:val="20"/>
                                      <w:szCs w:val="20"/>
                                    </w:rPr>
                                  </w:pPr>
                                  <w:r w:rsidRPr="00B73846" w:rsidDel="00BC40B8">
                                    <w:rPr>
                                      <w:rFonts w:ascii="VIC" w:hAnsi="VIC"/>
                                      <w:i/>
                                      <w:iCs/>
                                      <w:sz w:val="20"/>
                                      <w:szCs w:val="20"/>
                                    </w:rPr>
                                    <w:t>Minimise</w:t>
                                  </w:r>
                                  <w:r w:rsidRPr="00B73846" w:rsidDel="00BC40B8">
                                    <w:rPr>
                                      <w:rFonts w:ascii="VIC" w:hAnsi="VIC"/>
                                      <w:sz w:val="20"/>
                                      <w:szCs w:val="20"/>
                                    </w:rPr>
                                    <w:t xml:space="preserve"> risks of harm to </w:t>
                                  </w:r>
                                  <w:r w:rsidRPr="00B73846">
                                    <w:rPr>
                                      <w:rFonts w:ascii="VIC" w:hAnsi="VIC"/>
                                      <w:sz w:val="20"/>
                                      <w:szCs w:val="20"/>
                                    </w:rPr>
                                    <w:t>human health</w:t>
                                  </w:r>
                                  <w:r w:rsidRPr="00B73846" w:rsidDel="00BC40B8">
                                    <w:rPr>
                                      <w:rFonts w:ascii="VIC" w:hAnsi="VIC"/>
                                      <w:sz w:val="20"/>
                                      <w:szCs w:val="20"/>
                                    </w:rPr>
                                    <w:t xml:space="preserve"> or the environment from pollution and waste</w:t>
                                  </w:r>
                                  <w:r w:rsidRPr="00B73846">
                                    <w:rPr>
                                      <w:rFonts w:ascii="VIC" w:hAnsi="VIC"/>
                                      <w:sz w:val="20"/>
                                      <w:szCs w:val="20"/>
                                    </w:rPr>
                                    <w:t xml:space="preserve"> (including GHG emissions)</w:t>
                                  </w:r>
                                  <w:r w:rsidRPr="00B73846" w:rsidDel="00BC40B8">
                                    <w:rPr>
                                      <w:rFonts w:ascii="VIC" w:hAnsi="VIC"/>
                                      <w:sz w:val="20"/>
                                      <w:szCs w:val="20"/>
                                    </w:rPr>
                                    <w:t xml:space="preserve"> arising from the design, manufacture, installation or supply of the substance, plant, </w:t>
                                  </w:r>
                                  <w:proofErr w:type="gramStart"/>
                                  <w:r w:rsidRPr="00B73846" w:rsidDel="00BC40B8">
                                    <w:rPr>
                                      <w:rFonts w:ascii="VIC" w:hAnsi="VIC"/>
                                      <w:sz w:val="20"/>
                                      <w:szCs w:val="20"/>
                                    </w:rPr>
                                    <w:t>equipment</w:t>
                                  </w:r>
                                  <w:proofErr w:type="gramEnd"/>
                                  <w:r w:rsidRPr="00B73846" w:rsidDel="00BC40B8">
                                    <w:rPr>
                                      <w:rFonts w:ascii="VIC" w:hAnsi="VIC"/>
                                      <w:sz w:val="20"/>
                                      <w:szCs w:val="20"/>
                                    </w:rPr>
                                    <w:t xml:space="preserve"> or structure when used for the purpose for which it was designed, manufactured, installed or supplied.</w:t>
                                  </w:r>
                                </w:p>
                                <w:p w14:paraId="6BF9EFB0" w14:textId="07445A0F" w:rsidR="00426DD4" w:rsidRPr="00B73846" w:rsidRDefault="00426DD4" w:rsidP="009940F2">
                                  <w:pPr>
                                    <w:pStyle w:val="TableBullet"/>
                                    <w:rPr>
                                      <w:rFonts w:ascii="VIC" w:hAnsi="VIC"/>
                                      <w:sz w:val="20"/>
                                      <w:szCs w:val="20"/>
                                    </w:rPr>
                                  </w:pPr>
                                  <w:r w:rsidRPr="00B73846" w:rsidDel="00BC40B8">
                                    <w:rPr>
                                      <w:rFonts w:ascii="VIC" w:hAnsi="VIC"/>
                                      <w:i/>
                                      <w:iCs/>
                                      <w:sz w:val="20"/>
                                      <w:szCs w:val="20"/>
                                    </w:rPr>
                                    <w:t>Provide</w:t>
                                  </w:r>
                                  <w:r w:rsidRPr="00B73846" w:rsidDel="00BC40B8">
                                    <w:rPr>
                                      <w:rFonts w:ascii="VIC" w:hAnsi="VIC"/>
                                      <w:sz w:val="20"/>
                                      <w:szCs w:val="20"/>
                                    </w:rPr>
                                    <w:t xml:space="preserve"> information about the purpose of the substance, plant, equipment or structure and any conditions necessary to ensure it can be used in a way that </w:t>
                                  </w:r>
                                  <w:r w:rsidRPr="00B73846">
                                    <w:rPr>
                                      <w:rFonts w:ascii="VIC" w:hAnsi="VIC"/>
                                      <w:sz w:val="20"/>
                                      <w:szCs w:val="20"/>
                                    </w:rPr>
                                    <w:t>minimises</w:t>
                                  </w:r>
                                  <w:r w:rsidRPr="00B73846" w:rsidDel="00BC40B8">
                                    <w:rPr>
                                      <w:rFonts w:ascii="VIC" w:hAnsi="VIC"/>
                                      <w:sz w:val="20"/>
                                      <w:szCs w:val="20"/>
                                    </w:rPr>
                                    <w:t xml:space="preserve"> the risks of harm</w:t>
                                  </w:r>
                                  <w:r w:rsidRPr="00B73846">
                                    <w:rPr>
                                      <w:rFonts w:ascii="VIC" w:hAnsi="VIC"/>
                                      <w:sz w:val="20"/>
                                      <w:szCs w:val="20"/>
                                    </w:rPr>
                                    <w:t xml:space="preserve"> from pollution or waste (including GHG emissions)</w:t>
                                  </w:r>
                                  <w:r w:rsidR="00B73846" w:rsidRPr="00B73846">
                                    <w:rPr>
                                      <w:rFonts w:ascii="VIC" w:hAnsi="VIC"/>
                                      <w:sz w:val="20"/>
                                      <w:szCs w:val="20"/>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CBEBD" id="_x0000_t202" coordsize="21600,21600" o:spt="202" path="m,l,21600r21600,l21600,xe">
                      <v:stroke joinstyle="miter"/>
                      <v:path gradientshapeok="t" o:connecttype="rect"/>
                    </v:shapetype>
                    <v:shape id="Text Box 6" o:spid="_x0000_s1026" type="#_x0000_t202" style="position:absolute;margin-left:0;margin-top:1.15pt;width:298.45pt;height:243.0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" o:allowoverlap="f">
                      <v:textbox style="mso-fit-shape-to-text:t">
                        <w:txbxContent>
                          <w:p w14:paraId="2A37EA1A" w14:textId="77777777" w:rsidR="00426DD4" w:rsidRPr="003037AE" w:rsidDel="00BC40B8" w:rsidRDefault="00426DD4" w:rsidP="003037AE">
                            <w:pPr>
                              <w:rPr>
                                <w:b/>
                                <w:bCs/>
                              </w:rPr>
                            </w:pPr>
                            <w:r w:rsidRPr="003037AE" w:rsidDel="00BC40B8">
                              <w:rPr>
                                <w:b/>
                                <w:bCs/>
                              </w:rPr>
                              <w:t>If you engage in an activity that</w:t>
                            </w:r>
                            <w:r w:rsidRPr="003037AE">
                              <w:rPr>
                                <w:b/>
                                <w:bCs/>
                              </w:rPr>
                              <w:t xml:space="preserve"> also</w:t>
                            </w:r>
                            <w:r w:rsidRPr="003037AE" w:rsidDel="00BC40B8">
                              <w:rPr>
                                <w:b/>
                                <w:bCs/>
                              </w:rPr>
                              <w:t xml:space="preserve"> involves the design, manufacture, installation or supply of a substance, plant, </w:t>
                            </w:r>
                            <w:proofErr w:type="gramStart"/>
                            <w:r w:rsidRPr="003037AE" w:rsidDel="00BC40B8">
                              <w:rPr>
                                <w:b/>
                                <w:bCs/>
                              </w:rPr>
                              <w:t>equipment</w:t>
                            </w:r>
                            <w:proofErr w:type="gramEnd"/>
                            <w:r w:rsidRPr="003037AE" w:rsidDel="00BC40B8">
                              <w:rPr>
                                <w:b/>
                                <w:bCs/>
                              </w:rPr>
                              <w:t xml:space="preserve"> or structure you must, so far as reasonably practicable:</w:t>
                            </w:r>
                          </w:p>
                          <w:p w14:paraId="3E1CA530" w14:textId="77777777" w:rsidR="00426DD4" w:rsidRPr="00B73846" w:rsidDel="00BC40B8" w:rsidRDefault="00426DD4" w:rsidP="009940F2">
                            <w:pPr>
                              <w:pStyle w:val="TableBullet"/>
                              <w:rPr>
                                <w:rFonts w:ascii="VIC" w:hAnsi="VIC"/>
                                <w:sz w:val="20"/>
                                <w:szCs w:val="20"/>
                              </w:rPr>
                            </w:pPr>
                            <w:r w:rsidRPr="00B73846" w:rsidDel="00BC40B8">
                              <w:rPr>
                                <w:rFonts w:ascii="VIC" w:hAnsi="VIC"/>
                                <w:i/>
                                <w:iCs/>
                                <w:sz w:val="20"/>
                                <w:szCs w:val="20"/>
                              </w:rPr>
                              <w:t>Minimise</w:t>
                            </w:r>
                            <w:r w:rsidRPr="00B73846" w:rsidDel="00BC40B8">
                              <w:rPr>
                                <w:rFonts w:ascii="VIC" w:hAnsi="VIC"/>
                                <w:sz w:val="20"/>
                                <w:szCs w:val="20"/>
                              </w:rPr>
                              <w:t xml:space="preserve"> risks of harm to </w:t>
                            </w:r>
                            <w:r w:rsidRPr="00B73846">
                              <w:rPr>
                                <w:rFonts w:ascii="VIC" w:hAnsi="VIC"/>
                                <w:sz w:val="20"/>
                                <w:szCs w:val="20"/>
                              </w:rPr>
                              <w:t>human health</w:t>
                            </w:r>
                            <w:r w:rsidRPr="00B73846" w:rsidDel="00BC40B8">
                              <w:rPr>
                                <w:rFonts w:ascii="VIC" w:hAnsi="VIC"/>
                                <w:sz w:val="20"/>
                                <w:szCs w:val="20"/>
                              </w:rPr>
                              <w:t xml:space="preserve"> or the environment from pollution and waste</w:t>
                            </w:r>
                            <w:r w:rsidRPr="00B73846">
                              <w:rPr>
                                <w:rFonts w:ascii="VIC" w:hAnsi="VIC"/>
                                <w:sz w:val="20"/>
                                <w:szCs w:val="20"/>
                              </w:rPr>
                              <w:t xml:space="preserve"> (including GHG emissions)</w:t>
                            </w:r>
                            <w:r w:rsidRPr="00B73846" w:rsidDel="00BC40B8">
                              <w:rPr>
                                <w:rFonts w:ascii="VIC" w:hAnsi="VIC"/>
                                <w:sz w:val="20"/>
                                <w:szCs w:val="20"/>
                              </w:rPr>
                              <w:t xml:space="preserve"> arising from the design, manufacture, installation or supply of the substance, plant, </w:t>
                            </w:r>
                            <w:proofErr w:type="gramStart"/>
                            <w:r w:rsidRPr="00B73846" w:rsidDel="00BC40B8">
                              <w:rPr>
                                <w:rFonts w:ascii="VIC" w:hAnsi="VIC"/>
                                <w:sz w:val="20"/>
                                <w:szCs w:val="20"/>
                              </w:rPr>
                              <w:t>equipment</w:t>
                            </w:r>
                            <w:proofErr w:type="gramEnd"/>
                            <w:r w:rsidRPr="00B73846" w:rsidDel="00BC40B8">
                              <w:rPr>
                                <w:rFonts w:ascii="VIC" w:hAnsi="VIC"/>
                                <w:sz w:val="20"/>
                                <w:szCs w:val="20"/>
                              </w:rPr>
                              <w:t xml:space="preserve"> or structure when used for the purpose for which it was designed, manufactured, installed or supplied.</w:t>
                            </w:r>
                          </w:p>
                          <w:p w14:paraId="6BF9EFB0" w14:textId="07445A0F" w:rsidR="00426DD4" w:rsidRPr="00B73846" w:rsidRDefault="00426DD4" w:rsidP="009940F2">
                            <w:pPr>
                              <w:pStyle w:val="TableBullet"/>
                              <w:rPr>
                                <w:rFonts w:ascii="VIC" w:hAnsi="VIC"/>
                                <w:sz w:val="20"/>
                                <w:szCs w:val="20"/>
                              </w:rPr>
                            </w:pPr>
                            <w:r w:rsidRPr="00B73846" w:rsidDel="00BC40B8">
                              <w:rPr>
                                <w:rFonts w:ascii="VIC" w:hAnsi="VIC"/>
                                <w:i/>
                                <w:iCs/>
                                <w:sz w:val="20"/>
                                <w:szCs w:val="20"/>
                              </w:rPr>
                              <w:t>Provide</w:t>
                            </w:r>
                            <w:r w:rsidRPr="00B73846" w:rsidDel="00BC40B8">
                              <w:rPr>
                                <w:rFonts w:ascii="VIC" w:hAnsi="VIC"/>
                                <w:sz w:val="20"/>
                                <w:szCs w:val="20"/>
                              </w:rPr>
                              <w:t xml:space="preserve"> information about the purpose of the substance, plant, equipment or structure and any conditions necessary to ensure it can be used in a way that </w:t>
                            </w:r>
                            <w:r w:rsidRPr="00B73846">
                              <w:rPr>
                                <w:rFonts w:ascii="VIC" w:hAnsi="VIC"/>
                                <w:sz w:val="20"/>
                                <w:szCs w:val="20"/>
                              </w:rPr>
                              <w:t>minimises</w:t>
                            </w:r>
                            <w:r w:rsidRPr="00B73846" w:rsidDel="00BC40B8">
                              <w:rPr>
                                <w:rFonts w:ascii="VIC" w:hAnsi="VIC"/>
                                <w:sz w:val="20"/>
                                <w:szCs w:val="20"/>
                              </w:rPr>
                              <w:t xml:space="preserve"> the risks of harm</w:t>
                            </w:r>
                            <w:r w:rsidRPr="00B73846">
                              <w:rPr>
                                <w:rFonts w:ascii="VIC" w:hAnsi="VIC"/>
                                <w:sz w:val="20"/>
                                <w:szCs w:val="20"/>
                              </w:rPr>
                              <w:t xml:space="preserve"> from pollution or waste (including GHG emissions)</w:t>
                            </w:r>
                            <w:r w:rsidR="00B73846" w:rsidRPr="00B73846">
                              <w:rPr>
                                <w:rFonts w:ascii="VIC" w:hAnsi="VIC"/>
                                <w:sz w:val="20"/>
                                <w:szCs w:val="20"/>
                              </w:rPr>
                              <w:t>.</w:t>
                            </w:r>
                          </w:p>
                        </w:txbxContent>
                      </v:textbox>
                      <w10:wrap type="square"/>
                      <w10:anchorlock/>
                    </v:shape>
                  </w:pict>
                </mc:Fallback>
              </mc:AlternateContent>
            </w:r>
          </w:p>
          <w:p w14:paraId="5F50AE12" w14:textId="08CFB2E3" w:rsidR="005C4A58" w:rsidRDefault="005C4A58">
            <w:pPr>
              <w:pStyle w:val="TableParagraph"/>
              <w:spacing w:before="78" w:line="242" w:lineRule="auto"/>
              <w:ind w:left="0" w:right="238"/>
            </w:pPr>
          </w:p>
        </w:tc>
      </w:tr>
      <w:bookmarkEnd w:id="22"/>
    </w:tbl>
    <w:p w14:paraId="6F948BA2" w14:textId="77777777" w:rsidR="005C4A58" w:rsidRDefault="005C4A58" w:rsidP="000E60F7"/>
    <w:p w14:paraId="2F5BDD94" w14:textId="77777777" w:rsidR="007F4DDD" w:rsidRDefault="007F4DDD" w:rsidP="007F4DDD"/>
    <w:p w14:paraId="1F0417E4" w14:textId="7250388D" w:rsidR="007F4DDD" w:rsidRDefault="007F4DDD" w:rsidP="007F4DDD">
      <w:pPr>
        <w:sectPr w:rsidR="007F4DDD" w:rsidSect="00435653">
          <w:pgSz w:w="11900" w:h="16840"/>
          <w:pgMar w:top="1040" w:right="740" w:bottom="1320" w:left="987" w:header="735" w:footer="924" w:gutter="0"/>
          <w:cols w:space="720"/>
        </w:sectPr>
      </w:pPr>
    </w:p>
    <w:p w14:paraId="74FC7F68" w14:textId="77777777" w:rsidR="001942DA" w:rsidRDefault="001942DA" w:rsidP="001200DE">
      <w:pPr>
        <w:pStyle w:val="BodyText"/>
        <w:sectPr w:rsidR="001942DA" w:rsidSect="001F1815">
          <w:footnotePr>
            <w:numStart w:val="7"/>
          </w:footnotePr>
          <w:type w:val="continuous"/>
          <w:pgSz w:w="11900" w:h="16840"/>
          <w:pgMar w:top="1000" w:right="740" w:bottom="1934" w:left="987" w:header="283" w:footer="812" w:gutter="0"/>
          <w:cols w:space="720"/>
        </w:sectPr>
      </w:pPr>
    </w:p>
    <w:p w14:paraId="55C3AF88" w14:textId="7DEDE6E4" w:rsidR="00927E13" w:rsidRPr="00894F33" w:rsidRDefault="005E2666" w:rsidP="009940F2">
      <w:pPr>
        <w:pStyle w:val="Heading1"/>
        <w:numPr>
          <w:ilvl w:val="0"/>
          <w:numId w:val="4"/>
        </w:numPr>
        <w:rPr>
          <w:b/>
          <w:bCs/>
        </w:rPr>
      </w:pPr>
      <w:bookmarkStart w:id="23" w:name="_Toc114045791"/>
      <w:bookmarkStart w:id="24" w:name="_Toc114566197"/>
      <w:r w:rsidRPr="00894F33">
        <w:rPr>
          <w:b/>
          <w:bCs/>
        </w:rPr>
        <w:lastRenderedPageBreak/>
        <w:t>GHG emission risk management framework</w:t>
      </w:r>
      <w:bookmarkEnd w:id="23"/>
      <w:bookmarkEnd w:id="24"/>
    </w:p>
    <w:p w14:paraId="7C6530A3" w14:textId="3D940571" w:rsidR="00824023" w:rsidRPr="00BD2F85" w:rsidRDefault="00824023" w:rsidP="00C07C3D">
      <w:r>
        <w:t xml:space="preserve">A risk management framework, such as </w:t>
      </w:r>
      <w:r w:rsidRPr="00F713A0">
        <w:t xml:space="preserve">EPA’s Assessing and controlling risk: A guide for business </w:t>
      </w:r>
      <w:r w:rsidR="00F07440">
        <w:t>(</w:t>
      </w:r>
      <w:r w:rsidR="007C41CF">
        <w:t>p</w:t>
      </w:r>
      <w:r w:rsidRPr="00F713A0">
        <w:t>ublication 1695</w:t>
      </w:r>
      <w:r w:rsidR="007C41CF">
        <w:t>-1</w:t>
      </w:r>
      <w:r w:rsidRPr="00F713A0">
        <w:t>)</w:t>
      </w:r>
      <w:r>
        <w:t>, will help you understand and minimise risks of harm from the GHG emissions produced by</w:t>
      </w:r>
      <w:r>
        <w:rPr>
          <w:rFonts w:eastAsia="Calibri"/>
        </w:rPr>
        <w:t xml:space="preserve"> your activities. You can use a different risk management approach if it is more suited to your needs.</w:t>
      </w:r>
    </w:p>
    <w:p w14:paraId="5107E18A" w14:textId="0C5AD5FF" w:rsidR="00824023" w:rsidRPr="00824023" w:rsidRDefault="00824023" w:rsidP="00824023">
      <w:pPr>
        <w:pStyle w:val="Heading2"/>
      </w:pPr>
      <w:bookmarkStart w:id="25" w:name="_Toc85802308"/>
      <w:bookmarkStart w:id="26" w:name="_Toc87612574"/>
      <w:bookmarkStart w:id="27" w:name="_Toc112341021"/>
      <w:bookmarkStart w:id="28" w:name="_Toc114045792"/>
      <w:bookmarkStart w:id="29" w:name="_Toc114566198"/>
      <w:r>
        <w:t>2.1</w:t>
      </w:r>
      <w:r w:rsidR="002638DD">
        <w:tab/>
      </w:r>
      <w:r w:rsidRPr="00824023">
        <w:t>Steps in identifying</w:t>
      </w:r>
      <w:r w:rsidRPr="00287480">
        <w:t xml:space="preserve">, </w:t>
      </w:r>
      <w:proofErr w:type="gramStart"/>
      <w:r w:rsidRPr="00287480">
        <w:t>assessing</w:t>
      </w:r>
      <w:proofErr w:type="gramEnd"/>
      <w:r w:rsidRPr="00287480">
        <w:t xml:space="preserve"> </w:t>
      </w:r>
      <w:r w:rsidRPr="00824023">
        <w:t>and controlling GHG emission risks</w:t>
      </w:r>
      <w:bookmarkEnd w:id="25"/>
      <w:bookmarkEnd w:id="26"/>
      <w:bookmarkEnd w:id="27"/>
      <w:bookmarkEnd w:id="28"/>
      <w:bookmarkEnd w:id="29"/>
    </w:p>
    <w:p w14:paraId="36643C95" w14:textId="5EA54DBC" w:rsidR="00824023" w:rsidRDefault="00824023" w:rsidP="00C07C3D">
      <w:pPr>
        <w:rPr>
          <w:rFonts w:eastAsia="Calibri"/>
        </w:rPr>
      </w:pPr>
      <w:r>
        <w:t xml:space="preserve">The method for identifying, </w:t>
      </w:r>
      <w:proofErr w:type="gramStart"/>
      <w:r>
        <w:t>assessing</w:t>
      </w:r>
      <w:proofErr w:type="gramEnd"/>
      <w:r>
        <w:t xml:space="preserve"> and controlling risk has four steps (see </w:t>
      </w:r>
      <w:r>
        <w:fldChar w:fldCharType="begin"/>
      </w:r>
      <w:r>
        <w:instrText xml:space="preserve"> REF _Ref89090036 \h </w:instrText>
      </w:r>
      <w:r w:rsidR="00C07C3D">
        <w:instrText xml:space="preserve"> \* MERGEFORMAT </w:instrText>
      </w:r>
      <w:r>
        <w:fldChar w:fldCharType="separate"/>
      </w:r>
      <w:r>
        <w:t xml:space="preserve">Figure </w:t>
      </w:r>
      <w:r>
        <w:rPr>
          <w:noProof/>
        </w:rPr>
        <w:t>1</w:t>
      </w:r>
      <w:r>
        <w:fldChar w:fldCharType="end"/>
      </w:r>
      <w:r>
        <w:t xml:space="preserve">). It is a continuous process which returns to Step 1 after a control is put in place. </w:t>
      </w:r>
    </w:p>
    <w:p w14:paraId="012E3492" w14:textId="6707D3A8" w:rsidR="00927E13" w:rsidRDefault="007438D0" w:rsidP="008C0A28">
      <w:pPr>
        <w:pStyle w:val="BodyText"/>
        <w:spacing w:before="122"/>
        <w:ind w:right="225"/>
        <w:jc w:val="center"/>
      </w:pPr>
      <w:r>
        <w:rPr>
          <w:noProof/>
        </w:rPr>
        <w:drawing>
          <wp:inline distT="0" distB="0" distL="0" distR="0" wp14:anchorId="3D40F0FE" wp14:editId="6811F650">
            <wp:extent cx="4779645" cy="2231390"/>
            <wp:effectExtent l="0" t="0" r="1905" b="0"/>
            <wp:docPr id="13" name="Picture 13" descr="The figure shows the 4 steps in controlling hazards and risks including identify hazards, assess risks, implement controls and check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figure shows the 4 steps in controlling hazards and risks including identify hazards, assess risks, implement controls and check control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9645" cy="2231390"/>
                    </a:xfrm>
                    <a:prstGeom prst="rect">
                      <a:avLst/>
                    </a:prstGeom>
                    <a:noFill/>
                  </pic:spPr>
                </pic:pic>
              </a:graphicData>
            </a:graphic>
          </wp:inline>
        </w:drawing>
      </w:r>
    </w:p>
    <w:p w14:paraId="030A87A0" w14:textId="5AFF2F07" w:rsidR="00D24ECA" w:rsidRPr="00AD5A2E" w:rsidRDefault="004B1A73" w:rsidP="00F92822">
      <w:pPr>
        <w:pStyle w:val="Caption"/>
        <w:rPr>
          <w:rFonts w:ascii="VIC" w:hAnsi="VIC"/>
          <w:color w:val="005FB4"/>
        </w:rPr>
      </w:pPr>
      <w:r w:rsidRPr="00AD5A2E">
        <w:rPr>
          <w:rFonts w:ascii="VIC" w:hAnsi="VIC"/>
          <w:color w:val="005FB4"/>
        </w:rPr>
        <w:t>Figure 1: Steps in controlling hazards and risks</w:t>
      </w:r>
    </w:p>
    <w:p w14:paraId="73869795" w14:textId="13E1BCE6" w:rsidR="00D24ECA" w:rsidRPr="001300DA" w:rsidRDefault="00897318" w:rsidP="001300DA">
      <w:pPr>
        <w:pStyle w:val="TableCaption"/>
        <w:rPr>
          <w:rFonts w:ascii="VIC" w:hAnsi="VIC"/>
          <w:color w:val="005FB4"/>
          <w:szCs w:val="18"/>
        </w:rPr>
      </w:pPr>
      <w:r w:rsidRPr="001300DA">
        <w:rPr>
          <w:rFonts w:ascii="VIC" w:hAnsi="VIC"/>
          <w:color w:val="005FB4"/>
          <w:szCs w:val="18"/>
        </w:rPr>
        <w:t>Table 1: Steps in controlling hazards and risks associated with GHG emissions.</w:t>
      </w:r>
    </w:p>
    <w:tbl>
      <w:tblPr>
        <w:tblW w:w="5000" w:type="pct"/>
        <w:tblBorders>
          <w:insideH w:val="single" w:sz="4" w:space="0" w:color="auto"/>
        </w:tblBorders>
        <w:tblCellMar>
          <w:left w:w="0" w:type="dxa"/>
          <w:right w:w="0" w:type="dxa"/>
        </w:tblCellMar>
        <w:tblLook w:val="01E0" w:firstRow="1" w:lastRow="1" w:firstColumn="1" w:lastColumn="1" w:noHBand="0" w:noVBand="0"/>
        <w:tblCaption w:val="Table 1: Steps in controlling hazards and risks associated with greenhouse gas emissions"/>
        <w:tblDescription w:val="The table shows each of the four steps including actions and descriptions for controlling hazards and risks associated with GHG emissions. "/>
      </w:tblPr>
      <w:tblGrid>
        <w:gridCol w:w="999"/>
        <w:gridCol w:w="2688"/>
        <w:gridCol w:w="6486"/>
      </w:tblGrid>
      <w:tr w:rsidR="00215740" w:rsidRPr="00C46389" w14:paraId="2647864B" w14:textId="77777777" w:rsidTr="00AA17AE">
        <w:trPr>
          <w:trHeight w:val="641"/>
        </w:trPr>
        <w:tc>
          <w:tcPr>
            <w:tcW w:w="491" w:type="pct"/>
            <w:tcBorders>
              <w:top w:val="single" w:sz="6" w:space="0" w:color="005FB4"/>
              <w:bottom w:val="single" w:sz="4" w:space="0" w:color="005FB4"/>
            </w:tcBorders>
            <w:vAlign w:val="center"/>
          </w:tcPr>
          <w:p w14:paraId="6A934E7A" w14:textId="4C3F72D6" w:rsidR="00215740" w:rsidRPr="00E6353A" w:rsidRDefault="00215740" w:rsidP="00E6353A">
            <w:pPr>
              <w:pStyle w:val="PulloutText"/>
              <w:rPr>
                <w:rFonts w:ascii="VIC" w:hAnsi="VIC"/>
                <w:b/>
                <w:bCs/>
                <w:color w:val="005FB4"/>
                <w:sz w:val="20"/>
                <w:szCs w:val="20"/>
              </w:rPr>
            </w:pPr>
            <w:bookmarkStart w:id="30" w:name="_Hlk113980627"/>
            <w:r w:rsidRPr="00E6353A">
              <w:rPr>
                <w:rFonts w:ascii="VIC" w:hAnsi="VIC"/>
                <w:b/>
                <w:bCs/>
                <w:color w:val="005FB4"/>
                <w:sz w:val="20"/>
                <w:szCs w:val="20"/>
              </w:rPr>
              <w:t>Step</w:t>
            </w:r>
          </w:p>
        </w:tc>
        <w:tc>
          <w:tcPr>
            <w:tcW w:w="1321" w:type="pct"/>
            <w:tcBorders>
              <w:top w:val="single" w:sz="6" w:space="0" w:color="005FB4"/>
              <w:bottom w:val="single" w:sz="4" w:space="0" w:color="005FB4"/>
            </w:tcBorders>
            <w:vAlign w:val="center"/>
          </w:tcPr>
          <w:p w14:paraId="6887C2EA" w14:textId="75056226" w:rsidR="00215740" w:rsidRPr="00E6353A" w:rsidRDefault="00215740" w:rsidP="00E6353A">
            <w:pPr>
              <w:pStyle w:val="PulloutText"/>
              <w:rPr>
                <w:rFonts w:ascii="VIC" w:hAnsi="VIC"/>
                <w:b/>
                <w:bCs/>
                <w:color w:val="005FB4"/>
                <w:sz w:val="20"/>
                <w:szCs w:val="20"/>
              </w:rPr>
            </w:pPr>
            <w:r w:rsidRPr="00E6353A">
              <w:rPr>
                <w:rFonts w:ascii="VIC" w:hAnsi="VIC"/>
                <w:b/>
                <w:bCs/>
                <w:color w:val="005FB4"/>
                <w:sz w:val="20"/>
                <w:szCs w:val="20"/>
              </w:rPr>
              <w:t>Action</w:t>
            </w:r>
          </w:p>
        </w:tc>
        <w:tc>
          <w:tcPr>
            <w:tcW w:w="3188" w:type="pct"/>
            <w:tcBorders>
              <w:top w:val="single" w:sz="6" w:space="0" w:color="005FB4"/>
              <w:bottom w:val="single" w:sz="4" w:space="0" w:color="005FB4"/>
            </w:tcBorders>
            <w:vAlign w:val="center"/>
          </w:tcPr>
          <w:p w14:paraId="3B4D79D4" w14:textId="5BF493CC" w:rsidR="00215740" w:rsidRPr="00E6353A" w:rsidRDefault="00215740" w:rsidP="00E6353A">
            <w:pPr>
              <w:pStyle w:val="PulloutText"/>
              <w:rPr>
                <w:rFonts w:ascii="VIC" w:hAnsi="VIC"/>
                <w:b/>
                <w:bCs/>
                <w:color w:val="005FB4"/>
                <w:sz w:val="20"/>
                <w:szCs w:val="20"/>
              </w:rPr>
            </w:pPr>
            <w:r w:rsidRPr="00E6353A">
              <w:rPr>
                <w:rFonts w:ascii="VIC" w:hAnsi="VIC"/>
                <w:b/>
                <w:bCs/>
                <w:color w:val="005FB4"/>
                <w:sz w:val="20"/>
                <w:szCs w:val="20"/>
              </w:rPr>
              <w:t>Description</w:t>
            </w:r>
          </w:p>
        </w:tc>
      </w:tr>
      <w:bookmarkEnd w:id="30"/>
      <w:tr w:rsidR="00DD4743" w14:paraId="243DA600" w14:textId="77777777" w:rsidTr="007E7C53">
        <w:trPr>
          <w:trHeight w:val="683"/>
        </w:trPr>
        <w:tc>
          <w:tcPr>
            <w:tcW w:w="491" w:type="pct"/>
            <w:tcBorders>
              <w:top w:val="single" w:sz="8" w:space="0" w:color="4472C4" w:themeColor="accent1"/>
              <w:left w:val="nil"/>
              <w:bottom w:val="single" w:sz="8" w:space="0" w:color="4472C4" w:themeColor="accent1"/>
              <w:right w:val="nil"/>
            </w:tcBorders>
            <w:shd w:val="clear" w:color="auto" w:fill="D52B1E"/>
          </w:tcPr>
          <w:p w14:paraId="7225ED81" w14:textId="0FCEB965"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1</w:t>
            </w:r>
          </w:p>
        </w:tc>
        <w:tc>
          <w:tcPr>
            <w:tcW w:w="1321" w:type="pct"/>
            <w:tcBorders>
              <w:top w:val="single" w:sz="8" w:space="0" w:color="4472C4" w:themeColor="accent1"/>
              <w:left w:val="nil"/>
              <w:bottom w:val="single" w:sz="8" w:space="0" w:color="4472C4" w:themeColor="accent1"/>
              <w:right w:val="nil"/>
            </w:tcBorders>
            <w:shd w:val="clear" w:color="auto" w:fill="D52B1E"/>
          </w:tcPr>
          <w:p w14:paraId="20F7C1A4" w14:textId="08AB113D"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Identify risks of harm from GHG emissions</w:t>
            </w:r>
          </w:p>
        </w:tc>
        <w:tc>
          <w:tcPr>
            <w:tcW w:w="3188" w:type="pct"/>
            <w:tcBorders>
              <w:top w:val="single" w:sz="4" w:space="0" w:color="005FB4"/>
              <w:bottom w:val="single" w:sz="4" w:space="0" w:color="005FB4"/>
            </w:tcBorders>
            <w:vAlign w:val="center"/>
          </w:tcPr>
          <w:p w14:paraId="6C5216B2" w14:textId="78CA6DBC" w:rsidR="00DD4743" w:rsidRPr="00F25DCD" w:rsidRDefault="00DD4743" w:rsidP="00F25DCD">
            <w:pPr>
              <w:pStyle w:val="TableParagraph"/>
            </w:pPr>
            <w:r w:rsidRPr="00F25DCD">
              <w:t>Identify your direct and indirect GHG emission sources and group them according to scopes (see Chapter 3).</w:t>
            </w:r>
          </w:p>
        </w:tc>
      </w:tr>
      <w:tr w:rsidR="00DD4743" w14:paraId="4D50B7CF" w14:textId="77777777" w:rsidTr="00554E04">
        <w:trPr>
          <w:trHeight w:val="755"/>
        </w:trPr>
        <w:tc>
          <w:tcPr>
            <w:tcW w:w="491" w:type="pct"/>
            <w:tcBorders>
              <w:top w:val="single" w:sz="8" w:space="0" w:color="4472C4" w:themeColor="accent1"/>
              <w:left w:val="nil"/>
              <w:bottom w:val="single" w:sz="4" w:space="0" w:color="005FB4"/>
              <w:right w:val="nil"/>
            </w:tcBorders>
            <w:shd w:val="clear" w:color="auto" w:fill="E96B17"/>
          </w:tcPr>
          <w:p w14:paraId="79C14AE6" w14:textId="25C117D2"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2</w:t>
            </w:r>
          </w:p>
        </w:tc>
        <w:tc>
          <w:tcPr>
            <w:tcW w:w="1321" w:type="pct"/>
            <w:tcBorders>
              <w:top w:val="single" w:sz="8" w:space="0" w:color="4472C4" w:themeColor="accent1"/>
              <w:left w:val="nil"/>
              <w:bottom w:val="single" w:sz="4" w:space="0" w:color="005FB4"/>
              <w:right w:val="nil"/>
            </w:tcBorders>
            <w:shd w:val="clear" w:color="auto" w:fill="E96B17"/>
          </w:tcPr>
          <w:p w14:paraId="0609F3E3" w14:textId="7BBB91C7"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Assess risks of harm from GHG emissions</w:t>
            </w:r>
          </w:p>
        </w:tc>
        <w:tc>
          <w:tcPr>
            <w:tcW w:w="3188" w:type="pct"/>
            <w:tcBorders>
              <w:top w:val="single" w:sz="4" w:space="0" w:color="005FB4"/>
              <w:bottom w:val="single" w:sz="4" w:space="0" w:color="005FB4"/>
            </w:tcBorders>
            <w:vAlign w:val="center"/>
          </w:tcPr>
          <w:p w14:paraId="46DDFD71" w14:textId="0E615CA6" w:rsidR="00DD4743" w:rsidRPr="00F25DCD" w:rsidRDefault="00DD4743" w:rsidP="00F25DCD">
            <w:pPr>
              <w:pStyle w:val="TableParagraph"/>
            </w:pPr>
            <w:r w:rsidRPr="00F25DCD">
              <w:t>Understand and assess how your GHG emissions contribute to the risk of harm. The greater the emissions, the greater the contribution.</w:t>
            </w:r>
          </w:p>
        </w:tc>
      </w:tr>
      <w:tr w:rsidR="00DD4743" w14:paraId="583ABAB1" w14:textId="77777777" w:rsidTr="00554E04">
        <w:trPr>
          <w:trHeight w:val="695"/>
        </w:trPr>
        <w:tc>
          <w:tcPr>
            <w:tcW w:w="491" w:type="pct"/>
            <w:tcBorders>
              <w:top w:val="single" w:sz="4" w:space="0" w:color="005FB4"/>
              <w:left w:val="nil"/>
              <w:bottom w:val="single" w:sz="4" w:space="0" w:color="005FB4"/>
              <w:right w:val="nil"/>
            </w:tcBorders>
            <w:shd w:val="clear" w:color="auto" w:fill="0183BF"/>
          </w:tcPr>
          <w:p w14:paraId="128C7B57" w14:textId="29D3EB40"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3</w:t>
            </w:r>
          </w:p>
        </w:tc>
        <w:tc>
          <w:tcPr>
            <w:tcW w:w="1321" w:type="pct"/>
            <w:tcBorders>
              <w:top w:val="single" w:sz="4" w:space="0" w:color="005FB4"/>
              <w:left w:val="nil"/>
              <w:bottom w:val="single" w:sz="4" w:space="0" w:color="005FB4"/>
              <w:right w:val="nil"/>
            </w:tcBorders>
            <w:shd w:val="clear" w:color="auto" w:fill="0183BF"/>
          </w:tcPr>
          <w:p w14:paraId="37339513" w14:textId="41F4C23A"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Implement controls</w:t>
            </w:r>
          </w:p>
        </w:tc>
        <w:tc>
          <w:tcPr>
            <w:tcW w:w="3188" w:type="pct"/>
            <w:tcBorders>
              <w:top w:val="single" w:sz="4" w:space="0" w:color="005FB4"/>
              <w:bottom w:val="single" w:sz="4" w:space="0" w:color="005FB4"/>
            </w:tcBorders>
            <w:vAlign w:val="center"/>
          </w:tcPr>
          <w:p w14:paraId="50EABBFD" w14:textId="4604CDD8" w:rsidR="00E771D6" w:rsidRPr="00F25DCD" w:rsidRDefault="005749BA" w:rsidP="00F25DCD">
            <w:pPr>
              <w:pStyle w:val="TableParagraph"/>
            </w:pPr>
            <w:r w:rsidRPr="00F25DCD">
              <w:t xml:space="preserve">Put measures in place to eliminate risks of harm from GHG emissions, or if that is not reasonably practicable, to reduce those risks so far as reasonably practicable.  </w:t>
            </w:r>
          </w:p>
        </w:tc>
      </w:tr>
      <w:tr w:rsidR="00E771D6" w14:paraId="1CD1EED9" w14:textId="77777777" w:rsidTr="007E7C53">
        <w:trPr>
          <w:trHeight w:val="557"/>
        </w:trPr>
        <w:tc>
          <w:tcPr>
            <w:tcW w:w="491" w:type="pct"/>
            <w:tcBorders>
              <w:top w:val="single" w:sz="4" w:space="0" w:color="005FB4"/>
              <w:left w:val="nil"/>
              <w:bottom w:val="single" w:sz="8" w:space="0" w:color="4472C4" w:themeColor="accent1"/>
              <w:right w:val="nil"/>
            </w:tcBorders>
            <w:shd w:val="clear" w:color="auto" w:fill="00A551"/>
          </w:tcPr>
          <w:p w14:paraId="45CE4DDB" w14:textId="65CC0BF3"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4</w:t>
            </w:r>
          </w:p>
        </w:tc>
        <w:tc>
          <w:tcPr>
            <w:tcW w:w="1321" w:type="pct"/>
            <w:tcBorders>
              <w:top w:val="single" w:sz="4" w:space="0" w:color="005FB4"/>
              <w:left w:val="nil"/>
              <w:bottom w:val="single" w:sz="8" w:space="0" w:color="4472C4" w:themeColor="accent1"/>
              <w:right w:val="nil"/>
            </w:tcBorders>
            <w:shd w:val="clear" w:color="auto" w:fill="00A551"/>
          </w:tcPr>
          <w:p w14:paraId="6018F3B6" w14:textId="5FF36428"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Check controls</w:t>
            </w:r>
          </w:p>
        </w:tc>
        <w:tc>
          <w:tcPr>
            <w:tcW w:w="3188" w:type="pct"/>
            <w:tcBorders>
              <w:top w:val="single" w:sz="4" w:space="0" w:color="005FB4"/>
              <w:bottom w:val="single" w:sz="4" w:space="0" w:color="005FB4"/>
            </w:tcBorders>
            <w:vAlign w:val="center"/>
          </w:tcPr>
          <w:p w14:paraId="384A7E09" w14:textId="7A57FBC4" w:rsidR="00E771D6" w:rsidRPr="00F25DCD" w:rsidRDefault="0007129F" w:rsidP="00F25DCD">
            <w:pPr>
              <w:pStyle w:val="TableParagraph"/>
            </w:pPr>
            <w:r w:rsidRPr="00F25DCD">
              <w:t xml:space="preserve">Review controls regularly to ensure they are effective, and to ensure you are implementing the most current and effective options, </w:t>
            </w:r>
            <w:proofErr w:type="gramStart"/>
            <w:r w:rsidRPr="00F25DCD">
              <w:t>where</w:t>
            </w:r>
            <w:proofErr w:type="gramEnd"/>
            <w:r w:rsidRPr="00F25DCD">
              <w:t xml:space="preserve"> reasonably practicable.</w:t>
            </w:r>
          </w:p>
        </w:tc>
      </w:tr>
    </w:tbl>
    <w:p w14:paraId="7BC0F4FD" w14:textId="045EEF6E" w:rsidR="0090672B" w:rsidRPr="0090672B" w:rsidRDefault="0090672B" w:rsidP="0090672B">
      <w:pPr>
        <w:rPr>
          <w:b/>
        </w:rPr>
      </w:pPr>
      <w:r w:rsidRPr="0090672B">
        <w:t>Note: Keeping a risk register or action plan can help you demonstrate what steps you have taken to manage your risks. See Appendix B for an example of an action plan</w:t>
      </w:r>
      <w:r w:rsidR="004D4C00">
        <w:t xml:space="preserve"> template</w:t>
      </w:r>
      <w:r w:rsidRPr="0090672B">
        <w:t>.</w:t>
      </w:r>
    </w:p>
    <w:p w14:paraId="71C513A8" w14:textId="77777777" w:rsidR="00D24ECA" w:rsidRDefault="00D24ECA" w:rsidP="001200DE">
      <w:pPr>
        <w:pStyle w:val="BodyText"/>
        <w:spacing w:before="122"/>
        <w:ind w:right="225"/>
        <w:jc w:val="both"/>
      </w:pPr>
    </w:p>
    <w:p w14:paraId="1F028685" w14:textId="77777777" w:rsidR="001942DA" w:rsidRDefault="001942DA" w:rsidP="001200DE">
      <w:pPr>
        <w:pStyle w:val="BodyText"/>
        <w:spacing w:before="122"/>
        <w:ind w:right="225"/>
        <w:jc w:val="both"/>
        <w:sectPr w:rsidR="001942DA" w:rsidSect="001942DA">
          <w:footnotePr>
            <w:numStart w:val="7"/>
          </w:footnotePr>
          <w:pgSz w:w="11900" w:h="16840"/>
          <w:pgMar w:top="1000" w:right="740" w:bottom="1934" w:left="987" w:header="283" w:footer="812" w:gutter="0"/>
          <w:cols w:space="720"/>
        </w:sectPr>
      </w:pPr>
    </w:p>
    <w:p w14:paraId="6BA2C283" w14:textId="53D5389A" w:rsidR="007F640D" w:rsidRPr="00894F33" w:rsidRDefault="007F640D" w:rsidP="009940F2">
      <w:pPr>
        <w:pStyle w:val="Heading1"/>
        <w:numPr>
          <w:ilvl w:val="0"/>
          <w:numId w:val="4"/>
        </w:numPr>
        <w:rPr>
          <w:b/>
          <w:bCs/>
        </w:rPr>
      </w:pPr>
      <w:bookmarkStart w:id="31" w:name="_Toc85802312"/>
      <w:bookmarkStart w:id="32" w:name="_Toc87612575"/>
      <w:bookmarkStart w:id="33" w:name="_Toc112341022"/>
      <w:bookmarkStart w:id="34" w:name="_Toc114045793"/>
      <w:bookmarkStart w:id="35" w:name="_Toc114566199"/>
      <w:r w:rsidRPr="00894F33">
        <w:rPr>
          <w:b/>
          <w:bCs/>
          <w:noProof/>
        </w:rPr>
        <w:lastRenderedPageBreak/>
        <w:drawing>
          <wp:anchor distT="0" distB="0" distL="114300" distR="114300" simplePos="0" relativeHeight="251658246" behindDoc="1" locked="0" layoutInCell="1" allowOverlap="1" wp14:anchorId="5E0D13A0" wp14:editId="36B6BAAA">
            <wp:simplePos x="0" y="0"/>
            <wp:positionH relativeFrom="margin">
              <wp:align>right</wp:align>
            </wp:positionH>
            <wp:positionV relativeFrom="paragraph">
              <wp:posOffset>0</wp:posOffset>
            </wp:positionV>
            <wp:extent cx="1292225" cy="1497330"/>
            <wp:effectExtent l="0" t="0" r="0" b="0"/>
            <wp:wrapTight wrapText="bothSides">
              <wp:wrapPolygon edited="0">
                <wp:start x="0" y="0"/>
                <wp:lineTo x="0" y="18412"/>
                <wp:lineTo x="20698" y="18412"/>
                <wp:lineTo x="20698" y="0"/>
                <wp:lineTo x="0" y="0"/>
              </wp:wrapPolygon>
            </wp:wrapTight>
            <wp:docPr id="15"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2225" cy="1497330"/>
                    </a:xfrm>
                    <a:prstGeom prst="rect">
                      <a:avLst/>
                    </a:prstGeom>
                    <a:noFill/>
                  </pic:spPr>
                </pic:pic>
              </a:graphicData>
            </a:graphic>
            <wp14:sizeRelH relativeFrom="page">
              <wp14:pctWidth>0</wp14:pctWidth>
            </wp14:sizeRelH>
            <wp14:sizeRelV relativeFrom="margin">
              <wp14:pctHeight>0</wp14:pctHeight>
            </wp14:sizeRelV>
          </wp:anchor>
        </w:drawing>
      </w:r>
      <w:bookmarkStart w:id="36" w:name="_Toc85802314"/>
      <w:bookmarkEnd w:id="31"/>
      <w:r w:rsidRPr="00894F33">
        <w:rPr>
          <w:b/>
          <w:bCs/>
        </w:rPr>
        <w:t>Step 1 – Identifying your GHG emission sources</w:t>
      </w:r>
      <w:bookmarkEnd w:id="32"/>
      <w:bookmarkEnd w:id="33"/>
      <w:bookmarkEnd w:id="34"/>
      <w:bookmarkEnd w:id="35"/>
      <w:bookmarkEnd w:id="36"/>
      <w:r w:rsidRPr="00894F33">
        <w:rPr>
          <w:b/>
          <w:bCs/>
        </w:rPr>
        <w:t xml:space="preserve"> </w:t>
      </w:r>
    </w:p>
    <w:p w14:paraId="4B83264B" w14:textId="77777777" w:rsidR="00847B45" w:rsidRDefault="00847B45" w:rsidP="00017495">
      <w:r>
        <w:t xml:space="preserve">The first step in minimising risks of harm from GHG emissions is to identify all your emission sources. </w:t>
      </w:r>
    </w:p>
    <w:p w14:paraId="0160D68E" w14:textId="77777777" w:rsidR="00847B45" w:rsidRDefault="00847B45" w:rsidP="00017495">
      <w:bookmarkStart w:id="37" w:name="_Hlk72242253"/>
      <w:r>
        <w:t>GHG emissions include:</w:t>
      </w:r>
    </w:p>
    <w:p w14:paraId="7B13A7C0" w14:textId="4D682339" w:rsidR="00847B45" w:rsidRPr="00801519" w:rsidRDefault="001C3443" w:rsidP="009940F2">
      <w:pPr>
        <w:pStyle w:val="ListBullet0"/>
        <w:rPr>
          <w:rFonts w:ascii="VIC" w:hAnsi="VIC"/>
          <w:sz w:val="20"/>
          <w:szCs w:val="20"/>
        </w:rPr>
      </w:pPr>
      <w:r>
        <w:rPr>
          <w:rFonts w:ascii="VIC" w:hAnsi="VIC"/>
          <w:sz w:val="20"/>
          <w:szCs w:val="20"/>
        </w:rPr>
        <w:t>carbon dioxide</w:t>
      </w:r>
    </w:p>
    <w:p w14:paraId="3C176A5C" w14:textId="77777777" w:rsidR="00847B45" w:rsidRPr="00801519" w:rsidRDefault="00847B45" w:rsidP="009940F2">
      <w:pPr>
        <w:pStyle w:val="ListBullet0"/>
        <w:rPr>
          <w:rFonts w:ascii="VIC" w:hAnsi="VIC"/>
          <w:sz w:val="20"/>
          <w:szCs w:val="20"/>
        </w:rPr>
      </w:pPr>
      <w:r w:rsidRPr="00801519">
        <w:rPr>
          <w:rFonts w:ascii="VIC" w:hAnsi="VIC"/>
          <w:sz w:val="20"/>
          <w:szCs w:val="20"/>
        </w:rPr>
        <w:t>methane</w:t>
      </w:r>
    </w:p>
    <w:p w14:paraId="6958294E" w14:textId="77777777" w:rsidR="00847B45" w:rsidRPr="00801519" w:rsidRDefault="00847B45" w:rsidP="009940F2">
      <w:pPr>
        <w:pStyle w:val="ListBullet0"/>
        <w:rPr>
          <w:rFonts w:ascii="VIC" w:hAnsi="VIC"/>
          <w:sz w:val="20"/>
          <w:szCs w:val="20"/>
        </w:rPr>
      </w:pPr>
      <w:r w:rsidRPr="00801519">
        <w:rPr>
          <w:rFonts w:ascii="VIC" w:hAnsi="VIC"/>
          <w:sz w:val="20"/>
          <w:szCs w:val="20"/>
        </w:rPr>
        <w:t>nitrous oxide</w:t>
      </w:r>
      <w:bookmarkStart w:id="38" w:name="_Hlk64970431"/>
    </w:p>
    <w:p w14:paraId="76358606" w14:textId="77777777" w:rsidR="00847B45" w:rsidRPr="00801519" w:rsidRDefault="00847B45" w:rsidP="009940F2">
      <w:pPr>
        <w:pStyle w:val="ListBullet0"/>
        <w:rPr>
          <w:rFonts w:ascii="VIC" w:hAnsi="VIC"/>
          <w:sz w:val="20"/>
          <w:szCs w:val="20"/>
        </w:rPr>
      </w:pPr>
      <w:proofErr w:type="spellStart"/>
      <w:r w:rsidRPr="00801519">
        <w:rPr>
          <w:rFonts w:ascii="VIC" w:hAnsi="VIC"/>
          <w:sz w:val="20"/>
          <w:szCs w:val="20"/>
        </w:rPr>
        <w:t>sulfur</w:t>
      </w:r>
      <w:proofErr w:type="spellEnd"/>
      <w:r w:rsidRPr="00801519">
        <w:rPr>
          <w:rFonts w:ascii="VIC" w:hAnsi="VIC"/>
          <w:sz w:val="20"/>
          <w:szCs w:val="20"/>
        </w:rPr>
        <w:t xml:space="preserve"> hexafluoride </w:t>
      </w:r>
    </w:p>
    <w:p w14:paraId="7E639B92" w14:textId="553475E2" w:rsidR="00847B45" w:rsidRPr="00801519" w:rsidRDefault="00847B45" w:rsidP="009940F2">
      <w:pPr>
        <w:pStyle w:val="ListBullet0"/>
        <w:rPr>
          <w:rFonts w:ascii="VIC" w:hAnsi="VIC"/>
          <w:sz w:val="20"/>
          <w:szCs w:val="20"/>
        </w:rPr>
      </w:pPr>
      <w:r w:rsidRPr="00801519">
        <w:rPr>
          <w:rFonts w:ascii="VIC" w:hAnsi="VIC"/>
          <w:sz w:val="20"/>
          <w:szCs w:val="20"/>
        </w:rPr>
        <w:t>hydrofluorocarbon or a perfluorocarbon</w:t>
      </w:r>
      <w:bookmarkEnd w:id="38"/>
      <w:r w:rsidRPr="00801519">
        <w:rPr>
          <w:rFonts w:ascii="VIC" w:hAnsi="VIC"/>
          <w:sz w:val="20"/>
          <w:szCs w:val="20"/>
        </w:rPr>
        <w:t xml:space="preserve"> specified in the </w:t>
      </w:r>
      <w:r w:rsidRPr="00801519">
        <w:rPr>
          <w:rFonts w:ascii="VIC" w:hAnsi="VIC"/>
          <w:i/>
          <w:iCs/>
          <w:sz w:val="20"/>
          <w:szCs w:val="20"/>
        </w:rPr>
        <w:t>National Greenhouse and Energy Reporting Act 2007</w:t>
      </w:r>
      <w:r w:rsidRPr="00801519">
        <w:rPr>
          <w:rFonts w:ascii="VIC" w:hAnsi="VIC"/>
          <w:sz w:val="20"/>
          <w:szCs w:val="20"/>
        </w:rPr>
        <w:t xml:space="preserve"> (</w:t>
      </w:r>
      <w:proofErr w:type="spellStart"/>
      <w:r w:rsidRPr="00801519">
        <w:rPr>
          <w:rFonts w:ascii="VIC" w:hAnsi="VIC"/>
          <w:sz w:val="20"/>
          <w:szCs w:val="20"/>
        </w:rPr>
        <w:t>Cth</w:t>
      </w:r>
      <w:proofErr w:type="spellEnd"/>
      <w:r w:rsidRPr="00801519">
        <w:rPr>
          <w:rFonts w:ascii="VIC" w:hAnsi="VIC"/>
          <w:sz w:val="20"/>
          <w:szCs w:val="20"/>
        </w:rPr>
        <w:t xml:space="preserve">) (see </w:t>
      </w:r>
      <w:r w:rsidRPr="00801519">
        <w:rPr>
          <w:rFonts w:ascii="VIC" w:hAnsi="VIC"/>
          <w:sz w:val="20"/>
          <w:szCs w:val="20"/>
        </w:rPr>
        <w:fldChar w:fldCharType="begin"/>
      </w:r>
      <w:r w:rsidRPr="00801519">
        <w:rPr>
          <w:rFonts w:ascii="VIC" w:hAnsi="VIC"/>
          <w:sz w:val="20"/>
          <w:szCs w:val="20"/>
        </w:rPr>
        <w:instrText xml:space="preserve"> REF _Ref88050304 \w \h </w:instrText>
      </w:r>
      <w:r w:rsidR="008350A4" w:rsidRPr="00801519">
        <w:rPr>
          <w:rFonts w:ascii="VIC" w:hAnsi="VIC"/>
          <w:sz w:val="20"/>
          <w:szCs w:val="20"/>
        </w:rPr>
        <w:instrText xml:space="preserve"> \* MERGEFORMAT </w:instrText>
      </w:r>
      <w:r w:rsidRPr="00801519">
        <w:rPr>
          <w:rFonts w:ascii="VIC" w:hAnsi="VIC"/>
          <w:sz w:val="20"/>
          <w:szCs w:val="20"/>
        </w:rPr>
      </w:r>
      <w:r w:rsidRPr="00801519">
        <w:rPr>
          <w:rFonts w:ascii="VIC" w:hAnsi="VIC"/>
          <w:sz w:val="20"/>
          <w:szCs w:val="20"/>
        </w:rPr>
        <w:fldChar w:fldCharType="separate"/>
      </w:r>
      <w:r w:rsidRPr="00801519">
        <w:rPr>
          <w:rFonts w:ascii="VIC" w:hAnsi="VIC"/>
          <w:sz w:val="20"/>
          <w:szCs w:val="20"/>
        </w:rPr>
        <w:t>Appendix A</w:t>
      </w:r>
      <w:r w:rsidRPr="00801519">
        <w:rPr>
          <w:rFonts w:ascii="VIC" w:hAnsi="VIC"/>
          <w:sz w:val="20"/>
          <w:szCs w:val="20"/>
        </w:rPr>
        <w:fldChar w:fldCharType="end"/>
      </w:r>
      <w:r w:rsidRPr="00801519">
        <w:rPr>
          <w:rFonts w:ascii="VIC" w:hAnsi="VIC"/>
          <w:sz w:val="20"/>
          <w:szCs w:val="20"/>
        </w:rPr>
        <w:t>).</w:t>
      </w:r>
      <w:bookmarkEnd w:id="37"/>
    </w:p>
    <w:p w14:paraId="4E5438EF" w14:textId="77777777" w:rsidR="00847B45" w:rsidRDefault="00847B45" w:rsidP="00904CF7">
      <w:r>
        <w:t>GHG emissions can be released directly or arise indirectly from your activities. Your GHG emissions can be grouped into different ‘scopes’.</w:t>
      </w:r>
    </w:p>
    <w:p w14:paraId="1018FD46" w14:textId="06CB0BB5" w:rsidR="00847B45" w:rsidRDefault="00847B45" w:rsidP="00904CF7">
      <w:r>
        <w:t xml:space="preserve">Identifying and grouping your GHG emissions will help </w:t>
      </w:r>
      <w:r w:rsidRPr="00282467">
        <w:t xml:space="preserve">you identify what risks to human health and the environment may </w:t>
      </w:r>
      <w:r>
        <w:t>result</w:t>
      </w:r>
      <w:r w:rsidRPr="00282467">
        <w:t xml:space="preserve"> from those emissions, and to inform what steps will be </w:t>
      </w:r>
      <w:r w:rsidR="004D4C00">
        <w:t>‘</w:t>
      </w:r>
      <w:r w:rsidRPr="00282467">
        <w:t>reasonably practicable</w:t>
      </w:r>
      <w:r w:rsidR="004D4C00">
        <w:t>’</w:t>
      </w:r>
      <w:r w:rsidRPr="00282467">
        <w:t xml:space="preserve"> to minimise those risks</w:t>
      </w:r>
      <w:r>
        <w:t>.</w:t>
      </w:r>
    </w:p>
    <w:p w14:paraId="29B90EBE" w14:textId="2D27B3BC" w:rsidR="00847B45" w:rsidRPr="008A7A45" w:rsidRDefault="008A7A45" w:rsidP="008A7A45">
      <w:pPr>
        <w:pStyle w:val="Heading2"/>
      </w:pPr>
      <w:bookmarkStart w:id="39" w:name="_Toc85802315"/>
      <w:bookmarkStart w:id="40" w:name="_Toc87612576"/>
      <w:bookmarkStart w:id="41" w:name="_Toc112341023"/>
      <w:bookmarkStart w:id="42" w:name="_Toc114045794"/>
      <w:bookmarkStart w:id="43" w:name="_Toc114566200"/>
      <w:r>
        <w:t>3.1</w:t>
      </w:r>
      <w:r>
        <w:tab/>
      </w:r>
      <w:r w:rsidR="007D792C">
        <w:t>Scope 1</w:t>
      </w:r>
      <w:r w:rsidR="00847B45" w:rsidRPr="008A7A45">
        <w:t xml:space="preserve"> GHG emissions</w:t>
      </w:r>
      <w:bookmarkEnd w:id="39"/>
      <w:bookmarkEnd w:id="40"/>
      <w:bookmarkEnd w:id="41"/>
      <w:bookmarkEnd w:id="42"/>
      <w:bookmarkEnd w:id="43"/>
    </w:p>
    <w:p w14:paraId="3B775E39" w14:textId="3EF07DE5" w:rsidR="00847B45" w:rsidRDefault="007D792C" w:rsidP="00847B45">
      <w:pPr>
        <w:pStyle w:val="BodyText"/>
      </w:pPr>
      <w:r>
        <w:t>Scope 1</w:t>
      </w:r>
      <w:r w:rsidR="00847B45">
        <w:t xml:space="preserve"> (or direct) GHG emissions are released directly into the atmosphere </w:t>
      </w:r>
      <w:proofErr w:type="gramStart"/>
      <w:r w:rsidR="00847B45">
        <w:t>as a result of</w:t>
      </w:r>
      <w:proofErr w:type="gramEnd"/>
      <w:r w:rsidR="00847B45">
        <w:t xml:space="preserve"> your activities. </w:t>
      </w:r>
    </w:p>
    <w:p w14:paraId="6D668A52" w14:textId="77EC127F" w:rsidR="00847B45" w:rsidRDefault="00847B45" w:rsidP="00847B45">
      <w:pPr>
        <w:pStyle w:val="BodyText"/>
        <w:keepNext/>
      </w:pPr>
      <w:r>
        <w:t xml:space="preserve">Examples of </w:t>
      </w:r>
      <w:r w:rsidR="007D792C">
        <w:t>Scope 1</w:t>
      </w:r>
      <w:r>
        <w:t xml:space="preserve"> emissions include:</w:t>
      </w:r>
    </w:p>
    <w:p w14:paraId="11D54EEC" w14:textId="77777777" w:rsidR="00847B45" w:rsidRPr="00801519" w:rsidRDefault="00847B45" w:rsidP="009940F2">
      <w:pPr>
        <w:pStyle w:val="ListBullet0"/>
        <w:rPr>
          <w:rFonts w:ascii="VIC" w:hAnsi="VIC"/>
          <w:sz w:val="20"/>
          <w:szCs w:val="20"/>
        </w:rPr>
      </w:pPr>
      <w:r w:rsidRPr="00801519">
        <w:rPr>
          <w:rFonts w:ascii="VIC" w:hAnsi="VIC"/>
          <w:sz w:val="20"/>
          <w:szCs w:val="20"/>
        </w:rPr>
        <w:t>emissions from manufacturing or processing of chemicals and materials, such as the manufacture of aluminium</w:t>
      </w:r>
    </w:p>
    <w:p w14:paraId="3F417333" w14:textId="77777777" w:rsidR="00847B45" w:rsidRPr="00801519" w:rsidRDefault="00847B45" w:rsidP="009940F2">
      <w:pPr>
        <w:pStyle w:val="ListBullet0"/>
        <w:rPr>
          <w:rFonts w:ascii="VIC" w:hAnsi="VIC"/>
          <w:sz w:val="20"/>
          <w:szCs w:val="20"/>
        </w:rPr>
      </w:pPr>
      <w:r w:rsidRPr="00801519">
        <w:rPr>
          <w:rFonts w:ascii="VIC" w:hAnsi="VIC"/>
          <w:sz w:val="20"/>
          <w:szCs w:val="20"/>
        </w:rPr>
        <w:t xml:space="preserve">emissions from combustion of fuel in your owned/controlled mobile sources, such as trucks and cars </w:t>
      </w:r>
    </w:p>
    <w:p w14:paraId="4CED3F99" w14:textId="77777777" w:rsidR="00847B45" w:rsidRPr="00801519" w:rsidRDefault="00847B45" w:rsidP="009940F2">
      <w:pPr>
        <w:pStyle w:val="ListBullet0"/>
        <w:rPr>
          <w:rFonts w:ascii="VIC" w:hAnsi="VIC"/>
          <w:sz w:val="20"/>
          <w:szCs w:val="20"/>
        </w:rPr>
      </w:pPr>
      <w:r w:rsidRPr="00801519">
        <w:rPr>
          <w:rFonts w:ascii="VIC" w:hAnsi="VIC"/>
          <w:sz w:val="20"/>
          <w:szCs w:val="20"/>
        </w:rPr>
        <w:t xml:space="preserve">fugitive emissions from leakage of gases during the exploration, production, transmission, </w:t>
      </w:r>
      <w:proofErr w:type="gramStart"/>
      <w:r w:rsidRPr="00801519">
        <w:rPr>
          <w:rFonts w:ascii="VIC" w:hAnsi="VIC"/>
          <w:sz w:val="20"/>
          <w:szCs w:val="20"/>
        </w:rPr>
        <w:t>storage</w:t>
      </w:r>
      <w:proofErr w:type="gramEnd"/>
      <w:r w:rsidRPr="00801519">
        <w:rPr>
          <w:rFonts w:ascii="VIC" w:hAnsi="VIC"/>
          <w:sz w:val="20"/>
          <w:szCs w:val="20"/>
        </w:rPr>
        <w:t xml:space="preserve"> and distribution of natural gas</w:t>
      </w:r>
    </w:p>
    <w:p w14:paraId="44ADA2C7" w14:textId="77777777" w:rsidR="00847B45" w:rsidRPr="00801519" w:rsidRDefault="00847B45" w:rsidP="009940F2">
      <w:pPr>
        <w:pStyle w:val="ListBullet0"/>
        <w:rPr>
          <w:rFonts w:ascii="VIC" w:hAnsi="VIC"/>
          <w:sz w:val="20"/>
          <w:szCs w:val="20"/>
        </w:rPr>
      </w:pPr>
      <w:r w:rsidRPr="00801519">
        <w:rPr>
          <w:rFonts w:ascii="VIC" w:hAnsi="VIC"/>
          <w:sz w:val="20"/>
          <w:szCs w:val="20"/>
        </w:rPr>
        <w:t>fugitive emissions, such as methane emissions from oil production, coal mines or decomposition of organic waste in landfills and wastewater treatment plants</w:t>
      </w:r>
    </w:p>
    <w:p w14:paraId="544A9019" w14:textId="77777777" w:rsidR="00847B45" w:rsidRPr="00801519" w:rsidRDefault="00847B45" w:rsidP="009940F2">
      <w:pPr>
        <w:pStyle w:val="ListBullet0"/>
        <w:rPr>
          <w:rFonts w:ascii="VIC" w:hAnsi="VIC"/>
          <w:sz w:val="20"/>
          <w:szCs w:val="20"/>
        </w:rPr>
      </w:pPr>
      <w:r w:rsidRPr="00801519">
        <w:rPr>
          <w:rFonts w:ascii="VIC" w:hAnsi="VIC"/>
          <w:sz w:val="20"/>
          <w:szCs w:val="20"/>
        </w:rPr>
        <w:t xml:space="preserve">hydrofluorocarbon emissions from leakage of gases during use of refrigeration and air conditioning equipment </w:t>
      </w:r>
    </w:p>
    <w:p w14:paraId="4B86E6D3" w14:textId="77777777" w:rsidR="00847B45" w:rsidRPr="00801519" w:rsidRDefault="00847B45" w:rsidP="009940F2">
      <w:pPr>
        <w:pStyle w:val="ListBullet0"/>
        <w:rPr>
          <w:rFonts w:ascii="VIC" w:hAnsi="VIC"/>
          <w:sz w:val="20"/>
          <w:szCs w:val="20"/>
        </w:rPr>
      </w:pPr>
      <w:r w:rsidRPr="00801519">
        <w:rPr>
          <w:rFonts w:ascii="VIC" w:hAnsi="VIC"/>
          <w:sz w:val="20"/>
          <w:szCs w:val="20"/>
        </w:rPr>
        <w:t>methane emissions from the digestive system of ruminants (for example, sheep and cattle) and effluent ponds</w:t>
      </w:r>
    </w:p>
    <w:p w14:paraId="1151FB08" w14:textId="77777777" w:rsidR="00847B45" w:rsidRPr="00801519" w:rsidRDefault="00847B45" w:rsidP="009940F2">
      <w:pPr>
        <w:pStyle w:val="ListBullet0"/>
        <w:rPr>
          <w:rFonts w:ascii="VIC" w:hAnsi="VIC"/>
          <w:sz w:val="20"/>
          <w:szCs w:val="20"/>
        </w:rPr>
      </w:pPr>
      <w:r w:rsidRPr="00801519">
        <w:rPr>
          <w:rFonts w:ascii="VIC" w:hAnsi="VIC"/>
          <w:sz w:val="20"/>
          <w:szCs w:val="20"/>
        </w:rPr>
        <w:t>nitrous oxide emissions from nitrogen-based fertilisers, livestock waste and effluent ponds</w:t>
      </w:r>
    </w:p>
    <w:p w14:paraId="1118153C" w14:textId="65C52D78" w:rsidR="00847B45" w:rsidRPr="00801519" w:rsidRDefault="00847B45" w:rsidP="009940F2">
      <w:pPr>
        <w:pStyle w:val="ListBullet0"/>
        <w:rPr>
          <w:rFonts w:ascii="VIC" w:hAnsi="VIC"/>
          <w:sz w:val="20"/>
          <w:szCs w:val="20"/>
        </w:rPr>
      </w:pPr>
      <w:r w:rsidRPr="00801519">
        <w:rPr>
          <w:rFonts w:ascii="VIC" w:hAnsi="VIC"/>
          <w:sz w:val="20"/>
          <w:szCs w:val="20"/>
        </w:rPr>
        <w:t xml:space="preserve">emissions from burning of fossil fuels (for example, coal or natural gas) to generate electricity – these are </w:t>
      </w:r>
      <w:r w:rsidR="007D792C">
        <w:rPr>
          <w:rFonts w:ascii="VIC" w:hAnsi="VIC"/>
          <w:sz w:val="20"/>
          <w:szCs w:val="20"/>
        </w:rPr>
        <w:t>Scope 1</w:t>
      </w:r>
      <w:r w:rsidRPr="00801519">
        <w:rPr>
          <w:rFonts w:ascii="VIC" w:hAnsi="VIC"/>
          <w:sz w:val="20"/>
          <w:szCs w:val="20"/>
        </w:rPr>
        <w:t xml:space="preserve"> emissions for the electricity generator, but for others they are </w:t>
      </w:r>
      <w:r w:rsidR="007D792C">
        <w:rPr>
          <w:rFonts w:ascii="VIC" w:hAnsi="VIC"/>
          <w:sz w:val="20"/>
          <w:szCs w:val="20"/>
        </w:rPr>
        <w:t>Scope 2</w:t>
      </w:r>
      <w:r w:rsidRPr="00801519">
        <w:rPr>
          <w:rFonts w:ascii="VIC" w:hAnsi="VIC"/>
          <w:sz w:val="20"/>
          <w:szCs w:val="20"/>
        </w:rPr>
        <w:t xml:space="preserve"> (for example when the electricity is transmitted to be used in a factory to power machinery and lighting)</w:t>
      </w:r>
    </w:p>
    <w:p w14:paraId="63F36288" w14:textId="77777777" w:rsidR="00847B45" w:rsidRPr="00801519" w:rsidRDefault="00847B45" w:rsidP="009940F2">
      <w:pPr>
        <w:pStyle w:val="ListBullet0"/>
        <w:rPr>
          <w:rFonts w:ascii="VIC" w:hAnsi="VIC"/>
          <w:sz w:val="20"/>
          <w:szCs w:val="20"/>
        </w:rPr>
      </w:pPr>
      <w:r w:rsidRPr="00801519">
        <w:rPr>
          <w:rFonts w:ascii="VIC" w:hAnsi="VIC"/>
          <w:sz w:val="20"/>
          <w:szCs w:val="20"/>
        </w:rPr>
        <w:t xml:space="preserve">emissions from gas-powered equipment, such as kilns, </w:t>
      </w:r>
      <w:proofErr w:type="gramStart"/>
      <w:r w:rsidRPr="00801519">
        <w:rPr>
          <w:rFonts w:ascii="VIC" w:hAnsi="VIC"/>
          <w:sz w:val="20"/>
          <w:szCs w:val="20"/>
        </w:rPr>
        <w:t>boilers</w:t>
      </w:r>
      <w:proofErr w:type="gramEnd"/>
      <w:r w:rsidRPr="00801519">
        <w:rPr>
          <w:rFonts w:ascii="VIC" w:hAnsi="VIC"/>
          <w:sz w:val="20"/>
          <w:szCs w:val="20"/>
        </w:rPr>
        <w:t xml:space="preserve"> and dryers</w:t>
      </w:r>
    </w:p>
    <w:p w14:paraId="0B17DD0B" w14:textId="77777777" w:rsidR="00847B45" w:rsidRPr="00801519" w:rsidRDefault="00847B45" w:rsidP="009940F2">
      <w:pPr>
        <w:pStyle w:val="ListBullet0"/>
        <w:rPr>
          <w:rFonts w:ascii="VIC" w:hAnsi="VIC"/>
          <w:sz w:val="20"/>
          <w:szCs w:val="20"/>
        </w:rPr>
      </w:pPr>
      <w:r w:rsidRPr="00801519">
        <w:rPr>
          <w:rFonts w:ascii="VIC" w:hAnsi="VIC"/>
          <w:sz w:val="20"/>
          <w:szCs w:val="20"/>
        </w:rPr>
        <w:t>emissions from gas heating and cooking.</w:t>
      </w:r>
    </w:p>
    <w:p w14:paraId="2D87961C" w14:textId="309EA05F" w:rsidR="00847B45" w:rsidRDefault="00326216" w:rsidP="00847B45">
      <w:pPr>
        <w:pStyle w:val="Heading2"/>
      </w:pPr>
      <w:bookmarkStart w:id="44" w:name="_Toc85802316"/>
      <w:bookmarkStart w:id="45" w:name="_Toc87612577"/>
      <w:bookmarkStart w:id="46" w:name="_Toc112341024"/>
      <w:bookmarkStart w:id="47" w:name="_Toc114045795"/>
      <w:bookmarkStart w:id="48" w:name="_Toc114566201"/>
      <w:r>
        <w:lastRenderedPageBreak/>
        <w:t>3.2</w:t>
      </w:r>
      <w:r>
        <w:tab/>
      </w:r>
      <w:r w:rsidR="007D792C">
        <w:t>Scope 2</w:t>
      </w:r>
      <w:r w:rsidR="00847B45">
        <w:t xml:space="preserve"> GHG emissions</w:t>
      </w:r>
      <w:bookmarkEnd w:id="44"/>
      <w:bookmarkEnd w:id="45"/>
      <w:bookmarkEnd w:id="46"/>
      <w:bookmarkEnd w:id="47"/>
      <w:bookmarkEnd w:id="48"/>
    </w:p>
    <w:p w14:paraId="459682F8" w14:textId="17D012EF" w:rsidR="00847B45" w:rsidRDefault="007D792C" w:rsidP="00050837">
      <w:r>
        <w:t>Scope 2</w:t>
      </w:r>
      <w:r w:rsidR="00847B45">
        <w:t xml:space="preserve"> GHG emissions are indirect emissions from the consumption of purchased energy products (for example, electricity, heat, or steam). </w:t>
      </w:r>
    </w:p>
    <w:p w14:paraId="3A2B32EB" w14:textId="1EC8E0B5" w:rsidR="00847B45" w:rsidRDefault="00847B45" w:rsidP="00050837">
      <w:r>
        <w:t xml:space="preserve">For example, GHG emissions from your purchased electricity, which was generated by burning coal, are considered </w:t>
      </w:r>
      <w:r w:rsidR="007D792C">
        <w:t>Scope 2</w:t>
      </w:r>
      <w:r>
        <w:t xml:space="preserve"> emissions for your business. However, the power station burning coal to generate that electricity would count these as part of their </w:t>
      </w:r>
      <w:r w:rsidR="007D792C">
        <w:t>Scope 1</w:t>
      </w:r>
      <w:r>
        <w:t xml:space="preserve"> emissions.</w:t>
      </w:r>
    </w:p>
    <w:p w14:paraId="264D3E82" w14:textId="4F0A2494" w:rsidR="00847B45" w:rsidRDefault="00FF223B" w:rsidP="00847B45">
      <w:pPr>
        <w:pStyle w:val="Heading2"/>
      </w:pPr>
      <w:bookmarkStart w:id="49" w:name="_Toc85802317"/>
      <w:bookmarkStart w:id="50" w:name="_Toc87612578"/>
      <w:bookmarkStart w:id="51" w:name="_Toc112341025"/>
      <w:bookmarkStart w:id="52" w:name="_Toc114045796"/>
      <w:bookmarkStart w:id="53" w:name="_Toc114566202"/>
      <w:r>
        <w:t>3.3</w:t>
      </w:r>
      <w:r>
        <w:tab/>
      </w:r>
      <w:r w:rsidR="007D792C">
        <w:t>Scope 3</w:t>
      </w:r>
      <w:r w:rsidR="00847B45">
        <w:t xml:space="preserve"> GHG emissions</w:t>
      </w:r>
      <w:bookmarkEnd w:id="49"/>
      <w:bookmarkEnd w:id="50"/>
      <w:bookmarkEnd w:id="51"/>
      <w:bookmarkEnd w:id="52"/>
      <w:bookmarkEnd w:id="53"/>
    </w:p>
    <w:p w14:paraId="7C63D298" w14:textId="5F00B870" w:rsidR="00847B45" w:rsidRDefault="007D792C" w:rsidP="00050837">
      <w:r>
        <w:t>Scope 3</w:t>
      </w:r>
      <w:r w:rsidR="00847B45">
        <w:t xml:space="preserve"> GHG emissions are all other indirect emissions that arise from or in connection with your activities and come from sources you do not own or control. They are usually termed either upstream or downstream emissions. </w:t>
      </w:r>
    </w:p>
    <w:p w14:paraId="1C931B77" w14:textId="0B2BAEE7" w:rsidR="00847B45" w:rsidRDefault="00847B45" w:rsidP="00050837">
      <w:r>
        <w:t xml:space="preserve">Examples of upstream and downstream </w:t>
      </w:r>
      <w:r w:rsidR="007D792C">
        <w:t>Scope 3</w:t>
      </w:r>
      <w:r>
        <w:t xml:space="preserve"> emissions are shown in </w:t>
      </w:r>
      <w:r>
        <w:fldChar w:fldCharType="begin"/>
      </w:r>
      <w:r>
        <w:instrText xml:space="preserve"> REF _Ref89090472 \h </w:instrText>
      </w:r>
      <w:r w:rsidR="00050837">
        <w:instrText xml:space="preserve"> \* MERGEFORMAT </w:instrText>
      </w:r>
      <w:r>
        <w:fldChar w:fldCharType="separate"/>
      </w:r>
      <w:r>
        <w:t>Table</w:t>
      </w:r>
      <w:r>
        <w:rPr>
          <w:rFonts w:ascii="Cambria" w:hAnsi="Cambria" w:cs="Cambria"/>
        </w:rPr>
        <w:t> </w:t>
      </w:r>
      <w:r>
        <w:rPr>
          <w:noProof/>
        </w:rPr>
        <w:t>2</w:t>
      </w:r>
      <w:r>
        <w:fldChar w:fldCharType="end"/>
      </w:r>
      <w:r>
        <w:t xml:space="preserve">. </w:t>
      </w:r>
    </w:p>
    <w:p w14:paraId="3D0D5D4A" w14:textId="7AC2D53C" w:rsidR="00C82F5F" w:rsidRPr="00F603F3" w:rsidRDefault="00C82F5F" w:rsidP="00F603F3">
      <w:pPr>
        <w:pStyle w:val="TableCaption"/>
        <w:rPr>
          <w:rFonts w:ascii="VIC" w:hAnsi="VIC"/>
          <w:color w:val="005FB4"/>
        </w:rPr>
      </w:pPr>
      <w:bookmarkStart w:id="54" w:name="_Ref89090472"/>
      <w:bookmarkStart w:id="55" w:name="_Ref89090485"/>
      <w:r w:rsidRPr="00F603F3">
        <w:rPr>
          <w:rFonts w:ascii="VIC" w:hAnsi="VIC"/>
          <w:color w:val="005FB4"/>
        </w:rPr>
        <w:t>Table</w:t>
      </w:r>
      <w:r w:rsidRPr="00F603F3">
        <w:rPr>
          <w:rFonts w:ascii="Cambria" w:hAnsi="Cambria" w:cs="Cambria"/>
          <w:color w:val="005FB4"/>
        </w:rPr>
        <w:t> </w:t>
      </w:r>
      <w:r w:rsidRPr="00F603F3">
        <w:rPr>
          <w:rFonts w:ascii="VIC" w:hAnsi="VIC"/>
          <w:color w:val="005FB4"/>
        </w:rPr>
        <w:fldChar w:fldCharType="begin"/>
      </w:r>
      <w:r w:rsidRPr="00F603F3">
        <w:rPr>
          <w:rFonts w:ascii="VIC" w:hAnsi="VIC"/>
          <w:color w:val="005FB4"/>
        </w:rPr>
        <w:instrText>SEQ Table \* ARABIC</w:instrText>
      </w:r>
      <w:r w:rsidRPr="00F603F3">
        <w:rPr>
          <w:rFonts w:ascii="VIC" w:hAnsi="VIC"/>
          <w:color w:val="005FB4"/>
        </w:rPr>
        <w:fldChar w:fldCharType="separate"/>
      </w:r>
      <w:r w:rsidRPr="00F603F3">
        <w:rPr>
          <w:rFonts w:ascii="VIC" w:hAnsi="VIC"/>
          <w:noProof/>
          <w:color w:val="005FB4"/>
        </w:rPr>
        <w:t>2</w:t>
      </w:r>
      <w:r w:rsidRPr="00F603F3">
        <w:rPr>
          <w:rFonts w:ascii="VIC" w:hAnsi="VIC"/>
          <w:color w:val="005FB4"/>
        </w:rPr>
        <w:fldChar w:fldCharType="end"/>
      </w:r>
      <w:bookmarkEnd w:id="54"/>
      <w:r w:rsidRPr="00F603F3">
        <w:rPr>
          <w:rFonts w:ascii="VIC" w:hAnsi="VIC"/>
          <w:color w:val="005FB4"/>
        </w:rPr>
        <w:t xml:space="preserve">: </w:t>
      </w:r>
      <w:r w:rsidR="007D792C">
        <w:rPr>
          <w:rFonts w:ascii="VIC" w:hAnsi="VIC"/>
          <w:color w:val="005FB4"/>
        </w:rPr>
        <w:t>Scope 3</w:t>
      </w:r>
      <w:r w:rsidRPr="00F603F3">
        <w:rPr>
          <w:rFonts w:ascii="VIC" w:hAnsi="VIC"/>
          <w:color w:val="005FB4"/>
        </w:rPr>
        <w:t xml:space="preserve"> emissions</w:t>
      </w:r>
      <w:bookmarkEnd w:id="55"/>
    </w:p>
    <w:tbl>
      <w:tblPr>
        <w:tblStyle w:val="EPATable"/>
        <w:tblpPr w:leftFromText="180" w:rightFromText="180" w:vertAnchor="page" w:horzAnchor="margin" w:tblpY="5298"/>
        <w:tblW w:w="5000" w:type="pct"/>
        <w:tblLook w:val="0620" w:firstRow="1" w:lastRow="0" w:firstColumn="0" w:lastColumn="0" w:noHBand="1" w:noVBand="1"/>
        <w:tblCaption w:val="Table 2 Scope 3 emissions"/>
        <w:tblDescription w:val="The table lists examples of upstream and downstream scope 3 greenhouse gas emissions"/>
      </w:tblPr>
      <w:tblGrid>
        <w:gridCol w:w="5143"/>
        <w:gridCol w:w="5030"/>
      </w:tblGrid>
      <w:tr w:rsidR="00F04C1E" w:rsidRPr="000C11D4" w14:paraId="3B0060F4" w14:textId="77777777" w:rsidTr="00F04C1E">
        <w:trPr>
          <w:cnfStyle w:val="100000000000" w:firstRow="1" w:lastRow="0" w:firstColumn="0" w:lastColumn="0" w:oddVBand="0" w:evenVBand="0" w:oddHBand="0" w:evenHBand="0" w:firstRowFirstColumn="0" w:firstRowLastColumn="0" w:lastRowFirstColumn="0" w:lastRowLastColumn="0"/>
        </w:trPr>
        <w:tc>
          <w:tcPr>
            <w:tcW w:w="2528" w:type="pct"/>
            <w:tcBorders>
              <w:top w:val="single" w:sz="8" w:space="0" w:color="4472C4" w:themeColor="accent1"/>
              <w:left w:val="nil"/>
              <w:bottom w:val="single" w:sz="8" w:space="0" w:color="4472C4" w:themeColor="accent1"/>
              <w:right w:val="nil"/>
            </w:tcBorders>
            <w:shd w:val="clear" w:color="auto" w:fill="auto"/>
          </w:tcPr>
          <w:p w14:paraId="07413FF7" w14:textId="2497CB94" w:rsidR="00F04C1E" w:rsidRPr="000C11D4" w:rsidRDefault="00F04C1E" w:rsidP="00F04C1E">
            <w:pPr>
              <w:pStyle w:val="TableParagraph"/>
              <w:rPr>
                <w:b/>
                <w:bCs/>
                <w:color w:val="005FB4"/>
              </w:rPr>
            </w:pPr>
            <w:r w:rsidRPr="000C11D4">
              <w:rPr>
                <w:b/>
                <w:bCs/>
                <w:color w:val="005FB4"/>
              </w:rPr>
              <w:t xml:space="preserve">Upstream </w:t>
            </w:r>
            <w:r w:rsidR="007D792C">
              <w:rPr>
                <w:b/>
                <w:bCs/>
                <w:color w:val="005FB4"/>
              </w:rPr>
              <w:t>Scope 3</w:t>
            </w:r>
            <w:r w:rsidRPr="000C11D4">
              <w:rPr>
                <w:b/>
                <w:bCs/>
                <w:color w:val="005FB4"/>
              </w:rPr>
              <w:t xml:space="preserve"> emissions</w:t>
            </w:r>
          </w:p>
        </w:tc>
        <w:tc>
          <w:tcPr>
            <w:tcW w:w="2472" w:type="pct"/>
            <w:tcBorders>
              <w:top w:val="single" w:sz="8" w:space="0" w:color="4472C4" w:themeColor="accent1"/>
              <w:left w:val="nil"/>
              <w:bottom w:val="single" w:sz="8" w:space="0" w:color="4472C4" w:themeColor="accent1"/>
              <w:right w:val="nil"/>
            </w:tcBorders>
            <w:shd w:val="clear" w:color="auto" w:fill="auto"/>
          </w:tcPr>
          <w:p w14:paraId="6D3F933C" w14:textId="3937748E" w:rsidR="00F04C1E" w:rsidRPr="000C11D4" w:rsidRDefault="00F04C1E" w:rsidP="00F04C1E">
            <w:pPr>
              <w:pStyle w:val="TableParagraph"/>
              <w:rPr>
                <w:b/>
                <w:bCs/>
                <w:color w:val="005FB4"/>
              </w:rPr>
            </w:pPr>
            <w:r w:rsidRPr="000C11D4">
              <w:rPr>
                <w:b/>
                <w:bCs/>
                <w:color w:val="005FB4"/>
              </w:rPr>
              <w:t xml:space="preserve">Downstream </w:t>
            </w:r>
            <w:r w:rsidR="007D792C">
              <w:rPr>
                <w:b/>
                <w:bCs/>
                <w:color w:val="005FB4"/>
              </w:rPr>
              <w:t>Scope 3</w:t>
            </w:r>
            <w:r w:rsidRPr="000C11D4">
              <w:rPr>
                <w:b/>
                <w:bCs/>
                <w:color w:val="005FB4"/>
              </w:rPr>
              <w:t xml:space="preserve"> emissions</w:t>
            </w:r>
          </w:p>
        </w:tc>
      </w:tr>
      <w:tr w:rsidR="00F04C1E" w14:paraId="4744B38B" w14:textId="77777777" w:rsidTr="00F04C1E">
        <w:tc>
          <w:tcPr>
            <w:tcW w:w="2528" w:type="pct"/>
            <w:tcBorders>
              <w:top w:val="single" w:sz="8" w:space="0" w:color="4472C4" w:themeColor="accent1"/>
              <w:left w:val="nil"/>
              <w:bottom w:val="single" w:sz="8" w:space="0" w:color="4472C4" w:themeColor="accent1"/>
              <w:right w:val="nil"/>
            </w:tcBorders>
          </w:tcPr>
          <w:p w14:paraId="189449BC" w14:textId="5CA07392" w:rsidR="00F04C1E" w:rsidRDefault="00F04C1E" w:rsidP="00F04C1E">
            <w:pPr>
              <w:pStyle w:val="TableParagraph"/>
            </w:pPr>
            <w:r w:rsidRPr="00E6353A">
              <w:t>Purchased goods and services</w:t>
            </w:r>
          </w:p>
        </w:tc>
        <w:tc>
          <w:tcPr>
            <w:tcW w:w="2472" w:type="pct"/>
            <w:tcBorders>
              <w:top w:val="single" w:sz="8" w:space="0" w:color="4472C4" w:themeColor="accent1"/>
              <w:left w:val="nil"/>
              <w:bottom w:val="single" w:sz="8" w:space="0" w:color="4472C4" w:themeColor="accent1"/>
              <w:right w:val="nil"/>
            </w:tcBorders>
          </w:tcPr>
          <w:p w14:paraId="0BDD63A7" w14:textId="77777777" w:rsidR="00F04C1E" w:rsidRDefault="00F04C1E" w:rsidP="00F04C1E">
            <w:pPr>
              <w:pStyle w:val="TableParagraph"/>
            </w:pPr>
            <w:r w:rsidRPr="00E6353A">
              <w:t>Downstream transportation and distribution</w:t>
            </w:r>
          </w:p>
        </w:tc>
      </w:tr>
      <w:tr w:rsidR="00F04C1E" w14:paraId="0BF29FD1" w14:textId="77777777" w:rsidTr="00F04C1E">
        <w:tc>
          <w:tcPr>
            <w:tcW w:w="2528" w:type="pct"/>
            <w:tcBorders>
              <w:top w:val="single" w:sz="8" w:space="0" w:color="4472C4" w:themeColor="accent1"/>
              <w:left w:val="nil"/>
              <w:bottom w:val="single" w:sz="8" w:space="0" w:color="4472C4" w:themeColor="accent1"/>
              <w:right w:val="nil"/>
            </w:tcBorders>
            <w:hideMark/>
          </w:tcPr>
          <w:p w14:paraId="31A8A5FA" w14:textId="533782FF" w:rsidR="00F04C1E" w:rsidRDefault="00F04C1E" w:rsidP="00F04C1E">
            <w:pPr>
              <w:pStyle w:val="TableParagraph"/>
            </w:pPr>
            <w:r>
              <w:t xml:space="preserve">Capital goods (assets used to produce products and services – for example, buildings, machinery, </w:t>
            </w:r>
            <w:proofErr w:type="gramStart"/>
            <w:r>
              <w:t>tools</w:t>
            </w:r>
            <w:proofErr w:type="gramEnd"/>
            <w:r>
              <w:t xml:space="preserve"> and equipment)</w:t>
            </w:r>
          </w:p>
        </w:tc>
        <w:tc>
          <w:tcPr>
            <w:tcW w:w="2472" w:type="pct"/>
            <w:tcBorders>
              <w:top w:val="single" w:sz="8" w:space="0" w:color="4472C4" w:themeColor="accent1"/>
              <w:left w:val="nil"/>
              <w:bottom w:val="single" w:sz="8" w:space="0" w:color="4472C4" w:themeColor="accent1"/>
              <w:right w:val="nil"/>
            </w:tcBorders>
            <w:hideMark/>
          </w:tcPr>
          <w:p w14:paraId="2DF4306D" w14:textId="77777777" w:rsidR="00F04C1E" w:rsidRDefault="00F04C1E" w:rsidP="00F04C1E">
            <w:pPr>
              <w:pStyle w:val="TableParagraph"/>
            </w:pPr>
            <w:r>
              <w:t>Processing of sold products</w:t>
            </w:r>
          </w:p>
        </w:tc>
      </w:tr>
      <w:tr w:rsidR="00F04C1E" w14:paraId="584769F3" w14:textId="77777777" w:rsidTr="00F04C1E">
        <w:tc>
          <w:tcPr>
            <w:tcW w:w="2528" w:type="pct"/>
            <w:tcBorders>
              <w:top w:val="single" w:sz="8" w:space="0" w:color="4472C4" w:themeColor="accent1"/>
              <w:left w:val="nil"/>
              <w:bottom w:val="single" w:sz="8" w:space="0" w:color="4472C4" w:themeColor="accent1"/>
              <w:right w:val="nil"/>
            </w:tcBorders>
            <w:hideMark/>
          </w:tcPr>
          <w:p w14:paraId="75E9BCB6" w14:textId="59DE981F" w:rsidR="00F04C1E" w:rsidRDefault="00F04C1E" w:rsidP="00F04C1E">
            <w:pPr>
              <w:pStyle w:val="TableParagraph"/>
            </w:pPr>
            <w:r>
              <w:t xml:space="preserve">Fuel and energy-related activities (not included in </w:t>
            </w:r>
            <w:r w:rsidR="007D792C">
              <w:t>Scope 1</w:t>
            </w:r>
            <w:r>
              <w:t xml:space="preserve"> or </w:t>
            </w:r>
            <w:r w:rsidR="007D792C">
              <w:t>Scope 2</w:t>
            </w:r>
            <w:r>
              <w:t>)</w:t>
            </w:r>
          </w:p>
        </w:tc>
        <w:tc>
          <w:tcPr>
            <w:tcW w:w="2472" w:type="pct"/>
            <w:tcBorders>
              <w:top w:val="single" w:sz="8" w:space="0" w:color="4472C4" w:themeColor="accent1"/>
              <w:left w:val="nil"/>
              <w:bottom w:val="single" w:sz="8" w:space="0" w:color="4472C4" w:themeColor="accent1"/>
              <w:right w:val="nil"/>
            </w:tcBorders>
            <w:hideMark/>
          </w:tcPr>
          <w:p w14:paraId="22F97D44" w14:textId="77777777" w:rsidR="00F04C1E" w:rsidRDefault="00F04C1E" w:rsidP="00F04C1E">
            <w:pPr>
              <w:pStyle w:val="TableParagraph"/>
            </w:pPr>
            <w:r>
              <w:t xml:space="preserve">Use of sold products </w:t>
            </w:r>
          </w:p>
        </w:tc>
      </w:tr>
      <w:tr w:rsidR="00F04C1E" w14:paraId="7B3FFB5C" w14:textId="77777777" w:rsidTr="00F04C1E">
        <w:tc>
          <w:tcPr>
            <w:tcW w:w="2528" w:type="pct"/>
            <w:tcBorders>
              <w:top w:val="single" w:sz="8" w:space="0" w:color="4472C4" w:themeColor="accent1"/>
              <w:left w:val="nil"/>
              <w:bottom w:val="single" w:sz="8" w:space="0" w:color="4472C4" w:themeColor="accent1"/>
              <w:right w:val="nil"/>
            </w:tcBorders>
            <w:hideMark/>
          </w:tcPr>
          <w:p w14:paraId="46B87DB9" w14:textId="77777777" w:rsidR="00F04C1E" w:rsidRDefault="00F04C1E" w:rsidP="00F04C1E">
            <w:pPr>
              <w:pStyle w:val="TableParagraph"/>
            </w:pPr>
            <w:r>
              <w:t>Upstream transport and distribution</w:t>
            </w:r>
          </w:p>
        </w:tc>
        <w:tc>
          <w:tcPr>
            <w:tcW w:w="2472" w:type="pct"/>
            <w:tcBorders>
              <w:top w:val="single" w:sz="8" w:space="0" w:color="4472C4" w:themeColor="accent1"/>
              <w:left w:val="nil"/>
              <w:bottom w:val="single" w:sz="8" w:space="0" w:color="4472C4" w:themeColor="accent1"/>
              <w:right w:val="nil"/>
            </w:tcBorders>
            <w:hideMark/>
          </w:tcPr>
          <w:p w14:paraId="2EBBF202" w14:textId="77777777" w:rsidR="00F04C1E" w:rsidRDefault="00F04C1E" w:rsidP="00F04C1E">
            <w:pPr>
              <w:pStyle w:val="TableParagraph"/>
            </w:pPr>
            <w:r>
              <w:t>End-of-life treatment of sold products</w:t>
            </w:r>
          </w:p>
        </w:tc>
      </w:tr>
      <w:tr w:rsidR="00F04C1E" w14:paraId="19880CEC" w14:textId="77777777" w:rsidTr="00F04C1E">
        <w:tc>
          <w:tcPr>
            <w:tcW w:w="2528" w:type="pct"/>
            <w:tcBorders>
              <w:top w:val="single" w:sz="8" w:space="0" w:color="4472C4" w:themeColor="accent1"/>
              <w:left w:val="nil"/>
              <w:bottom w:val="single" w:sz="8" w:space="0" w:color="4472C4" w:themeColor="accent1"/>
              <w:right w:val="nil"/>
            </w:tcBorders>
            <w:hideMark/>
          </w:tcPr>
          <w:p w14:paraId="609AE0F2" w14:textId="77777777" w:rsidR="00F04C1E" w:rsidRDefault="00F04C1E" w:rsidP="00F04C1E">
            <w:pPr>
              <w:pStyle w:val="TableParagraph"/>
            </w:pPr>
            <w:r>
              <w:t>Waste generated in operations</w:t>
            </w:r>
          </w:p>
        </w:tc>
        <w:tc>
          <w:tcPr>
            <w:tcW w:w="2472" w:type="pct"/>
            <w:tcBorders>
              <w:top w:val="single" w:sz="8" w:space="0" w:color="4472C4" w:themeColor="accent1"/>
              <w:left w:val="nil"/>
              <w:bottom w:val="single" w:sz="8" w:space="0" w:color="4472C4" w:themeColor="accent1"/>
              <w:right w:val="nil"/>
            </w:tcBorders>
            <w:hideMark/>
          </w:tcPr>
          <w:p w14:paraId="30B48CBD" w14:textId="77777777" w:rsidR="00F04C1E" w:rsidRDefault="00F04C1E" w:rsidP="00F04C1E">
            <w:pPr>
              <w:pStyle w:val="TableParagraph"/>
            </w:pPr>
            <w:r>
              <w:t>Downstream leased assets</w:t>
            </w:r>
          </w:p>
        </w:tc>
      </w:tr>
      <w:tr w:rsidR="00F04C1E" w14:paraId="608FE210" w14:textId="77777777" w:rsidTr="00F04C1E">
        <w:tc>
          <w:tcPr>
            <w:tcW w:w="2528" w:type="pct"/>
            <w:tcBorders>
              <w:top w:val="single" w:sz="8" w:space="0" w:color="4472C4" w:themeColor="accent1"/>
              <w:left w:val="nil"/>
              <w:bottom w:val="single" w:sz="8" w:space="0" w:color="4472C4" w:themeColor="accent1"/>
              <w:right w:val="nil"/>
            </w:tcBorders>
            <w:hideMark/>
          </w:tcPr>
          <w:p w14:paraId="1364808B" w14:textId="77777777" w:rsidR="00F04C1E" w:rsidRDefault="00F04C1E" w:rsidP="00F04C1E">
            <w:pPr>
              <w:pStyle w:val="TableParagraph"/>
            </w:pPr>
            <w:r>
              <w:t>Business travel</w:t>
            </w:r>
          </w:p>
        </w:tc>
        <w:tc>
          <w:tcPr>
            <w:tcW w:w="2472" w:type="pct"/>
            <w:tcBorders>
              <w:top w:val="single" w:sz="8" w:space="0" w:color="4472C4" w:themeColor="accent1"/>
              <w:left w:val="nil"/>
              <w:bottom w:val="single" w:sz="8" w:space="0" w:color="4472C4" w:themeColor="accent1"/>
              <w:right w:val="nil"/>
            </w:tcBorders>
            <w:hideMark/>
          </w:tcPr>
          <w:p w14:paraId="11A420ED" w14:textId="77777777" w:rsidR="00F04C1E" w:rsidRDefault="00F04C1E" w:rsidP="00F04C1E">
            <w:pPr>
              <w:pStyle w:val="TableParagraph"/>
            </w:pPr>
            <w:r>
              <w:t>Franchises</w:t>
            </w:r>
          </w:p>
        </w:tc>
      </w:tr>
      <w:tr w:rsidR="00F04C1E" w14:paraId="794C25DB" w14:textId="77777777" w:rsidTr="00F04C1E">
        <w:tc>
          <w:tcPr>
            <w:tcW w:w="2528" w:type="pct"/>
            <w:tcBorders>
              <w:top w:val="single" w:sz="8" w:space="0" w:color="4472C4" w:themeColor="accent1"/>
              <w:left w:val="nil"/>
              <w:bottom w:val="single" w:sz="8" w:space="0" w:color="4472C4" w:themeColor="accent1"/>
              <w:right w:val="nil"/>
            </w:tcBorders>
            <w:hideMark/>
          </w:tcPr>
          <w:p w14:paraId="0AE061F9" w14:textId="77777777" w:rsidR="00F04C1E" w:rsidRDefault="00F04C1E" w:rsidP="00F04C1E">
            <w:pPr>
              <w:pStyle w:val="TableParagraph"/>
            </w:pPr>
            <w:r>
              <w:t>Employee commuting</w:t>
            </w:r>
          </w:p>
        </w:tc>
        <w:tc>
          <w:tcPr>
            <w:tcW w:w="2472" w:type="pct"/>
            <w:tcBorders>
              <w:top w:val="single" w:sz="8" w:space="0" w:color="4472C4" w:themeColor="accent1"/>
              <w:left w:val="nil"/>
              <w:bottom w:val="single" w:sz="8" w:space="0" w:color="4472C4" w:themeColor="accent1"/>
              <w:right w:val="nil"/>
            </w:tcBorders>
            <w:hideMark/>
          </w:tcPr>
          <w:p w14:paraId="5D1B3EFC" w14:textId="77777777" w:rsidR="00F04C1E" w:rsidRDefault="00F04C1E" w:rsidP="00F04C1E">
            <w:pPr>
              <w:pStyle w:val="TableParagraph"/>
            </w:pPr>
            <w:r>
              <w:t>Investments</w:t>
            </w:r>
          </w:p>
        </w:tc>
      </w:tr>
      <w:tr w:rsidR="00F04C1E" w14:paraId="6BC17B2B" w14:textId="77777777" w:rsidTr="00F04C1E">
        <w:tc>
          <w:tcPr>
            <w:tcW w:w="2528" w:type="pct"/>
            <w:tcBorders>
              <w:top w:val="single" w:sz="8" w:space="0" w:color="4472C4" w:themeColor="accent1"/>
              <w:left w:val="nil"/>
              <w:bottom w:val="single" w:sz="8" w:space="0" w:color="4472C4" w:themeColor="accent1"/>
              <w:right w:val="nil"/>
            </w:tcBorders>
            <w:hideMark/>
          </w:tcPr>
          <w:p w14:paraId="79553A5E" w14:textId="77777777" w:rsidR="00F04C1E" w:rsidRDefault="00F04C1E" w:rsidP="00F04C1E">
            <w:pPr>
              <w:pStyle w:val="TableParagraph"/>
            </w:pPr>
            <w:r>
              <w:t>Upstream leased assets</w:t>
            </w:r>
          </w:p>
        </w:tc>
        <w:tc>
          <w:tcPr>
            <w:tcW w:w="2472" w:type="pct"/>
            <w:tcBorders>
              <w:top w:val="single" w:sz="8" w:space="0" w:color="4472C4" w:themeColor="accent1"/>
              <w:left w:val="nil"/>
              <w:bottom w:val="single" w:sz="8" w:space="0" w:color="4472C4" w:themeColor="accent1"/>
              <w:right w:val="nil"/>
            </w:tcBorders>
          </w:tcPr>
          <w:p w14:paraId="55AD1312" w14:textId="77777777" w:rsidR="00F04C1E" w:rsidRDefault="00F04C1E" w:rsidP="00F04C1E">
            <w:pPr>
              <w:pStyle w:val="TableParagraph"/>
            </w:pPr>
          </w:p>
        </w:tc>
      </w:tr>
    </w:tbl>
    <w:p w14:paraId="2B5CACF8" w14:textId="0CC4232E" w:rsidR="00D24ECA" w:rsidRDefault="00D24ECA" w:rsidP="001200DE">
      <w:pPr>
        <w:pStyle w:val="BodyText"/>
        <w:spacing w:before="122"/>
        <w:ind w:right="225"/>
        <w:jc w:val="both"/>
      </w:pPr>
    </w:p>
    <w:p w14:paraId="24EDD66E" w14:textId="62B96FB3" w:rsidR="00CD746D" w:rsidRPr="00A36A5E" w:rsidRDefault="00CD746D" w:rsidP="00CD746D">
      <w:pPr>
        <w:spacing w:before="120"/>
        <w:ind w:right="-227"/>
        <w:rPr>
          <w:rFonts w:eastAsia="MS Mincho" w:cs="Times New Roman"/>
          <w:lang w:eastAsia="en-US"/>
        </w:rPr>
      </w:pPr>
      <w:r>
        <w:rPr>
          <w:noProof/>
        </w:rPr>
        <mc:AlternateContent>
          <mc:Choice Requires="wps">
            <w:drawing>
              <wp:anchor distT="45720" distB="45720" distL="114300" distR="114300" simplePos="0" relativeHeight="251658250" behindDoc="0" locked="0" layoutInCell="1" allowOverlap="1" wp14:anchorId="5347FF32" wp14:editId="47E8EE70">
                <wp:simplePos x="0" y="0"/>
                <wp:positionH relativeFrom="column">
                  <wp:posOffset>-22446</wp:posOffset>
                </wp:positionH>
                <wp:positionV relativeFrom="paragraph">
                  <wp:posOffset>524731</wp:posOffset>
                </wp:positionV>
                <wp:extent cx="6210300" cy="1930400"/>
                <wp:effectExtent l="0" t="0" r="19050" b="12700"/>
                <wp:wrapSquare wrapText="bothSides"/>
                <wp:docPr id="16" name="Text Box 2" descr="The text box describes synthetic greenhouse gases, where they are commonly used and the Commonwealth Act they are regulated u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30400"/>
                        </a:xfrm>
                        <a:prstGeom prst="rect">
                          <a:avLst/>
                        </a:prstGeom>
                        <a:solidFill>
                          <a:srgbClr val="FFFFFF"/>
                        </a:solidFill>
                        <a:ln w="9525">
                          <a:solidFill>
                            <a:schemeClr val="tx1"/>
                          </a:solidFill>
                          <a:miter lim="800000"/>
                          <a:headEnd/>
                          <a:tailEnd/>
                        </a:ln>
                      </wps:spPr>
                      <wps:txbx>
                        <w:txbxContent>
                          <w:p w14:paraId="7B5A6BC2" w14:textId="77777777" w:rsidR="00CD746D" w:rsidRPr="00684A0F" w:rsidRDefault="00CD746D" w:rsidP="00CD746D">
                            <w:pPr>
                              <w:spacing w:before="120"/>
                              <w:ind w:right="113"/>
                              <w:rPr>
                                <w:rFonts w:eastAsia="MS Mincho" w:cs="Times New Roman"/>
                                <w:b/>
                                <w:bCs/>
                                <w:color w:val="005FB4"/>
                                <w:lang w:eastAsia="ja-JP"/>
                              </w:rPr>
                            </w:pPr>
                            <w:bookmarkStart w:id="56" w:name="_Hlk113976208"/>
                            <w:r w:rsidRPr="00684A0F">
                              <w:rPr>
                                <w:rFonts w:eastAsia="MS Mincho" w:cs="Times New Roman"/>
                                <w:b/>
                                <w:bCs/>
                                <w:color w:val="005FB4"/>
                                <w:lang w:eastAsia="ja-JP"/>
                              </w:rPr>
                              <w:t>Did you know</w:t>
                            </w:r>
                            <w:r>
                              <w:rPr>
                                <w:rFonts w:eastAsia="MS Mincho" w:cs="Times New Roman"/>
                                <w:b/>
                                <w:bCs/>
                                <w:color w:val="005FB4"/>
                                <w:lang w:eastAsia="ja-JP"/>
                              </w:rPr>
                              <w:t>?</w:t>
                            </w:r>
                          </w:p>
                          <w:p w14:paraId="56E4DC8C" w14:textId="77777777" w:rsidR="00CD746D" w:rsidRPr="00DF7186" w:rsidRDefault="00CD746D" w:rsidP="00CD746D">
                            <w:pPr>
                              <w:rPr>
                                <w:sz w:val="18"/>
                                <w:szCs w:val="18"/>
                              </w:rPr>
                            </w:pPr>
                            <w:proofErr w:type="spellStart"/>
                            <w:r w:rsidRPr="00DF7186">
                              <w:rPr>
                                <w:rFonts w:eastAsia="MS Mincho"/>
                                <w:lang w:eastAsia="en-US"/>
                              </w:rPr>
                              <w:t>Sulfur</w:t>
                            </w:r>
                            <w:proofErr w:type="spellEnd"/>
                            <w:r w:rsidRPr="00DF7186">
                              <w:rPr>
                                <w:rFonts w:eastAsia="MS Mincho"/>
                                <w:lang w:eastAsia="en-US"/>
                              </w:rPr>
                              <w:t xml:space="preserve"> hexafluoride, hydrofluorocarbons and perfluorocarbons are synthetic GHGs that are manufactured for use in industry. They were introduced as replacements for ozone-depleting substances as they do not damage the ozone layer and are commonly used in refrigeration and air conditioning, fire extinguishing, foam production, and medical aerosols. However, they contribute to climate change</w:t>
                            </w:r>
                            <w:r w:rsidRPr="00DF7186">
                              <w:rPr>
                                <w:rFonts w:eastAsia="MS Mincho"/>
                                <w:vertAlign w:val="superscript"/>
                                <w:lang w:eastAsia="en-US"/>
                              </w:rPr>
                              <w:t>6</w:t>
                            </w:r>
                            <w:r w:rsidRPr="00DF7186">
                              <w:rPr>
                                <w:rFonts w:eastAsia="MS Mincho"/>
                                <w:lang w:eastAsia="en-US"/>
                              </w:rPr>
                              <w:t xml:space="preserve">. Hydrofluorocarbons such as R-134a and R-410a are now the most common refrigerants, making up 81 per cent of refrigerants in use in Australia. Synthetic GHGs listed in the Kyoto Protocol are regulated in Australia under the </w:t>
                            </w:r>
                            <w:r w:rsidRPr="00DF7186">
                              <w:rPr>
                                <w:rFonts w:eastAsia="MS Mincho"/>
                                <w:i/>
                                <w:iCs/>
                                <w:lang w:eastAsia="en-US"/>
                              </w:rPr>
                              <w:t xml:space="preserve">Ozone Protection and Synthetic Greenhouse Gas Management Act 1989 </w:t>
                            </w:r>
                            <w:r w:rsidRPr="00DF7186">
                              <w:rPr>
                                <w:rFonts w:eastAsia="MS Mincho"/>
                                <w:lang w:eastAsia="en-US"/>
                              </w:rPr>
                              <w:t>(</w:t>
                            </w:r>
                            <w:proofErr w:type="spellStart"/>
                            <w:r w:rsidRPr="00DF7186">
                              <w:rPr>
                                <w:rFonts w:eastAsia="MS Mincho"/>
                                <w:lang w:eastAsia="en-US"/>
                              </w:rPr>
                              <w:t>Cth</w:t>
                            </w:r>
                            <w:proofErr w:type="spellEnd"/>
                            <w:r w:rsidRPr="00DF7186">
                              <w:rPr>
                                <w:rFonts w:eastAsia="MS Mincho"/>
                                <w:lang w:eastAsia="en-US"/>
                              </w:rPr>
                              <w:t>).</w:t>
                            </w:r>
                            <w:bookmarkEnd w:id="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FF32" id="Text Box 2" o:spid="_x0000_s1027" type="#_x0000_t202" alt="The text box describes synthetic greenhouse gases, where they are commonly used and the Commonwealth Act they are regulated under." style="position:absolute;margin-left:-1.75pt;margin-top:41.3pt;width:489pt;height:152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" strokecolor="black [3213]">
                <v:textbox>
                  <w:txbxContent>
                    <w:p w14:paraId="7B5A6BC2" w14:textId="77777777" w:rsidR="00CD746D" w:rsidRPr="00684A0F" w:rsidRDefault="00CD746D" w:rsidP="00CD746D">
                      <w:pPr>
                        <w:spacing w:before="120"/>
                        <w:ind w:right="113"/>
                        <w:rPr>
                          <w:rFonts w:eastAsia="MS Mincho" w:cs="Times New Roman"/>
                          <w:b/>
                          <w:bCs/>
                          <w:color w:val="005FB4"/>
                          <w:lang w:eastAsia="ja-JP"/>
                        </w:rPr>
                      </w:pPr>
                      <w:bookmarkStart w:id="57" w:name="_Hlk113976208"/>
                      <w:r w:rsidRPr="00684A0F">
                        <w:rPr>
                          <w:rFonts w:eastAsia="MS Mincho" w:cs="Times New Roman"/>
                          <w:b/>
                          <w:bCs/>
                          <w:color w:val="005FB4"/>
                          <w:lang w:eastAsia="ja-JP"/>
                        </w:rPr>
                        <w:t>Did you know</w:t>
                      </w:r>
                      <w:r>
                        <w:rPr>
                          <w:rFonts w:eastAsia="MS Mincho" w:cs="Times New Roman"/>
                          <w:b/>
                          <w:bCs/>
                          <w:color w:val="005FB4"/>
                          <w:lang w:eastAsia="ja-JP"/>
                        </w:rPr>
                        <w:t>?</w:t>
                      </w:r>
                    </w:p>
                    <w:p w14:paraId="56E4DC8C" w14:textId="77777777" w:rsidR="00CD746D" w:rsidRPr="00DF7186" w:rsidRDefault="00CD746D" w:rsidP="00CD746D">
                      <w:pPr>
                        <w:rPr>
                          <w:sz w:val="18"/>
                          <w:szCs w:val="18"/>
                        </w:rPr>
                      </w:pPr>
                      <w:proofErr w:type="spellStart"/>
                      <w:r w:rsidRPr="00DF7186">
                        <w:rPr>
                          <w:rFonts w:eastAsia="MS Mincho"/>
                          <w:lang w:eastAsia="en-US"/>
                        </w:rPr>
                        <w:t>Sulfur</w:t>
                      </w:r>
                      <w:proofErr w:type="spellEnd"/>
                      <w:r w:rsidRPr="00DF7186">
                        <w:rPr>
                          <w:rFonts w:eastAsia="MS Mincho"/>
                          <w:lang w:eastAsia="en-US"/>
                        </w:rPr>
                        <w:t xml:space="preserve"> hexafluoride, hydrofluorocarbons and perfluorocarbons are synthetic GHGs that are manufactured for use in industry. They were introduced as replacements for ozone-depleting substances as they do not damage the ozone layer and are commonly used in refrigeration and air conditioning, fire extinguishing, foam production, and medical aerosols. However, they contribute to climate change</w:t>
                      </w:r>
                      <w:r w:rsidRPr="00DF7186">
                        <w:rPr>
                          <w:rFonts w:eastAsia="MS Mincho"/>
                          <w:vertAlign w:val="superscript"/>
                          <w:lang w:eastAsia="en-US"/>
                        </w:rPr>
                        <w:t>6</w:t>
                      </w:r>
                      <w:r w:rsidRPr="00DF7186">
                        <w:rPr>
                          <w:rFonts w:eastAsia="MS Mincho"/>
                          <w:lang w:eastAsia="en-US"/>
                        </w:rPr>
                        <w:t xml:space="preserve">. Hydrofluorocarbons such as R-134a and R-410a are now the most common refrigerants, making up 81 per cent of refrigerants in use in Australia. Synthetic GHGs listed in the Kyoto Protocol are regulated in Australia under the </w:t>
                      </w:r>
                      <w:r w:rsidRPr="00DF7186">
                        <w:rPr>
                          <w:rFonts w:eastAsia="MS Mincho"/>
                          <w:i/>
                          <w:iCs/>
                          <w:lang w:eastAsia="en-US"/>
                        </w:rPr>
                        <w:t xml:space="preserve">Ozone Protection and Synthetic Greenhouse Gas Management Act 1989 </w:t>
                      </w:r>
                      <w:r w:rsidRPr="00DF7186">
                        <w:rPr>
                          <w:rFonts w:eastAsia="MS Mincho"/>
                          <w:lang w:eastAsia="en-US"/>
                        </w:rPr>
                        <w:t>(</w:t>
                      </w:r>
                      <w:proofErr w:type="spellStart"/>
                      <w:r w:rsidRPr="00DF7186">
                        <w:rPr>
                          <w:rFonts w:eastAsia="MS Mincho"/>
                          <w:lang w:eastAsia="en-US"/>
                        </w:rPr>
                        <w:t>Cth</w:t>
                      </w:r>
                      <w:proofErr w:type="spellEnd"/>
                      <w:r w:rsidRPr="00DF7186">
                        <w:rPr>
                          <w:rFonts w:eastAsia="MS Mincho"/>
                          <w:lang w:eastAsia="en-US"/>
                        </w:rPr>
                        <w:t>).</w:t>
                      </w:r>
                      <w:bookmarkEnd w:id="57"/>
                    </w:p>
                  </w:txbxContent>
                </v:textbox>
                <w10:wrap type="square"/>
              </v:shape>
            </w:pict>
          </mc:Fallback>
        </mc:AlternateContent>
      </w:r>
      <w:r w:rsidRPr="00A36A5E">
        <w:rPr>
          <w:rFonts w:eastAsia="MS Mincho" w:cs="Times New Roman"/>
          <w:lang w:eastAsia="en-US"/>
        </w:rPr>
        <w:t>For more information</w:t>
      </w:r>
      <w:r w:rsidR="00BE6BAD">
        <w:rPr>
          <w:rFonts w:eastAsia="MS Mincho" w:cs="Times New Roman"/>
          <w:lang w:eastAsia="en-US"/>
        </w:rPr>
        <w:t>,</w:t>
      </w:r>
      <w:r w:rsidRPr="00A36A5E">
        <w:rPr>
          <w:rFonts w:eastAsia="MS Mincho" w:cs="Times New Roman"/>
          <w:lang w:eastAsia="en-US"/>
        </w:rPr>
        <w:t xml:space="preserve"> see </w:t>
      </w:r>
      <w:hyperlink r:id="rId39" w:history="1">
        <w:r w:rsidR="00053AA9" w:rsidRPr="00053AA9">
          <w:rPr>
            <w:rStyle w:val="Hyperlink"/>
            <w:rFonts w:ascii="VIC" w:eastAsia="MS Mincho" w:hAnsi="VIC" w:cs="Times New Roman"/>
            <w:lang w:eastAsia="en-US"/>
          </w:rPr>
          <w:t>Methods for identifying hazards</w:t>
        </w:r>
      </w:hyperlink>
      <w:bookmarkStart w:id="58" w:name="_Hlk78816019"/>
      <w:r w:rsidRPr="00A36A5E">
        <w:rPr>
          <w:rFonts w:eastAsia="MS Mincho" w:cs="Times New Roman"/>
          <w:lang w:eastAsia="en-US"/>
        </w:rPr>
        <w:t xml:space="preserve"> </w:t>
      </w:r>
      <w:r w:rsidR="00C45184">
        <w:rPr>
          <w:rFonts w:eastAsia="MS Mincho" w:cs="Times New Roman"/>
          <w:lang w:eastAsia="en-US"/>
        </w:rPr>
        <w:t>(</w:t>
      </w:r>
      <w:r w:rsidRPr="00A36A5E">
        <w:rPr>
          <w:rFonts w:eastAsia="MS Mincho" w:cs="Times New Roman"/>
          <w:lang w:eastAsia="en-US"/>
        </w:rPr>
        <w:t>publication 1695</w:t>
      </w:r>
      <w:bookmarkEnd w:id="58"/>
      <w:r w:rsidR="00C45184">
        <w:rPr>
          <w:rFonts w:eastAsia="MS Mincho" w:cs="Times New Roman"/>
          <w:lang w:eastAsia="en-US"/>
        </w:rPr>
        <w:t>)</w:t>
      </w:r>
      <w:r w:rsidRPr="00A36A5E">
        <w:rPr>
          <w:rFonts w:eastAsia="MS Mincho" w:cs="Times New Roman"/>
          <w:lang w:eastAsia="en-US"/>
        </w:rPr>
        <w:t>.</w:t>
      </w:r>
    </w:p>
    <w:p w14:paraId="39B17380" w14:textId="7FA538D4" w:rsidR="00995542" w:rsidRPr="008B20F5" w:rsidRDefault="008B20F5" w:rsidP="001200DE">
      <w:pPr>
        <w:pStyle w:val="BodyText"/>
        <w:spacing w:before="118"/>
        <w:ind w:right="205"/>
        <w:rPr>
          <w:sz w:val="16"/>
          <w:szCs w:val="16"/>
        </w:rPr>
      </w:pPr>
      <w:r>
        <w:rPr>
          <w:rStyle w:val="FootnoteReference"/>
          <w:szCs w:val="18"/>
        </w:rPr>
        <w:t>6</w:t>
      </w:r>
      <w:r>
        <w:t xml:space="preserve"> </w:t>
      </w:r>
      <w:r w:rsidR="006802D7">
        <w:rPr>
          <w:sz w:val="16"/>
          <w:szCs w:val="16"/>
        </w:rPr>
        <w:t>Their</w:t>
      </w:r>
      <w:r w:rsidRPr="008B20F5">
        <w:rPr>
          <w:sz w:val="16"/>
          <w:szCs w:val="16"/>
        </w:rPr>
        <w:t xml:space="preserve"> stability and long life</w:t>
      </w:r>
      <w:r w:rsidR="006802D7">
        <w:rPr>
          <w:sz w:val="16"/>
          <w:szCs w:val="16"/>
        </w:rPr>
        <w:t xml:space="preserve"> mean that</w:t>
      </w:r>
      <w:r w:rsidRPr="008B20F5">
        <w:rPr>
          <w:sz w:val="16"/>
          <w:szCs w:val="16"/>
        </w:rPr>
        <w:t xml:space="preserve"> synthetic GHGs can remain in the atmosphere for a long time, increasing their contribution to climate change. The first synthetic GHGs developed, such as sulfur hexafluoride, are gradually being replaced by new synthetic GHGs with lower global warming potential, or gases that do not impact on greenhouse gas levels.</w:t>
      </w:r>
    </w:p>
    <w:p w14:paraId="74401433" w14:textId="77777777" w:rsidR="00DD0BD3" w:rsidRDefault="00DD0BD3" w:rsidP="00F04C1E">
      <w:pPr>
        <w:spacing w:before="120"/>
        <w:ind w:right="-227"/>
        <w:rPr>
          <w:rFonts w:eastAsia="MS Mincho" w:cs="Times New Roman"/>
          <w:lang w:eastAsia="en-US"/>
        </w:rPr>
        <w:sectPr w:rsidR="00DD0BD3" w:rsidSect="007742BF">
          <w:footnotePr>
            <w:numStart w:val="7"/>
          </w:footnotePr>
          <w:type w:val="continuous"/>
          <w:pgSz w:w="11900" w:h="16840"/>
          <w:pgMar w:top="1000" w:right="740" w:bottom="1934" w:left="987" w:header="283" w:footer="812" w:gutter="0"/>
          <w:cols w:space="720"/>
        </w:sectPr>
      </w:pPr>
      <w:bookmarkStart w:id="59" w:name="_Hlk113976077"/>
    </w:p>
    <w:bookmarkEnd w:id="59"/>
    <w:p w14:paraId="76978B0A" w14:textId="7E987A26" w:rsidR="0038639B" w:rsidRDefault="0038639B" w:rsidP="001200DE">
      <w:pPr>
        <w:pStyle w:val="BodyText"/>
        <w:spacing w:before="118"/>
        <w:ind w:right="205"/>
        <w:sectPr w:rsidR="0038639B" w:rsidSect="001942DA">
          <w:footnotePr>
            <w:numStart w:val="7"/>
          </w:footnotePr>
          <w:pgSz w:w="11900" w:h="16840"/>
          <w:pgMar w:top="1000" w:right="740" w:bottom="1934" w:left="987" w:header="283" w:footer="812" w:gutter="0"/>
          <w:cols w:space="720"/>
        </w:sectPr>
      </w:pPr>
    </w:p>
    <w:p w14:paraId="67C9DFC1" w14:textId="3489C1F2" w:rsidR="002509C1" w:rsidRPr="00433836" w:rsidRDefault="002509C1" w:rsidP="009940F2">
      <w:pPr>
        <w:pStyle w:val="Heading1"/>
        <w:numPr>
          <w:ilvl w:val="0"/>
          <w:numId w:val="4"/>
        </w:numPr>
        <w:rPr>
          <w:b/>
          <w:bCs/>
        </w:rPr>
      </w:pPr>
      <w:bookmarkStart w:id="60" w:name="_Toc85802318"/>
      <w:bookmarkStart w:id="61" w:name="_Toc87612579"/>
      <w:bookmarkStart w:id="62" w:name="_Toc112341026"/>
      <w:bookmarkStart w:id="63" w:name="_Toc114045797"/>
      <w:bookmarkStart w:id="64" w:name="_Toc114566203"/>
      <w:r w:rsidRPr="00433836">
        <w:rPr>
          <w:b/>
          <w:bCs/>
          <w:noProof/>
        </w:rPr>
        <w:drawing>
          <wp:anchor distT="0" distB="0" distL="114300" distR="114300" simplePos="0" relativeHeight="251658247" behindDoc="1" locked="0" layoutInCell="1" allowOverlap="1" wp14:anchorId="4699EDF8" wp14:editId="1A4B0A6E">
            <wp:simplePos x="0" y="0"/>
            <wp:positionH relativeFrom="margin">
              <wp:align>right</wp:align>
            </wp:positionH>
            <wp:positionV relativeFrom="paragraph">
              <wp:posOffset>0</wp:posOffset>
            </wp:positionV>
            <wp:extent cx="1335405" cy="1461770"/>
            <wp:effectExtent l="0" t="0" r="0" b="0"/>
            <wp:wrapSquare wrapText="bothSides"/>
            <wp:docPr id="17"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con&#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5405" cy="1461770"/>
                    </a:xfrm>
                    <a:prstGeom prst="rect">
                      <a:avLst/>
                    </a:prstGeom>
                    <a:noFill/>
                  </pic:spPr>
                </pic:pic>
              </a:graphicData>
            </a:graphic>
            <wp14:sizeRelH relativeFrom="page">
              <wp14:pctWidth>0</wp14:pctWidth>
            </wp14:sizeRelH>
            <wp14:sizeRelV relativeFrom="page">
              <wp14:pctHeight>0</wp14:pctHeight>
            </wp14:sizeRelV>
          </wp:anchor>
        </w:drawing>
      </w:r>
      <w:r w:rsidRPr="00433836">
        <w:rPr>
          <w:b/>
          <w:bCs/>
        </w:rPr>
        <w:t>Step 2 – Assessing risks of harm from GHG</w:t>
      </w:r>
      <w:r w:rsidRPr="00433836">
        <w:rPr>
          <w:rFonts w:ascii="Calibri" w:hAnsi="Calibri" w:cs="Calibri"/>
          <w:b/>
          <w:bCs/>
        </w:rPr>
        <w:t> </w:t>
      </w:r>
      <w:r w:rsidRPr="00433836">
        <w:rPr>
          <w:b/>
          <w:bCs/>
        </w:rPr>
        <w:t>emissions</w:t>
      </w:r>
      <w:bookmarkEnd w:id="60"/>
      <w:bookmarkEnd w:id="61"/>
      <w:bookmarkEnd w:id="62"/>
      <w:bookmarkEnd w:id="63"/>
      <w:bookmarkEnd w:id="64"/>
    </w:p>
    <w:p w14:paraId="0E1040AE" w14:textId="77777777" w:rsidR="00331569" w:rsidRDefault="00331569" w:rsidP="00331569">
      <w:r>
        <w:t xml:space="preserve">GHG emissions contribute to risks of harm to human health and the environment as they contribute to an increase in climate change risks. The greater the emissions, the greater the contribution. </w:t>
      </w:r>
    </w:p>
    <w:p w14:paraId="208DFDB3" w14:textId="6E558330" w:rsidR="00331569" w:rsidRDefault="00331569" w:rsidP="00331569">
      <w:r>
        <w:t>Therefore, eliminating or reducing GHG emissions to the extent reasonably practicable will minimise the risks of harm from a person</w:t>
      </w:r>
      <w:r w:rsidR="004D4C00">
        <w:t>’</w:t>
      </w:r>
      <w:r>
        <w:t xml:space="preserve">s activities. </w:t>
      </w:r>
    </w:p>
    <w:p w14:paraId="024A6F22" w14:textId="77777777" w:rsidR="00331569" w:rsidRDefault="00331569" w:rsidP="00331569">
      <w:r>
        <w:t xml:space="preserve">Quantifying GHG emissions from your activities will inform your assessment of the risks of harm associated with these activities. </w:t>
      </w:r>
    </w:p>
    <w:p w14:paraId="7C961A2E" w14:textId="77777777" w:rsidR="00331569" w:rsidRDefault="00331569" w:rsidP="00331569">
      <w:r w:rsidRPr="0035721A">
        <w:t xml:space="preserve">For </w:t>
      </w:r>
      <w:r w:rsidRPr="00F27BD4">
        <w:t>business</w:t>
      </w:r>
      <w:r w:rsidRPr="0035721A">
        <w:t>es</w:t>
      </w:r>
      <w:r w:rsidRPr="00F27BD4">
        <w:t xml:space="preserve"> in low-risk situation</w:t>
      </w:r>
      <w:r w:rsidRPr="0035721A">
        <w:t>s</w:t>
      </w:r>
      <w:r w:rsidRPr="00F27BD4">
        <w:t xml:space="preserve"> (for example, a small takeaway shop at a food court, or a sole trader operating as a commercial cleaner) </w:t>
      </w:r>
      <w:r w:rsidRPr="0035721A">
        <w:t xml:space="preserve">EPA does not expect you to quantify your GHG emissions. It is not considered reasonably practicable given the lower degree of harm that may result and the level of knowledge that is reasonably expected of these businesses. These businesses </w:t>
      </w:r>
      <w:r w:rsidRPr="00F27BD4">
        <w:t xml:space="preserve">can go directly to (Chapter 5, Step 3) Eliminating and reducing identified GHG emissions, without calculating </w:t>
      </w:r>
      <w:r w:rsidRPr="0035721A">
        <w:t>their</w:t>
      </w:r>
      <w:r w:rsidRPr="00F27BD4">
        <w:t xml:space="preserve"> emissions. </w:t>
      </w:r>
    </w:p>
    <w:p w14:paraId="257744B6" w14:textId="77777777" w:rsidR="00331569" w:rsidRDefault="00331569" w:rsidP="00331569">
      <w:pPr>
        <w:rPr>
          <w:bCs/>
        </w:rPr>
      </w:pPr>
      <w:r>
        <w:rPr>
          <w:bCs/>
        </w:rPr>
        <w:t xml:space="preserve">In general, EPA does not require GHG emission data for non-permissioned activities to be submitted. However, EPA has </w:t>
      </w:r>
      <w:r>
        <w:t xml:space="preserve">different information requirements for applicants and holders of EPA permissions (for example a licence or permit). EPA </w:t>
      </w:r>
      <w:r>
        <w:rPr>
          <w:bCs/>
        </w:rPr>
        <w:t xml:space="preserve">may also request information as part of assessing applications or determining compliance. </w:t>
      </w:r>
    </w:p>
    <w:p w14:paraId="6B93B72E" w14:textId="0BEF871C" w:rsidR="00331569" w:rsidRDefault="00331569" w:rsidP="00331569">
      <w:pPr>
        <w:rPr>
          <w:bCs/>
        </w:rPr>
      </w:pPr>
      <w:r>
        <w:rPr>
          <w:bCs/>
        </w:rPr>
        <w:t xml:space="preserve">EPA’s </w:t>
      </w:r>
      <w:hyperlink r:id="rId41" w:history="1">
        <w:r>
          <w:rPr>
            <w:rStyle w:val="Hyperlink"/>
            <w:bCs/>
          </w:rPr>
          <w:t>Development Licence Application Guidance</w:t>
        </w:r>
      </w:hyperlink>
      <w:r>
        <w:rPr>
          <w:bCs/>
        </w:rPr>
        <w:t xml:space="preserve"> (</w:t>
      </w:r>
      <w:r w:rsidR="00F95F3E">
        <w:rPr>
          <w:bCs/>
        </w:rPr>
        <w:t>p</w:t>
      </w:r>
      <w:r>
        <w:rPr>
          <w:bCs/>
        </w:rPr>
        <w:t>ublication 2011) provides more detail about the information EPA may require or request from permission applicants.</w:t>
      </w:r>
    </w:p>
    <w:p w14:paraId="1CE76157" w14:textId="79D64A13" w:rsidR="00331569" w:rsidRPr="0007129C" w:rsidRDefault="00847534" w:rsidP="001D2D2C">
      <w:pPr>
        <w:pStyle w:val="Heading2"/>
      </w:pPr>
      <w:bookmarkStart w:id="65" w:name="_Toc82424084"/>
      <w:bookmarkStart w:id="66" w:name="_Toc85794543"/>
      <w:bookmarkStart w:id="67" w:name="_Toc85798785"/>
      <w:bookmarkStart w:id="68" w:name="_Toc85802319"/>
      <w:bookmarkStart w:id="69" w:name="_Toc85802413"/>
      <w:bookmarkStart w:id="70" w:name="_Toc85802790"/>
      <w:bookmarkStart w:id="71" w:name="_Toc85802970"/>
      <w:bookmarkStart w:id="72" w:name="_Toc85802320"/>
      <w:bookmarkStart w:id="73" w:name="_Toc87612580"/>
      <w:bookmarkStart w:id="74" w:name="_Toc112341027"/>
      <w:bookmarkStart w:id="75" w:name="_Toc114045798"/>
      <w:bookmarkStart w:id="76" w:name="_Toc114566204"/>
      <w:bookmarkEnd w:id="65"/>
      <w:bookmarkEnd w:id="66"/>
      <w:bookmarkEnd w:id="67"/>
      <w:bookmarkEnd w:id="68"/>
      <w:bookmarkEnd w:id="69"/>
      <w:bookmarkEnd w:id="70"/>
      <w:bookmarkEnd w:id="71"/>
      <w:r>
        <w:t>4.1</w:t>
      </w:r>
      <w:r>
        <w:tab/>
      </w:r>
      <w:r w:rsidR="00331569">
        <w:t>Calculating GHG emissions</w:t>
      </w:r>
      <w:bookmarkEnd w:id="72"/>
      <w:bookmarkEnd w:id="73"/>
      <w:bookmarkEnd w:id="74"/>
      <w:bookmarkEnd w:id="75"/>
      <w:bookmarkEnd w:id="76"/>
    </w:p>
    <w:p w14:paraId="46262D14" w14:textId="23FAF99C" w:rsidR="00091F61" w:rsidRDefault="00331569" w:rsidP="00EA28A0">
      <w:pPr>
        <w:sectPr w:rsidR="00091F61" w:rsidSect="00091F61">
          <w:type w:val="continuous"/>
          <w:pgSz w:w="11900" w:h="16840"/>
          <w:pgMar w:top="1000" w:right="740" w:bottom="1934" w:left="987" w:header="283" w:footer="812" w:gutter="0"/>
          <w:cols w:space="720"/>
        </w:sectPr>
      </w:pPr>
      <w:r>
        <w:t>In some cases, you may be able to rely on reputable GHG accounting tools to calculate your emissions. For example, Agriculture Victoria provides an up-to-date list of tools for the agriculture secto</w:t>
      </w:r>
      <w:r w:rsidR="00761410">
        <w:t>r</w:t>
      </w:r>
      <w:r w:rsidR="00510B9A">
        <w:rPr>
          <w:rStyle w:val="FootnoteReference"/>
        </w:rPr>
        <w:t xml:space="preserve"> </w:t>
      </w:r>
      <w:r w:rsidR="00510B9A">
        <w:t>(See Chapter 9)</w:t>
      </w:r>
      <w:r w:rsidR="0004015E">
        <w:t>.</w:t>
      </w:r>
    </w:p>
    <w:p w14:paraId="2A243944" w14:textId="77777777" w:rsidR="00331569" w:rsidRDefault="00331569" w:rsidP="00EA28A0">
      <w:r>
        <w:t>If you are a larger business and/or have large energy use, you should quantify your GHG emissions.</w:t>
      </w:r>
    </w:p>
    <w:p w14:paraId="49C7BFE6" w14:textId="77777777" w:rsidR="00660626" w:rsidRDefault="00331569" w:rsidP="00331569">
      <w:r>
        <w:t xml:space="preserve">Rather than direct measurement of GHG emissions, the most common approach to calculate </w:t>
      </w:r>
      <w:r w:rsidR="007D792C">
        <w:t>Scope 1</w:t>
      </w:r>
      <w:r>
        <w:t xml:space="preserve">, </w:t>
      </w:r>
      <w:r w:rsidR="007D792C">
        <w:t xml:space="preserve">Scope </w:t>
      </w:r>
      <w:proofErr w:type="gramStart"/>
      <w:r w:rsidR="007D792C">
        <w:t>2</w:t>
      </w:r>
      <w:proofErr w:type="gramEnd"/>
      <w:r>
        <w:t xml:space="preserve"> and </w:t>
      </w:r>
      <w:r w:rsidR="007D792C">
        <w:t>Scope 3</w:t>
      </w:r>
      <w:r>
        <w:t xml:space="preserve"> GHG emissions is to use emission factors and relate them to activity data for each </w:t>
      </w:r>
      <w:r w:rsidR="00627FB3">
        <w:t>s</w:t>
      </w:r>
      <w:r>
        <w:t xml:space="preserve">ource. </w:t>
      </w:r>
    </w:p>
    <w:p w14:paraId="379F1EE5" w14:textId="011CD298" w:rsidR="00331569" w:rsidRDefault="009152C3" w:rsidP="00331569">
      <w:r>
        <w:rPr>
          <w:noProof/>
        </w:rPr>
        <w:lastRenderedPageBreak/>
        <mc:AlternateContent>
          <mc:Choice Requires="wps">
            <w:drawing>
              <wp:anchor distT="45720" distB="45720" distL="114300" distR="114300" simplePos="0" relativeHeight="251658248" behindDoc="0" locked="0" layoutInCell="1" allowOverlap="1" wp14:anchorId="2343D283" wp14:editId="048157BC">
                <wp:simplePos x="0" y="0"/>
                <wp:positionH relativeFrom="column">
                  <wp:posOffset>19050</wp:posOffset>
                </wp:positionH>
                <wp:positionV relativeFrom="paragraph">
                  <wp:posOffset>474345</wp:posOffset>
                </wp:positionV>
                <wp:extent cx="6229350" cy="1877060"/>
                <wp:effectExtent l="0" t="0" r="19050" b="22225"/>
                <wp:wrapSquare wrapText="bothSides"/>
                <wp:docPr id="18" name="Text Box 2" descr="The text box describes the mathematical relationship to calculate greenhouse gas emissions by multiplying activity data with an emissions fac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877060"/>
                        </a:xfrm>
                        <a:prstGeom prst="rect">
                          <a:avLst/>
                        </a:prstGeom>
                        <a:solidFill>
                          <a:srgbClr val="FFFFFF"/>
                        </a:solidFill>
                        <a:ln w="9525">
                          <a:solidFill>
                            <a:srgbClr val="000000"/>
                          </a:solidFill>
                          <a:miter lim="800000"/>
                          <a:headEnd/>
                          <a:tailEnd/>
                        </a:ln>
                      </wps:spPr>
                      <wps:txbx>
                        <w:txbxContent>
                          <w:p w14:paraId="241974BE" w14:textId="246E5CC2" w:rsidR="009152C3" w:rsidRPr="00E44863" w:rsidRDefault="009152C3" w:rsidP="00E44863">
                            <w:pPr>
                              <w:pStyle w:val="PulloutText"/>
                              <w:rPr>
                                <w:rFonts w:ascii="VIC" w:hAnsi="VIC"/>
                                <w:b/>
                                <w:bCs/>
                                <w:color w:val="005FB4"/>
                                <w:sz w:val="20"/>
                                <w:szCs w:val="20"/>
                              </w:rPr>
                            </w:pPr>
                            <w:r w:rsidRPr="00E44863">
                              <w:rPr>
                                <w:rFonts w:ascii="VIC" w:hAnsi="VIC"/>
                                <w:b/>
                                <w:bCs/>
                                <w:color w:val="005FB4"/>
                                <w:sz w:val="20"/>
                                <w:szCs w:val="20"/>
                              </w:rPr>
                              <w:t>Emissions (CO</w:t>
                            </w:r>
                            <w:r w:rsidRPr="00E44863">
                              <w:rPr>
                                <w:rFonts w:ascii="VIC" w:hAnsi="VIC"/>
                                <w:b/>
                                <w:bCs/>
                                <w:color w:val="005FB4"/>
                                <w:sz w:val="20"/>
                                <w:szCs w:val="20"/>
                                <w:vertAlign w:val="subscript"/>
                              </w:rPr>
                              <w:t>2</w:t>
                            </w:r>
                            <w:r w:rsidRPr="00E44863">
                              <w:rPr>
                                <w:rFonts w:ascii="VIC" w:hAnsi="VIC"/>
                                <w:b/>
                                <w:bCs/>
                                <w:color w:val="005FB4"/>
                                <w:sz w:val="20"/>
                                <w:szCs w:val="20"/>
                              </w:rPr>
                              <w:t>-e) = Activity data x Emissions factor</w:t>
                            </w:r>
                          </w:p>
                          <w:p w14:paraId="7FA050DF" w14:textId="77777777" w:rsidR="009152C3" w:rsidRPr="00E44863" w:rsidRDefault="009152C3" w:rsidP="00E44863">
                            <w:pPr>
                              <w:pStyle w:val="TableText"/>
                              <w:rPr>
                                <w:rFonts w:ascii="VIC" w:hAnsi="VIC"/>
                                <w:sz w:val="20"/>
                                <w:szCs w:val="20"/>
                              </w:rPr>
                            </w:pPr>
                            <w:r w:rsidRPr="00E44863">
                              <w:rPr>
                                <w:rFonts w:ascii="VIC" w:hAnsi="VIC"/>
                                <w:b/>
                                <w:bCs/>
                                <w:sz w:val="20"/>
                                <w:szCs w:val="20"/>
                              </w:rPr>
                              <w:t>Activity data</w:t>
                            </w:r>
                            <w:r w:rsidRPr="00E44863">
                              <w:rPr>
                                <w:rFonts w:ascii="VIC" w:hAnsi="VIC"/>
                                <w:sz w:val="20"/>
                                <w:szCs w:val="20"/>
                              </w:rPr>
                              <w:t xml:space="preserve"> – is a key input into the calculation of GHG emissions. It refers to quantitative data associated with the activity that generated the GHG emissions. For example, activity data for emissions from purchased electricity may refer to electricity consumption amounts over </w:t>
                            </w:r>
                            <w:proofErr w:type="gramStart"/>
                            <w:r w:rsidRPr="00E44863">
                              <w:rPr>
                                <w:rFonts w:ascii="VIC" w:hAnsi="VIC"/>
                                <w:sz w:val="20"/>
                                <w:szCs w:val="20"/>
                              </w:rPr>
                              <w:t>a period of time</w:t>
                            </w:r>
                            <w:proofErr w:type="gramEnd"/>
                            <w:r w:rsidRPr="00E44863">
                              <w:rPr>
                                <w:rFonts w:ascii="VIC" w:hAnsi="VIC"/>
                                <w:sz w:val="20"/>
                                <w:szCs w:val="20"/>
                              </w:rPr>
                              <w:t xml:space="preserve"> stated on supplier invoices (typically in kWh).</w:t>
                            </w:r>
                          </w:p>
                          <w:p w14:paraId="444B6F86" w14:textId="649BB4BF" w:rsidR="009152C3" w:rsidRPr="00E44863" w:rsidRDefault="009152C3" w:rsidP="00E44863">
                            <w:pPr>
                              <w:pStyle w:val="TableText"/>
                              <w:rPr>
                                <w:rFonts w:ascii="VIC" w:hAnsi="VIC"/>
                                <w:sz w:val="20"/>
                                <w:szCs w:val="20"/>
                              </w:rPr>
                            </w:pPr>
                            <w:r w:rsidRPr="00E44863">
                              <w:rPr>
                                <w:rFonts w:ascii="VIC" w:hAnsi="VIC"/>
                                <w:b/>
                                <w:bCs/>
                                <w:sz w:val="20"/>
                                <w:szCs w:val="20"/>
                              </w:rPr>
                              <w:t>Emissions factor</w:t>
                            </w:r>
                            <w:r w:rsidRPr="00E44863">
                              <w:rPr>
                                <w:rFonts w:ascii="VIC" w:hAnsi="VIC"/>
                                <w:sz w:val="20"/>
                                <w:szCs w:val="20"/>
                              </w:rPr>
                              <w:t xml:space="preserve"> – is an estimated value for determining an amount of a GHG emitted for a given activity. It is used by multiplying with the activity data to calculate GHG emissions as a quantity of emissions that is consistent year-on-year and comparable with other organisations</w:t>
                            </w:r>
                            <w:r w:rsidR="0003710E">
                              <w:rPr>
                                <w:rFonts w:ascii="VIC" w:hAnsi="VIC"/>
                                <w:sz w:val="20"/>
                                <w:szCs w:val="20"/>
                              </w:rPr>
                              <w:t>.</w:t>
                            </w:r>
                          </w:p>
                          <w:p w14:paraId="2F95047D" w14:textId="64301A50" w:rsidR="009152C3" w:rsidRDefault="00915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D283" id="_x0000_s1028" type="#_x0000_t202" alt="The text box describes the mathematical relationship to calculate greenhouse gas emissions by multiplying activity data with an emissions factor." style="position:absolute;margin-left:1.5pt;margin-top:37.35pt;width:490.5pt;height:147.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">
                <v:textbox>
                  <w:txbxContent>
                    <w:p w14:paraId="241974BE" w14:textId="246E5CC2" w:rsidR="009152C3" w:rsidRPr="00E44863" w:rsidRDefault="009152C3" w:rsidP="00E44863">
                      <w:pPr>
                        <w:pStyle w:val="PulloutText"/>
                        <w:rPr>
                          <w:rFonts w:ascii="VIC" w:hAnsi="VIC"/>
                          <w:b/>
                          <w:bCs/>
                          <w:color w:val="005FB4"/>
                          <w:sz w:val="20"/>
                          <w:szCs w:val="20"/>
                        </w:rPr>
                      </w:pPr>
                      <w:r w:rsidRPr="00E44863">
                        <w:rPr>
                          <w:rFonts w:ascii="VIC" w:hAnsi="VIC"/>
                          <w:b/>
                          <w:bCs/>
                          <w:color w:val="005FB4"/>
                          <w:sz w:val="20"/>
                          <w:szCs w:val="20"/>
                        </w:rPr>
                        <w:t>Emissions (CO</w:t>
                      </w:r>
                      <w:r w:rsidRPr="00E44863">
                        <w:rPr>
                          <w:rFonts w:ascii="VIC" w:hAnsi="VIC"/>
                          <w:b/>
                          <w:bCs/>
                          <w:color w:val="005FB4"/>
                          <w:sz w:val="20"/>
                          <w:szCs w:val="20"/>
                          <w:vertAlign w:val="subscript"/>
                        </w:rPr>
                        <w:t>2</w:t>
                      </w:r>
                      <w:r w:rsidRPr="00E44863">
                        <w:rPr>
                          <w:rFonts w:ascii="VIC" w:hAnsi="VIC"/>
                          <w:b/>
                          <w:bCs/>
                          <w:color w:val="005FB4"/>
                          <w:sz w:val="20"/>
                          <w:szCs w:val="20"/>
                        </w:rPr>
                        <w:t>-e) = Activity data x Emissions factor</w:t>
                      </w:r>
                    </w:p>
                    <w:p w14:paraId="7FA050DF" w14:textId="77777777" w:rsidR="009152C3" w:rsidRPr="00E44863" w:rsidRDefault="009152C3" w:rsidP="00E44863">
                      <w:pPr>
                        <w:pStyle w:val="TableText"/>
                        <w:rPr>
                          <w:rFonts w:ascii="VIC" w:hAnsi="VIC"/>
                          <w:sz w:val="20"/>
                          <w:szCs w:val="20"/>
                        </w:rPr>
                      </w:pPr>
                      <w:r w:rsidRPr="00E44863">
                        <w:rPr>
                          <w:rFonts w:ascii="VIC" w:hAnsi="VIC"/>
                          <w:b/>
                          <w:bCs/>
                          <w:sz w:val="20"/>
                          <w:szCs w:val="20"/>
                        </w:rPr>
                        <w:t>Activity data</w:t>
                      </w:r>
                      <w:r w:rsidRPr="00E44863">
                        <w:rPr>
                          <w:rFonts w:ascii="VIC" w:hAnsi="VIC"/>
                          <w:sz w:val="20"/>
                          <w:szCs w:val="20"/>
                        </w:rPr>
                        <w:t xml:space="preserve"> – is a key input into the calculation of GHG emissions. It refers to quantitative data associated with the activity that generated the GHG emissions. For example, activity data for emissions from purchased electricity may refer to electricity consumption amounts over </w:t>
                      </w:r>
                      <w:proofErr w:type="gramStart"/>
                      <w:r w:rsidRPr="00E44863">
                        <w:rPr>
                          <w:rFonts w:ascii="VIC" w:hAnsi="VIC"/>
                          <w:sz w:val="20"/>
                          <w:szCs w:val="20"/>
                        </w:rPr>
                        <w:t>a period of time</w:t>
                      </w:r>
                      <w:proofErr w:type="gramEnd"/>
                      <w:r w:rsidRPr="00E44863">
                        <w:rPr>
                          <w:rFonts w:ascii="VIC" w:hAnsi="VIC"/>
                          <w:sz w:val="20"/>
                          <w:szCs w:val="20"/>
                        </w:rPr>
                        <w:t xml:space="preserve"> stated on supplier invoices (typically in kWh).</w:t>
                      </w:r>
                    </w:p>
                    <w:p w14:paraId="444B6F86" w14:textId="649BB4BF" w:rsidR="009152C3" w:rsidRPr="00E44863" w:rsidRDefault="009152C3" w:rsidP="00E44863">
                      <w:pPr>
                        <w:pStyle w:val="TableText"/>
                        <w:rPr>
                          <w:rFonts w:ascii="VIC" w:hAnsi="VIC"/>
                          <w:sz w:val="20"/>
                          <w:szCs w:val="20"/>
                        </w:rPr>
                      </w:pPr>
                      <w:r w:rsidRPr="00E44863">
                        <w:rPr>
                          <w:rFonts w:ascii="VIC" w:hAnsi="VIC"/>
                          <w:b/>
                          <w:bCs/>
                          <w:sz w:val="20"/>
                          <w:szCs w:val="20"/>
                        </w:rPr>
                        <w:t>Emissions factor</w:t>
                      </w:r>
                      <w:r w:rsidRPr="00E44863">
                        <w:rPr>
                          <w:rFonts w:ascii="VIC" w:hAnsi="VIC"/>
                          <w:sz w:val="20"/>
                          <w:szCs w:val="20"/>
                        </w:rPr>
                        <w:t xml:space="preserve"> – is an estimated value for determining an amount of a GHG emitted for a given activity. It is used by multiplying with the activity data to calculate GHG emissions as a quantity of emissions that is consistent year-on-year and comparable with other organisations</w:t>
                      </w:r>
                      <w:r w:rsidR="0003710E">
                        <w:rPr>
                          <w:rFonts w:ascii="VIC" w:hAnsi="VIC"/>
                          <w:sz w:val="20"/>
                          <w:szCs w:val="20"/>
                        </w:rPr>
                        <w:t>.</w:t>
                      </w:r>
                    </w:p>
                    <w:p w14:paraId="2F95047D" w14:textId="64301A50" w:rsidR="009152C3" w:rsidRDefault="009152C3"/>
                  </w:txbxContent>
                </v:textbox>
                <w10:wrap type="square"/>
              </v:shape>
            </w:pict>
          </mc:Fallback>
        </mc:AlternateContent>
      </w:r>
      <w:r w:rsidR="00331569">
        <w:t>GHG emissions are usually expressed as carbon dioxide equivalent (CO</w:t>
      </w:r>
      <w:r w:rsidR="00331569">
        <w:rPr>
          <w:vertAlign w:val="subscript"/>
        </w:rPr>
        <w:t>2</w:t>
      </w:r>
      <w:r w:rsidR="00331569">
        <w:t>-e). The GHG emissions from each source can be calculated using the formula below.</w:t>
      </w:r>
    </w:p>
    <w:p w14:paraId="3C9BB73C" w14:textId="1DCF792D" w:rsidR="0009059C" w:rsidRDefault="0009059C" w:rsidP="00635345">
      <w:r>
        <w:t xml:space="preserve">You should list and quantify each of your emission sources (this is sometimes referred to as a GHG emissions inventory). Your GHG emissions inventory should document the standard used to calculate your inventory. </w:t>
      </w:r>
    </w:p>
    <w:p w14:paraId="3CD153C3" w14:textId="77777777" w:rsidR="0009059C" w:rsidRDefault="0009059C" w:rsidP="00635345">
      <w:r>
        <w:t>Individual emissions can be added to provide total emissions – which is often presented in units of tonnes of carbon dioxide equivalent (tCO</w:t>
      </w:r>
      <w:r>
        <w:rPr>
          <w:vertAlign w:val="subscript"/>
        </w:rPr>
        <w:t>2</w:t>
      </w:r>
      <w:r>
        <w:t>e).</w:t>
      </w:r>
    </w:p>
    <w:p w14:paraId="458726F2" w14:textId="77777777" w:rsidR="0009059C" w:rsidRDefault="0009059C" w:rsidP="00635345">
      <w:r>
        <w:t xml:space="preserve">You may choose to prepare your emissions inventory yourself or obtain assistance from a suitably experienced person such as a consultant. </w:t>
      </w:r>
      <w:hyperlink r:id="rId42" w:history="1">
        <w:r>
          <w:rPr>
            <w:rStyle w:val="Hyperlink"/>
          </w:rPr>
          <w:t>EPA’s Fact Sheet 1702: Engaging consultants</w:t>
        </w:r>
      </w:hyperlink>
      <w:r>
        <w:t xml:space="preserve"> provides advice on choosing and engaging consultants.</w:t>
      </w:r>
    </w:p>
    <w:p w14:paraId="6CEDFA36" w14:textId="72C47CA6" w:rsidR="0009059C" w:rsidRDefault="00635345" w:rsidP="0007129C">
      <w:pPr>
        <w:pStyle w:val="Heading2"/>
      </w:pPr>
      <w:bookmarkStart w:id="77" w:name="_Toc85802321"/>
      <w:bookmarkStart w:id="78" w:name="_Toc87612581"/>
      <w:bookmarkStart w:id="79" w:name="_Toc114045799"/>
      <w:bookmarkStart w:id="80" w:name="_Toc114046108"/>
      <w:bookmarkStart w:id="81" w:name="_Toc114566205"/>
      <w:r>
        <w:t>4.1.1</w:t>
      </w:r>
      <w:r>
        <w:tab/>
      </w:r>
      <w:r w:rsidR="0009059C">
        <w:t>Activity data</w:t>
      </w:r>
      <w:bookmarkEnd w:id="77"/>
      <w:bookmarkEnd w:id="78"/>
      <w:bookmarkEnd w:id="79"/>
      <w:bookmarkEnd w:id="80"/>
      <w:bookmarkEnd w:id="81"/>
    </w:p>
    <w:p w14:paraId="00A4E3D4" w14:textId="77777777" w:rsidR="0009059C" w:rsidRDefault="0009059C" w:rsidP="00635345">
      <w:r>
        <w:t xml:space="preserve">Using data from reliable sources, such as bills, will provide the most accurate picture of your GHG emissions. </w:t>
      </w:r>
    </w:p>
    <w:p w14:paraId="50C4F962" w14:textId="44CD680B" w:rsidR="0009059C" w:rsidRDefault="0009059C" w:rsidP="00635345">
      <w:r>
        <w:rPr>
          <w:rFonts w:eastAsia="Calibri"/>
        </w:rPr>
        <w:t xml:space="preserve">Most electricity bills will already have calculated your GHG emissions for you. Using this information will help you track your GHG emissions from electricity use over time. </w:t>
      </w:r>
      <w:r>
        <w:t xml:space="preserve">Sustainability Victoria has information on how to </w:t>
      </w:r>
      <w:hyperlink r:id="rId43" w:history="1">
        <w:r>
          <w:rPr>
            <w:rStyle w:val="Hyperlink"/>
          </w:rPr>
          <w:t>understand your electricity and gas bills</w:t>
        </w:r>
      </w:hyperlink>
      <w:r>
        <w:t xml:space="preserve">. You should also be able to get some activity data for GHG emissions from your gas bills and information on fuel used in company-owned vehicles using fuel invoices/receipts and vehicle mileage in logbooks or odometers. In many cases, this activity data gives you enough information to calculate common </w:t>
      </w:r>
      <w:r w:rsidR="007D792C">
        <w:t>Scope 1</w:t>
      </w:r>
      <w:r>
        <w:t xml:space="preserve"> and </w:t>
      </w:r>
      <w:r w:rsidR="007D792C">
        <w:t>Scope 2</w:t>
      </w:r>
      <w:r>
        <w:t xml:space="preserve"> GHG emissions. </w:t>
      </w:r>
    </w:p>
    <w:p w14:paraId="2F9FF560" w14:textId="77777777" w:rsidR="0009059C" w:rsidRDefault="0009059C" w:rsidP="00635345">
      <w:pPr>
        <w:rPr>
          <w:rFonts w:eastAsia="Calibri"/>
        </w:rPr>
      </w:pPr>
      <w:r>
        <w:t>You should prioritise getting reliable data for your substantive GHG emissions sources. However, if it is difficult to get activity data, you can use reasonable estimates, and document them.</w:t>
      </w:r>
    </w:p>
    <w:p w14:paraId="269541D6" w14:textId="5F81A07B" w:rsidR="0009059C" w:rsidRDefault="00635345" w:rsidP="0007129C">
      <w:pPr>
        <w:pStyle w:val="Heading2"/>
      </w:pPr>
      <w:bookmarkStart w:id="82" w:name="_Toc85802322"/>
      <w:bookmarkStart w:id="83" w:name="_Toc87612582"/>
      <w:bookmarkStart w:id="84" w:name="_Toc114045800"/>
      <w:bookmarkStart w:id="85" w:name="_Toc114046109"/>
      <w:bookmarkStart w:id="86" w:name="_Toc114566206"/>
      <w:r>
        <w:t>4.1.2</w:t>
      </w:r>
      <w:r>
        <w:tab/>
      </w:r>
      <w:r w:rsidR="0009059C">
        <w:t>Emission factors</w:t>
      </w:r>
      <w:bookmarkEnd w:id="82"/>
      <w:bookmarkEnd w:id="83"/>
      <w:bookmarkEnd w:id="84"/>
      <w:bookmarkEnd w:id="85"/>
      <w:bookmarkEnd w:id="86"/>
    </w:p>
    <w:p w14:paraId="470B800A" w14:textId="77777777" w:rsidR="0009059C" w:rsidRDefault="0009059C" w:rsidP="00635345">
      <w:r>
        <w:t>You should use well-known emission factors from reputable sources to ensure the credibility of your GHG emission quantification.</w:t>
      </w:r>
    </w:p>
    <w:p w14:paraId="1F3BDC8C" w14:textId="77777777" w:rsidR="0009059C" w:rsidRDefault="0009059C" w:rsidP="00635345">
      <w:r>
        <w:t xml:space="preserve">The Australian Government’s </w:t>
      </w:r>
      <w:hyperlink r:id="rId44" w:history="1">
        <w:r>
          <w:rPr>
            <w:rStyle w:val="Hyperlink"/>
          </w:rPr>
          <w:t>National Greenhouse Accounts (NGA) Factors</w:t>
        </w:r>
      </w:hyperlink>
      <w:r>
        <w:t xml:space="preserve"> is published annually and provides emission factors to help companies and individuals to estimate their GHG emissions. It ensures consistency between inventories at the company and facility level. </w:t>
      </w:r>
    </w:p>
    <w:p w14:paraId="5688A353" w14:textId="77777777" w:rsidR="0009059C" w:rsidRDefault="0009059C" w:rsidP="00635345">
      <w:r>
        <w:t>Other sources of emission factors include:</w:t>
      </w:r>
    </w:p>
    <w:p w14:paraId="52EE9765" w14:textId="6A2404B8" w:rsidR="0009059C" w:rsidRPr="00654B60" w:rsidRDefault="0060360D" w:rsidP="009940F2">
      <w:pPr>
        <w:pStyle w:val="ListBullet0"/>
        <w:rPr>
          <w:rFonts w:ascii="VIC" w:hAnsi="VIC"/>
          <w:sz w:val="20"/>
          <w:szCs w:val="20"/>
        </w:rPr>
      </w:pPr>
      <w:r>
        <w:rPr>
          <w:rFonts w:ascii="VIC" w:hAnsi="VIC"/>
          <w:sz w:val="20"/>
          <w:szCs w:val="20"/>
        </w:rPr>
        <w:t>s</w:t>
      </w:r>
      <w:r w:rsidR="0009059C" w:rsidRPr="00654B60">
        <w:rPr>
          <w:rFonts w:ascii="VIC" w:hAnsi="VIC"/>
          <w:sz w:val="20"/>
          <w:szCs w:val="20"/>
        </w:rPr>
        <w:t>ource or facility</w:t>
      </w:r>
      <w:r>
        <w:rPr>
          <w:rFonts w:ascii="VIC" w:hAnsi="VIC"/>
          <w:sz w:val="20"/>
          <w:szCs w:val="20"/>
        </w:rPr>
        <w:t>-</w:t>
      </w:r>
      <w:r w:rsidR="0009059C" w:rsidRPr="00654B60">
        <w:rPr>
          <w:rFonts w:ascii="VIC" w:hAnsi="VIC"/>
          <w:sz w:val="20"/>
          <w:szCs w:val="20"/>
        </w:rPr>
        <w:t xml:space="preserve">specific emission factors </w:t>
      </w:r>
    </w:p>
    <w:p w14:paraId="2632DB47" w14:textId="77777777" w:rsidR="0009059C" w:rsidRPr="00654B60" w:rsidRDefault="0009059C" w:rsidP="009940F2">
      <w:pPr>
        <w:pStyle w:val="ListBullet0"/>
        <w:rPr>
          <w:rFonts w:ascii="VIC" w:hAnsi="VIC"/>
          <w:sz w:val="20"/>
          <w:szCs w:val="20"/>
        </w:rPr>
      </w:pPr>
      <w:r w:rsidRPr="00654B60">
        <w:rPr>
          <w:rFonts w:ascii="VIC" w:hAnsi="VIC"/>
          <w:sz w:val="20"/>
          <w:szCs w:val="20"/>
        </w:rPr>
        <w:t>governmental publications in Australia</w:t>
      </w:r>
    </w:p>
    <w:p w14:paraId="0813079E" w14:textId="77777777" w:rsidR="0009059C" w:rsidRPr="00654B60" w:rsidRDefault="0009059C" w:rsidP="009940F2">
      <w:pPr>
        <w:pStyle w:val="ListBullet0"/>
        <w:rPr>
          <w:rFonts w:ascii="VIC" w:hAnsi="VIC"/>
          <w:sz w:val="20"/>
          <w:szCs w:val="20"/>
        </w:rPr>
      </w:pPr>
      <w:r w:rsidRPr="00654B60">
        <w:rPr>
          <w:rFonts w:ascii="VIC" w:hAnsi="VIC"/>
          <w:sz w:val="20"/>
          <w:szCs w:val="20"/>
        </w:rPr>
        <w:t>scientific sources in Australia</w:t>
      </w:r>
    </w:p>
    <w:p w14:paraId="5D17DD30" w14:textId="77777777" w:rsidR="0009059C" w:rsidRPr="00654B60" w:rsidRDefault="0009059C" w:rsidP="009940F2">
      <w:pPr>
        <w:pStyle w:val="ListBullet0"/>
        <w:rPr>
          <w:rFonts w:ascii="VIC" w:hAnsi="VIC"/>
          <w:sz w:val="20"/>
          <w:szCs w:val="20"/>
        </w:rPr>
      </w:pPr>
      <w:r w:rsidRPr="00654B60">
        <w:rPr>
          <w:rFonts w:ascii="VIC" w:hAnsi="VIC"/>
          <w:sz w:val="20"/>
          <w:szCs w:val="20"/>
        </w:rPr>
        <w:lastRenderedPageBreak/>
        <w:t>credible commercial/non-commercial sources in Australia</w:t>
      </w:r>
    </w:p>
    <w:p w14:paraId="778D5B64" w14:textId="77777777" w:rsidR="0009059C" w:rsidRPr="00654B60" w:rsidRDefault="00A04D78" w:rsidP="009940F2">
      <w:pPr>
        <w:pStyle w:val="ListBullet0"/>
        <w:rPr>
          <w:rFonts w:ascii="VIC" w:hAnsi="VIC"/>
          <w:sz w:val="20"/>
          <w:szCs w:val="20"/>
        </w:rPr>
      </w:pPr>
      <w:hyperlink r:id="rId45" w:anchor="sector_specific_tools_id">
        <w:r w:rsidR="0009059C" w:rsidRPr="00654B60">
          <w:rPr>
            <w:rStyle w:val="Hyperlink"/>
            <w:rFonts w:ascii="VIC" w:hAnsi="VIC"/>
            <w:szCs w:val="20"/>
          </w:rPr>
          <w:t>GHG protocol tools</w:t>
        </w:r>
      </w:hyperlink>
    </w:p>
    <w:p w14:paraId="04F80D2F" w14:textId="77777777" w:rsidR="0009059C" w:rsidRPr="00654B60" w:rsidRDefault="0009059C" w:rsidP="009940F2">
      <w:pPr>
        <w:pStyle w:val="ListBullet0"/>
        <w:rPr>
          <w:rFonts w:ascii="VIC" w:hAnsi="VIC"/>
          <w:sz w:val="20"/>
          <w:szCs w:val="20"/>
        </w:rPr>
      </w:pPr>
      <w:r w:rsidRPr="00654B60">
        <w:rPr>
          <w:rFonts w:ascii="VIC" w:hAnsi="VIC"/>
          <w:sz w:val="20"/>
          <w:szCs w:val="20"/>
        </w:rPr>
        <w:t>factors from governments and other organisations in other countries.</w:t>
      </w:r>
    </w:p>
    <w:p w14:paraId="3B1E6F4F" w14:textId="3529BD32" w:rsidR="0009059C" w:rsidRDefault="0009059C" w:rsidP="00635345">
      <w:r>
        <w:t>If emission factors are not available and you need to develop your own quantification methods, you should document your assumptions. As new and more robust emission factors increase over time</w:t>
      </w:r>
      <w:r w:rsidR="00230583">
        <w:t>,</w:t>
      </w:r>
      <w:r>
        <w:t xml:space="preserve"> these should be used.</w:t>
      </w:r>
    </w:p>
    <w:p w14:paraId="19A0FC1F" w14:textId="5E21C141" w:rsidR="0009059C" w:rsidRDefault="0009059C" w:rsidP="00635345">
      <w:r>
        <w:t>The NGA Factors include the global warming potential (GWP) of different GHGs sourced from IPCC Assessment Reports. GWP values convert GHG emissions data for non-CO</w:t>
      </w:r>
      <w:r>
        <w:rPr>
          <w:vertAlign w:val="subscript"/>
        </w:rPr>
        <w:t>2</w:t>
      </w:r>
      <w:r>
        <w:t xml:space="preserve"> gases into units of CO</w:t>
      </w:r>
      <w:r>
        <w:rPr>
          <w:vertAlign w:val="subscript"/>
        </w:rPr>
        <w:t>2</w:t>
      </w:r>
      <w:r>
        <w:t>e</w:t>
      </w:r>
      <w:r w:rsidR="00230583">
        <w:t>.</w:t>
      </w:r>
      <w:r w:rsidR="004204A5">
        <w:rPr>
          <w:rStyle w:val="FootnoteReference"/>
        </w:rPr>
        <w:footnoteReference w:customMarkFollows="1" w:id="7"/>
        <w:t>7</w:t>
      </w:r>
    </w:p>
    <w:p w14:paraId="4FF5039B" w14:textId="31C47050" w:rsidR="0009059C" w:rsidRDefault="0009059C" w:rsidP="00635345">
      <w:r>
        <w:t>The GWP values are based on the different effects that different GHGs can have on the Earth</w:t>
      </w:r>
      <w:r w:rsidR="004D4C00">
        <w:t>’</w:t>
      </w:r>
      <w:r>
        <w:t xml:space="preserve">s warming. Two significant ways these gases differ from each other are in their ability to absorb energy (their ‘radiative efficiency’) and how long they stay in the atmosphere (their ‘lifetime’). </w:t>
      </w:r>
    </w:p>
    <w:p w14:paraId="0598430E" w14:textId="05AC97B1" w:rsidR="0009059C" w:rsidRDefault="0009059C" w:rsidP="00635345">
      <w:r>
        <w:t>GWP values can change over time and are updated in IPCC Assessment Reports. For example</w:t>
      </w:r>
      <w:r w:rsidR="00EA785B">
        <w:t>,</w:t>
      </w:r>
      <w:r w:rsidR="002F730A">
        <w:t xml:space="preserve"> </w:t>
      </w:r>
      <w:r>
        <w:t xml:space="preserve">based on IPCC’s </w:t>
      </w:r>
      <w:r w:rsidR="007729FD">
        <w:t>S</w:t>
      </w:r>
      <w:r>
        <w:t xml:space="preserve">ixth </w:t>
      </w:r>
      <w:r w:rsidR="007729FD">
        <w:t>A</w:t>
      </w:r>
      <w:r>
        <w:t xml:space="preserve">ssessment </w:t>
      </w:r>
      <w:r w:rsidR="007729FD">
        <w:t>R</w:t>
      </w:r>
      <w:r>
        <w:t>eport</w:t>
      </w:r>
      <w:r w:rsidR="007729FD">
        <w:t>,</w:t>
      </w:r>
      <w:r>
        <w:t xml:space="preserve"> </w:t>
      </w:r>
      <w:proofErr w:type="spellStart"/>
      <w:r>
        <w:t>sulfur</w:t>
      </w:r>
      <w:proofErr w:type="spellEnd"/>
      <w:r>
        <w:t xml:space="preserve"> hexafluoride has a GWP of 25,200 over a 100-year horizon (that is</w:t>
      </w:r>
      <w:r w:rsidR="00B90AEF">
        <w:t>,</w:t>
      </w:r>
      <w:r>
        <w:t xml:space="preserve"> each tonne of </w:t>
      </w:r>
      <w:proofErr w:type="spellStart"/>
      <w:r>
        <w:t>sulfur</w:t>
      </w:r>
      <w:proofErr w:type="spellEnd"/>
      <w:r>
        <w:t xml:space="preserve"> hexafluoride released results in the equivalent of 25,200 tonnes of CO</w:t>
      </w:r>
      <w:r>
        <w:rPr>
          <w:rFonts w:eastAsia="Calibri"/>
          <w:vertAlign w:val="subscript"/>
        </w:rPr>
        <w:t>2</w:t>
      </w:r>
      <w:r w:rsidRPr="000015EC">
        <w:rPr>
          <w:rFonts w:eastAsia="Calibri"/>
        </w:rPr>
        <w:t>)</w:t>
      </w:r>
      <w:r>
        <w:t>. The larger the GWP, the more that a given gas warms the Earth compared to CO</w:t>
      </w:r>
      <w:r>
        <w:rPr>
          <w:rFonts w:eastAsia="Calibri"/>
          <w:vertAlign w:val="subscript"/>
        </w:rPr>
        <w:t>2</w:t>
      </w:r>
      <w:r>
        <w:t xml:space="preserve"> over that period</w:t>
      </w:r>
      <w:r w:rsidR="00B90AEF">
        <w:t>.</w:t>
      </w:r>
      <w:r w:rsidR="00501F9B">
        <w:rPr>
          <w:rStyle w:val="FootnoteReference"/>
        </w:rPr>
        <w:footnoteReference w:customMarkFollows="1" w:id="8"/>
        <w:t>8</w:t>
      </w:r>
      <w:r>
        <w:t xml:space="preserve"> Synthetic GHGs generally have a high GWP. </w:t>
      </w:r>
    </w:p>
    <w:p w14:paraId="3D511939" w14:textId="38EACF7B" w:rsidR="0009059C" w:rsidRDefault="00200FDF" w:rsidP="00B90AEF">
      <w:pPr>
        <w:pStyle w:val="Heading2"/>
      </w:pPr>
      <w:bookmarkStart w:id="87" w:name="_Toc85802323"/>
      <w:bookmarkStart w:id="88" w:name="_Toc87612583"/>
      <w:bookmarkStart w:id="89" w:name="_Toc112341028"/>
      <w:bookmarkStart w:id="90" w:name="_Toc114045801"/>
      <w:bookmarkStart w:id="91" w:name="_Toc114566207"/>
      <w:r>
        <w:t>4.2</w:t>
      </w:r>
      <w:r w:rsidR="00A5076A">
        <w:t xml:space="preserve"> </w:t>
      </w:r>
      <w:r>
        <w:tab/>
      </w:r>
      <w:r w:rsidR="0009059C">
        <w:t>Using existing data</w:t>
      </w:r>
      <w:bookmarkEnd w:id="87"/>
      <w:bookmarkEnd w:id="88"/>
      <w:bookmarkEnd w:id="89"/>
      <w:bookmarkEnd w:id="90"/>
      <w:bookmarkEnd w:id="91"/>
      <w:r w:rsidR="0009059C">
        <w:t xml:space="preserve"> </w:t>
      </w:r>
    </w:p>
    <w:p w14:paraId="6B416ED4" w14:textId="67F44AEF" w:rsidR="0009059C" w:rsidRDefault="0009059C" w:rsidP="0009059C">
      <w:pPr>
        <w:pStyle w:val="BodyText"/>
      </w:pPr>
      <w:r>
        <w:t xml:space="preserve">You may already understand some or </w:t>
      </w:r>
      <w:proofErr w:type="gramStart"/>
      <w:r>
        <w:t>all of</w:t>
      </w:r>
      <w:proofErr w:type="gramEnd"/>
      <w:r>
        <w:t xml:space="preserve"> your </w:t>
      </w:r>
      <w:r w:rsidR="007D792C">
        <w:t>Scope 1</w:t>
      </w:r>
      <w:r>
        <w:t xml:space="preserve">, </w:t>
      </w:r>
      <w:r w:rsidR="007D792C">
        <w:t>Scope 2</w:t>
      </w:r>
      <w:r>
        <w:t xml:space="preserve"> and </w:t>
      </w:r>
      <w:r w:rsidR="007D792C">
        <w:t>Scope 3</w:t>
      </w:r>
      <w:r>
        <w:t xml:space="preserve"> GHG emissions. For example, you may already:</w:t>
      </w:r>
    </w:p>
    <w:p w14:paraId="4845B406" w14:textId="2415AF15" w:rsidR="0009059C" w:rsidRPr="00654B60" w:rsidRDefault="0009059C" w:rsidP="009940F2">
      <w:pPr>
        <w:pStyle w:val="ListBullet0"/>
        <w:rPr>
          <w:rFonts w:ascii="VIC" w:hAnsi="VIC"/>
          <w:sz w:val="20"/>
          <w:szCs w:val="20"/>
        </w:rPr>
      </w:pPr>
      <w:r w:rsidRPr="00654B60">
        <w:rPr>
          <w:rFonts w:ascii="VIC" w:hAnsi="VIC"/>
          <w:sz w:val="20"/>
          <w:szCs w:val="20"/>
        </w:rPr>
        <w:t xml:space="preserve">calculate and minimise your </w:t>
      </w:r>
      <w:r w:rsidR="007D792C">
        <w:rPr>
          <w:rFonts w:ascii="VIC" w:hAnsi="VIC"/>
          <w:sz w:val="20"/>
          <w:szCs w:val="20"/>
        </w:rPr>
        <w:t>Scope 2</w:t>
      </w:r>
      <w:r w:rsidRPr="00654B60">
        <w:rPr>
          <w:rFonts w:ascii="VIC" w:hAnsi="VIC"/>
          <w:sz w:val="20"/>
          <w:szCs w:val="20"/>
        </w:rPr>
        <w:t xml:space="preserve"> emissions as part of your energy management system or energy audit </w:t>
      </w:r>
    </w:p>
    <w:p w14:paraId="35183182" w14:textId="58603820" w:rsidR="0009059C" w:rsidRPr="00A342E8" w:rsidRDefault="0009059C" w:rsidP="009940F2">
      <w:pPr>
        <w:pStyle w:val="ListBullet0"/>
        <w:rPr>
          <w:rFonts w:ascii="VIC" w:hAnsi="VIC"/>
          <w:sz w:val="20"/>
          <w:szCs w:val="20"/>
        </w:rPr>
      </w:pPr>
      <w:r w:rsidRPr="00A342E8">
        <w:rPr>
          <w:rFonts w:ascii="VIC" w:hAnsi="VIC"/>
          <w:sz w:val="20"/>
          <w:szCs w:val="20"/>
        </w:rPr>
        <w:t xml:space="preserve">understand and report your </w:t>
      </w:r>
      <w:r w:rsidR="007D792C">
        <w:rPr>
          <w:rFonts w:ascii="VIC" w:hAnsi="VIC"/>
          <w:sz w:val="20"/>
          <w:szCs w:val="20"/>
        </w:rPr>
        <w:t>Scope 1</w:t>
      </w:r>
      <w:r w:rsidRPr="00A342E8">
        <w:rPr>
          <w:rFonts w:ascii="VIC" w:hAnsi="VIC"/>
          <w:sz w:val="20"/>
          <w:szCs w:val="20"/>
        </w:rPr>
        <w:t xml:space="preserve"> and </w:t>
      </w:r>
      <w:r w:rsidR="007D792C">
        <w:rPr>
          <w:rFonts w:ascii="VIC" w:hAnsi="VIC"/>
          <w:sz w:val="20"/>
          <w:szCs w:val="20"/>
        </w:rPr>
        <w:t>Scope 2</w:t>
      </w:r>
      <w:r w:rsidRPr="00A342E8">
        <w:rPr>
          <w:rFonts w:ascii="VIC" w:hAnsi="VIC"/>
          <w:sz w:val="20"/>
          <w:szCs w:val="20"/>
        </w:rPr>
        <w:t xml:space="preserve"> emissions under the Australian Government’s National Greenhouse and Energy Reporting (NGER) scheme</w:t>
      </w:r>
      <w:r w:rsidR="00501F9B">
        <w:rPr>
          <w:rStyle w:val="FootnoteReference"/>
          <w:rFonts w:ascii="VIC" w:hAnsi="VIC"/>
          <w:sz w:val="20"/>
          <w:szCs w:val="20"/>
        </w:rPr>
        <w:footnoteReference w:customMarkFollows="1" w:id="9"/>
        <w:t>9</w:t>
      </w:r>
    </w:p>
    <w:p w14:paraId="7C300E35" w14:textId="1AEDC644" w:rsidR="0009059C" w:rsidRPr="00654B60" w:rsidRDefault="0009059C" w:rsidP="009940F2">
      <w:pPr>
        <w:pStyle w:val="ListBullet0"/>
        <w:rPr>
          <w:rStyle w:val="Hyperlink"/>
          <w:rFonts w:ascii="VIC" w:hAnsi="VIC"/>
          <w:szCs w:val="20"/>
        </w:rPr>
      </w:pPr>
      <w:r w:rsidRPr="00A342E8">
        <w:rPr>
          <w:rFonts w:ascii="VIC" w:hAnsi="VIC"/>
          <w:sz w:val="20"/>
          <w:szCs w:val="20"/>
        </w:rPr>
        <w:t xml:space="preserve">understand your </w:t>
      </w:r>
      <w:r w:rsidR="007D792C">
        <w:rPr>
          <w:rFonts w:ascii="VIC" w:hAnsi="VIC"/>
          <w:sz w:val="20"/>
          <w:szCs w:val="20"/>
        </w:rPr>
        <w:t>Scope 1</w:t>
      </w:r>
      <w:r w:rsidRPr="00A342E8">
        <w:rPr>
          <w:rFonts w:ascii="VIC" w:hAnsi="VIC"/>
          <w:sz w:val="20"/>
          <w:szCs w:val="20"/>
        </w:rPr>
        <w:t xml:space="preserve">, </w:t>
      </w:r>
      <w:r w:rsidR="007D792C">
        <w:rPr>
          <w:rFonts w:ascii="VIC" w:hAnsi="VIC"/>
          <w:sz w:val="20"/>
          <w:szCs w:val="20"/>
        </w:rPr>
        <w:t xml:space="preserve">Scope </w:t>
      </w:r>
      <w:proofErr w:type="gramStart"/>
      <w:r w:rsidR="007D792C">
        <w:rPr>
          <w:rFonts w:ascii="VIC" w:hAnsi="VIC"/>
          <w:sz w:val="20"/>
          <w:szCs w:val="20"/>
        </w:rPr>
        <w:t>2</w:t>
      </w:r>
      <w:proofErr w:type="gramEnd"/>
      <w:r w:rsidRPr="00A342E8">
        <w:rPr>
          <w:rFonts w:ascii="VIC" w:hAnsi="VIC"/>
          <w:sz w:val="20"/>
          <w:szCs w:val="20"/>
        </w:rPr>
        <w:t xml:space="preserve"> and </w:t>
      </w:r>
      <w:r w:rsidR="007D792C">
        <w:rPr>
          <w:rFonts w:ascii="VIC" w:hAnsi="VIC"/>
          <w:sz w:val="20"/>
          <w:szCs w:val="20"/>
        </w:rPr>
        <w:t>Scope 3</w:t>
      </w:r>
      <w:r w:rsidRPr="00A342E8">
        <w:rPr>
          <w:rFonts w:ascii="VIC" w:hAnsi="VIC"/>
          <w:sz w:val="20"/>
          <w:szCs w:val="20"/>
        </w:rPr>
        <w:t xml:space="preserve"> emissions as part of voluntarily seeking carbon neutrality under </w:t>
      </w:r>
      <w:hyperlink r:id="rId46" w:history="1">
        <w:r w:rsidRPr="00B90AEF">
          <w:rPr>
            <w:rStyle w:val="Hyperlink"/>
            <w:rFonts w:ascii="VIC" w:hAnsi="VIC"/>
            <w:szCs w:val="20"/>
          </w:rPr>
          <w:t>Climate Active</w:t>
        </w:r>
      </w:hyperlink>
      <w:r w:rsidRPr="00A342E8">
        <w:t xml:space="preserve"> </w:t>
      </w:r>
      <w:r w:rsidR="003D45C4" w:rsidRPr="00274DDA">
        <w:rPr>
          <w:rFonts w:ascii="VIC" w:hAnsi="VIC"/>
          <w:sz w:val="20"/>
          <w:szCs w:val="20"/>
        </w:rPr>
        <w:t>(a voluntary carbon-neutral certification program)</w:t>
      </w:r>
      <w:r w:rsidR="003D45C4" w:rsidRPr="00274DDA">
        <w:rPr>
          <w:sz w:val="20"/>
          <w:szCs w:val="20"/>
        </w:rPr>
        <w:t xml:space="preserve"> </w:t>
      </w:r>
    </w:p>
    <w:p w14:paraId="5A9DFA1E" w14:textId="77777777" w:rsidR="0009059C" w:rsidRPr="00654B60" w:rsidRDefault="0009059C" w:rsidP="009940F2">
      <w:pPr>
        <w:pStyle w:val="ListBullet0"/>
        <w:rPr>
          <w:rStyle w:val="Hyperlink"/>
          <w:rFonts w:ascii="VIC" w:hAnsi="VIC"/>
          <w:color w:val="auto"/>
          <w:szCs w:val="20"/>
        </w:rPr>
      </w:pPr>
      <w:r w:rsidRPr="00654B60">
        <w:rPr>
          <w:rFonts w:ascii="VIC" w:hAnsi="VIC"/>
          <w:sz w:val="20"/>
          <w:szCs w:val="20"/>
        </w:rPr>
        <w:t>quantify emissions for internal and other business reporting purposes</w:t>
      </w:r>
      <w:r w:rsidRPr="00654B60">
        <w:rPr>
          <w:rStyle w:val="Hyperlink"/>
          <w:rFonts w:ascii="VIC" w:hAnsi="VIC"/>
          <w:color w:val="auto"/>
          <w:szCs w:val="20"/>
        </w:rPr>
        <w:t>.</w:t>
      </w:r>
    </w:p>
    <w:p w14:paraId="79913C44" w14:textId="77777777" w:rsidR="0009059C" w:rsidRPr="00D06A62" w:rsidRDefault="0009059C" w:rsidP="0009059C">
      <w:pPr>
        <w:pStyle w:val="BodyText"/>
      </w:pPr>
      <w:r w:rsidRPr="00D06A62">
        <w:t xml:space="preserve">Existing information can be used to help you </w:t>
      </w:r>
      <w:r>
        <w:t>assess the risks of harm from your GHG emissions</w:t>
      </w:r>
      <w:r w:rsidRPr="00D06A62">
        <w:t>.</w:t>
      </w:r>
    </w:p>
    <w:p w14:paraId="53C20812" w14:textId="54CEC310" w:rsidR="0009059C" w:rsidRDefault="00200FDF" w:rsidP="00000161">
      <w:pPr>
        <w:pStyle w:val="Heading2"/>
      </w:pPr>
      <w:bookmarkStart w:id="92" w:name="_Toc85802324"/>
      <w:bookmarkStart w:id="93" w:name="_Toc87612584"/>
      <w:bookmarkStart w:id="94" w:name="_Toc112341029"/>
      <w:bookmarkStart w:id="95" w:name="_Toc114045802"/>
      <w:bookmarkStart w:id="96" w:name="_Toc114566208"/>
      <w:r>
        <w:t>4.3</w:t>
      </w:r>
      <w:r>
        <w:tab/>
      </w:r>
      <w:r w:rsidR="0009059C">
        <w:t>Standards for quantifying your GHG emissions</w:t>
      </w:r>
      <w:bookmarkEnd w:id="92"/>
      <w:bookmarkEnd w:id="93"/>
      <w:bookmarkEnd w:id="94"/>
      <w:bookmarkEnd w:id="95"/>
      <w:bookmarkEnd w:id="96"/>
    </w:p>
    <w:p w14:paraId="55BC6EAF" w14:textId="11845EFF" w:rsidR="0009059C" w:rsidRDefault="0009059C" w:rsidP="00111982">
      <w:r>
        <w:t xml:space="preserve">The World Resources Institute/World Business Council for Sustainable Developments </w:t>
      </w:r>
      <w:hyperlink r:id="rId47" w:history="1">
        <w:r>
          <w:rPr>
            <w:rStyle w:val="Hyperlink"/>
          </w:rPr>
          <w:t>Greenhouse gas protocol corporate accounting and reporting standard</w:t>
        </w:r>
      </w:hyperlink>
      <w:r>
        <w:t xml:space="preserve"> (GHG Protocol) is globally recognised, freely available and widely used for GHG emission accounting and reporting. </w:t>
      </w:r>
    </w:p>
    <w:p w14:paraId="38EF08BD" w14:textId="77777777" w:rsidR="0009059C" w:rsidRDefault="0009059C" w:rsidP="00111982">
      <w:r>
        <w:t>Other well-known options for quantifying and reporting GHG emissions include:</w:t>
      </w:r>
    </w:p>
    <w:p w14:paraId="2768EF71" w14:textId="5B81A43E" w:rsidR="002D698E" w:rsidRPr="00654B60" w:rsidRDefault="002D698E" w:rsidP="009940F2">
      <w:pPr>
        <w:pStyle w:val="ListBullet0"/>
        <w:rPr>
          <w:rFonts w:ascii="VIC" w:hAnsi="VIC"/>
          <w:sz w:val="20"/>
          <w:szCs w:val="20"/>
        </w:rPr>
      </w:pPr>
      <w:r w:rsidRPr="00654B60">
        <w:rPr>
          <w:rFonts w:ascii="VIC" w:hAnsi="VIC"/>
          <w:sz w:val="20"/>
          <w:szCs w:val="20"/>
        </w:rPr>
        <w:lastRenderedPageBreak/>
        <w:t xml:space="preserve">ISO Standard, </w:t>
      </w:r>
      <w:hyperlink r:id="rId48">
        <w:r w:rsidRPr="00654B60">
          <w:rPr>
            <w:rStyle w:val="Hyperlink"/>
            <w:rFonts w:ascii="VIC" w:eastAsia="Calibri" w:hAnsi="VIC" w:cs="Arial"/>
            <w:szCs w:val="20"/>
          </w:rPr>
          <w:t>ISO 14064-1:2018</w:t>
        </w:r>
      </w:hyperlink>
      <w:r w:rsidRPr="00654B60">
        <w:rPr>
          <w:rFonts w:ascii="VIC" w:hAnsi="VIC"/>
          <w:sz w:val="20"/>
          <w:szCs w:val="20"/>
        </w:rPr>
        <w:t xml:space="preserve"> is available for purchase and is closely based on the GHG Protocol. It specifies principles and requirements at the organisation level for the quantification and reporting of GHG emissions and removal. It includes requirements for the design, development, management, reporting and verification of an organisation</w:t>
      </w:r>
      <w:r w:rsidR="004D4C00">
        <w:rPr>
          <w:rFonts w:ascii="VIC" w:hAnsi="VIC"/>
          <w:sz w:val="20"/>
          <w:szCs w:val="20"/>
        </w:rPr>
        <w:t>’</w:t>
      </w:r>
      <w:r w:rsidRPr="00654B60">
        <w:rPr>
          <w:rFonts w:ascii="VIC" w:hAnsi="VIC"/>
          <w:sz w:val="20"/>
          <w:szCs w:val="20"/>
        </w:rPr>
        <w:t>s GHG inventory.</w:t>
      </w:r>
    </w:p>
    <w:p w14:paraId="7FB68E66" w14:textId="77777777" w:rsidR="002D698E" w:rsidRPr="00654B60" w:rsidRDefault="002D698E" w:rsidP="009940F2">
      <w:pPr>
        <w:pStyle w:val="ListBullet0"/>
        <w:rPr>
          <w:rFonts w:ascii="VIC" w:hAnsi="VIC"/>
          <w:sz w:val="20"/>
          <w:szCs w:val="20"/>
        </w:rPr>
      </w:pPr>
      <w:r w:rsidRPr="00654B60">
        <w:rPr>
          <w:rFonts w:ascii="VIC" w:hAnsi="VIC"/>
          <w:sz w:val="20"/>
          <w:szCs w:val="20"/>
        </w:rPr>
        <w:t xml:space="preserve">The </w:t>
      </w:r>
      <w:hyperlink r:id="rId49">
        <w:r w:rsidRPr="00654B60">
          <w:rPr>
            <w:rStyle w:val="Hyperlink"/>
            <w:rFonts w:ascii="VIC" w:eastAsia="Calibri" w:hAnsi="VIC" w:cs="Arial"/>
            <w:szCs w:val="20"/>
          </w:rPr>
          <w:t>Climate Active Carbon Neutral Standard for Organisations</w:t>
        </w:r>
      </w:hyperlink>
      <w:r w:rsidRPr="00654B60">
        <w:rPr>
          <w:rFonts w:ascii="VIC" w:hAnsi="VIC"/>
          <w:sz w:val="20"/>
          <w:szCs w:val="20"/>
        </w:rPr>
        <w:t xml:space="preserve"> is a voluntary standard to manage GHG emissions and achieve carbon neutrality. It provides best-practice guidance on how to measure GHG emissions data for the operations of organisations. </w:t>
      </w:r>
    </w:p>
    <w:p w14:paraId="4EE268D8" w14:textId="77777777" w:rsidR="0009059C" w:rsidRDefault="0009059C" w:rsidP="002D698E">
      <w:r>
        <w:t>These standards assist in setting (operational and organisational) boundaries of your GHG emissions inventory, identifying and calculating GHG emissions and reductions, establishing a base year (to track emissions over time) and managing the quality of your inventory.</w:t>
      </w:r>
    </w:p>
    <w:p w14:paraId="5EDD11EA" w14:textId="77777777" w:rsidR="0009059C" w:rsidRDefault="0009059C" w:rsidP="002D698E">
      <w:r>
        <w:t>Both Climate Active (Carbon Neutral Standard for Organisations, page 5) and the GHG protocol (Corporate Standard, page 7) provide for the following principles: Relevance, Completeness, Consistency, Transparency, and Accuracy in the preparation of carbon accounts.</w:t>
      </w:r>
    </w:p>
    <w:p w14:paraId="620529FA" w14:textId="77777777" w:rsidR="0009059C" w:rsidRDefault="0009059C" w:rsidP="002D698E">
      <w:r>
        <w:t xml:space="preserve">You can calculate your approximate GHG emissions to understand the key areas you should focus on before undertaking a more comprehensive inventory. </w:t>
      </w:r>
    </w:p>
    <w:p w14:paraId="7B285234" w14:textId="3799C266" w:rsidR="0009059C" w:rsidRDefault="002D698E" w:rsidP="006719F3">
      <w:pPr>
        <w:pStyle w:val="Heading2"/>
      </w:pPr>
      <w:bookmarkStart w:id="97" w:name="_Toc85798791"/>
      <w:bookmarkStart w:id="98" w:name="_Toc85802325"/>
      <w:bookmarkStart w:id="99" w:name="_Toc85802419"/>
      <w:bookmarkStart w:id="100" w:name="_Toc85802796"/>
      <w:bookmarkStart w:id="101" w:name="_Toc85802976"/>
      <w:bookmarkStart w:id="102" w:name="_Toc85798793"/>
      <w:bookmarkStart w:id="103" w:name="_Toc85802327"/>
      <w:bookmarkStart w:id="104" w:name="_Toc85802421"/>
      <w:bookmarkStart w:id="105" w:name="_Toc85802798"/>
      <w:bookmarkStart w:id="106" w:name="_Toc85802978"/>
      <w:bookmarkStart w:id="107" w:name="_Toc85798794"/>
      <w:bookmarkStart w:id="108" w:name="_Toc85802328"/>
      <w:bookmarkStart w:id="109" w:name="_Toc85802422"/>
      <w:bookmarkStart w:id="110" w:name="_Toc85802799"/>
      <w:bookmarkStart w:id="111" w:name="_Toc85802979"/>
      <w:bookmarkStart w:id="112" w:name="_Toc85798795"/>
      <w:bookmarkStart w:id="113" w:name="_Toc85802329"/>
      <w:bookmarkStart w:id="114" w:name="_Toc85802423"/>
      <w:bookmarkStart w:id="115" w:name="_Toc85802800"/>
      <w:bookmarkStart w:id="116" w:name="_Toc85802980"/>
      <w:bookmarkStart w:id="117" w:name="_Toc85794549"/>
      <w:bookmarkStart w:id="118" w:name="_Toc85798796"/>
      <w:bookmarkStart w:id="119" w:name="_Toc85802330"/>
      <w:bookmarkStart w:id="120" w:name="_Toc85802424"/>
      <w:bookmarkStart w:id="121" w:name="_Toc85802801"/>
      <w:bookmarkStart w:id="122" w:name="_Toc85802981"/>
      <w:bookmarkStart w:id="123" w:name="_Toc85794550"/>
      <w:bookmarkStart w:id="124" w:name="_Toc85798797"/>
      <w:bookmarkStart w:id="125" w:name="_Toc85802331"/>
      <w:bookmarkStart w:id="126" w:name="_Toc85802425"/>
      <w:bookmarkStart w:id="127" w:name="_Toc85802802"/>
      <w:bookmarkStart w:id="128" w:name="_Toc85802982"/>
      <w:bookmarkStart w:id="129" w:name="_Toc85794551"/>
      <w:bookmarkStart w:id="130" w:name="_Toc85798798"/>
      <w:bookmarkStart w:id="131" w:name="_Toc85802332"/>
      <w:bookmarkStart w:id="132" w:name="_Toc85802426"/>
      <w:bookmarkStart w:id="133" w:name="_Toc85802803"/>
      <w:bookmarkStart w:id="134" w:name="_Toc85802983"/>
      <w:bookmarkStart w:id="135" w:name="_Toc85794552"/>
      <w:bookmarkStart w:id="136" w:name="_Toc85798799"/>
      <w:bookmarkStart w:id="137" w:name="_Toc85802333"/>
      <w:bookmarkStart w:id="138" w:name="_Toc85802427"/>
      <w:bookmarkStart w:id="139" w:name="_Toc85802804"/>
      <w:bookmarkStart w:id="140" w:name="_Toc85802984"/>
      <w:bookmarkStart w:id="141" w:name="_Toc85794553"/>
      <w:bookmarkStart w:id="142" w:name="_Toc85798800"/>
      <w:bookmarkStart w:id="143" w:name="_Toc85802334"/>
      <w:bookmarkStart w:id="144" w:name="_Toc85802428"/>
      <w:bookmarkStart w:id="145" w:name="_Toc85802805"/>
      <w:bookmarkStart w:id="146" w:name="_Toc85802985"/>
      <w:bookmarkStart w:id="147" w:name="_Toc85794554"/>
      <w:bookmarkStart w:id="148" w:name="_Toc85798801"/>
      <w:bookmarkStart w:id="149" w:name="_Toc85802335"/>
      <w:bookmarkStart w:id="150" w:name="_Toc85802429"/>
      <w:bookmarkStart w:id="151" w:name="_Toc85802806"/>
      <w:bookmarkStart w:id="152" w:name="_Toc85802986"/>
      <w:bookmarkStart w:id="153" w:name="_Toc85794555"/>
      <w:bookmarkStart w:id="154" w:name="_Toc85798802"/>
      <w:bookmarkStart w:id="155" w:name="_Toc85802336"/>
      <w:bookmarkStart w:id="156" w:name="_Toc85802430"/>
      <w:bookmarkStart w:id="157" w:name="_Toc85802807"/>
      <w:bookmarkStart w:id="158" w:name="_Toc85802987"/>
      <w:bookmarkStart w:id="159" w:name="_Toc85802339"/>
      <w:bookmarkStart w:id="160" w:name="_Toc87612585"/>
      <w:bookmarkStart w:id="161" w:name="_Toc112341030"/>
      <w:bookmarkStart w:id="162" w:name="_Toc114045803"/>
      <w:bookmarkStart w:id="163" w:name="_Toc11456620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4.4</w:t>
      </w:r>
      <w:r>
        <w:tab/>
      </w:r>
      <w:r w:rsidR="0009059C">
        <w:t xml:space="preserve">Understanding and minimising your </w:t>
      </w:r>
      <w:r w:rsidR="007D792C">
        <w:t>Scope 3</w:t>
      </w:r>
      <w:r w:rsidR="0009059C">
        <w:t xml:space="preserve"> emissions</w:t>
      </w:r>
      <w:bookmarkEnd w:id="159"/>
      <w:bookmarkEnd w:id="160"/>
      <w:bookmarkEnd w:id="161"/>
      <w:bookmarkEnd w:id="162"/>
      <w:bookmarkEnd w:id="163"/>
    </w:p>
    <w:p w14:paraId="54E694CB" w14:textId="19EE5E4F" w:rsidR="0009059C" w:rsidRDefault="0009059C" w:rsidP="002D698E">
      <w:r w:rsidRPr="002136C8">
        <w:t xml:space="preserve">When quantifying GHG emissions arising from or in connection with your activities, </w:t>
      </w:r>
      <w:r w:rsidR="007D792C">
        <w:t>Scope 3</w:t>
      </w:r>
      <w:r>
        <w:t xml:space="preserve"> GHG emissions should be included </w:t>
      </w:r>
      <w:r w:rsidRPr="002E0446">
        <w:t>as this will assist you to assess the risks of harm</w:t>
      </w:r>
      <w:r>
        <w:t xml:space="preserve"> (refer to Table 3). This is consistent with the GED requiring that risks of harm from GHG emissions that may arise from your activities be minimised so far as reasonably practicable.</w:t>
      </w:r>
    </w:p>
    <w:p w14:paraId="2CE70BFC" w14:textId="6B75FE94" w:rsidR="0009059C" w:rsidRDefault="0009059C" w:rsidP="002D698E">
      <w:r>
        <w:t xml:space="preserve">Identifying and understanding these emissions can also help you identify and assess the relative risks compared to your </w:t>
      </w:r>
      <w:r w:rsidR="007D792C">
        <w:t>Scope 1</w:t>
      </w:r>
      <w:r>
        <w:t xml:space="preserve"> and </w:t>
      </w:r>
      <w:r w:rsidR="007D792C">
        <w:t>Scope 2</w:t>
      </w:r>
      <w:r>
        <w:t xml:space="preserve"> GHG emissions and where to focus your efforts to minimise the risks of harm to human health and the environment. </w:t>
      </w:r>
    </w:p>
    <w:p w14:paraId="36C38D07" w14:textId="20DE64FC" w:rsidR="0009059C" w:rsidRDefault="0009059C" w:rsidP="002D698E">
      <w:r>
        <w:t xml:space="preserve">For some businesses, </w:t>
      </w:r>
      <w:r w:rsidR="007D792C">
        <w:t>Scope 3</w:t>
      </w:r>
      <w:r>
        <w:t xml:space="preserve"> GHG emissions may be where most GHG emissions occur (in 2021 the CDP found that GHG emissions in a company’s supply chain are, on average, 11.4 times higher than its operational emissions (CDP 2022)). </w:t>
      </w:r>
    </w:p>
    <w:p w14:paraId="07060E27" w14:textId="7ED0A009" w:rsidR="0009059C" w:rsidRDefault="0009059C" w:rsidP="002D698E">
      <w:r w:rsidRPr="00AB17CE">
        <w:t xml:space="preserve">In some cases, you are legally required to </w:t>
      </w:r>
      <w:r>
        <w:t xml:space="preserve">minimise the risks of harm from your </w:t>
      </w:r>
      <w:r w:rsidR="007D792C">
        <w:t>Scope 3</w:t>
      </w:r>
      <w:r>
        <w:t xml:space="preserve"> GHG emissions</w:t>
      </w:r>
      <w:r w:rsidRPr="00AB17CE">
        <w:t xml:space="preserve"> to satisfy </w:t>
      </w:r>
      <w:r>
        <w:t>your</w:t>
      </w:r>
      <w:r w:rsidRPr="00AB17CE">
        <w:t xml:space="preserve"> GED. For example, under </w:t>
      </w:r>
      <w:r w:rsidR="00114179">
        <w:t>Section</w:t>
      </w:r>
      <w:r w:rsidRPr="00AB17CE">
        <w:t xml:space="preserve"> 25(5) of the EP Act, if you are conducting a business and are engaged in an activity that involves the </w:t>
      </w:r>
      <w:r>
        <w:t xml:space="preserve">manufacture </w:t>
      </w:r>
      <w:r w:rsidRPr="00AB17CE">
        <w:t xml:space="preserve">of </w:t>
      </w:r>
      <w:r>
        <w:t>a substance</w:t>
      </w:r>
      <w:r w:rsidRPr="00AB17CE">
        <w:t xml:space="preserve">, you must (so far as reasonably practicable) </w:t>
      </w:r>
      <w:r>
        <w:t>minimise the risk of harm from the GHG emissions arising from the manufacture of the substance when the substance is used for the purpose for which it was manufactured.</w:t>
      </w:r>
    </w:p>
    <w:p w14:paraId="0E59A206" w14:textId="77777777" w:rsidR="0009059C" w:rsidRDefault="0009059C" w:rsidP="002D698E">
      <w:r>
        <w:t xml:space="preserve">The </w:t>
      </w:r>
      <w:r w:rsidRPr="00EE585F">
        <w:t>control, ownership or influence you have over the source of emissions</w:t>
      </w:r>
      <w:r>
        <w:t xml:space="preserve"> may also affect what </w:t>
      </w:r>
      <w:proofErr w:type="gramStart"/>
      <w:r>
        <w:t>is considered to be</w:t>
      </w:r>
      <w:proofErr w:type="gramEnd"/>
      <w:r>
        <w:t xml:space="preserve"> reasonably practicable. Larger businesses and large energy users are likely to have greater control, </w:t>
      </w:r>
      <w:proofErr w:type="gramStart"/>
      <w:r>
        <w:t>ownership</w:t>
      </w:r>
      <w:proofErr w:type="gramEnd"/>
      <w:r>
        <w:t xml:space="preserve"> and influence over upstream and downstream emissions. </w:t>
      </w:r>
      <w:r w:rsidRPr="00EE585F">
        <w:t xml:space="preserve"> </w:t>
      </w:r>
    </w:p>
    <w:p w14:paraId="1FA967F8" w14:textId="174216C5" w:rsidR="0009059C" w:rsidRDefault="0009059C" w:rsidP="002D698E">
      <w:r>
        <w:t xml:space="preserve">The World Resources Institute/World Business Council for Sustainable Development published the </w:t>
      </w:r>
      <w:hyperlink r:id="rId50" w:history="1">
        <w:r>
          <w:rPr>
            <w:rStyle w:val="Hyperlink"/>
            <w:rFonts w:eastAsia="Calibri"/>
          </w:rPr>
          <w:t>GHG Protocol Corporate Value Chain (</w:t>
        </w:r>
        <w:r w:rsidR="007D792C">
          <w:rPr>
            <w:rStyle w:val="Hyperlink"/>
            <w:rFonts w:eastAsia="Calibri"/>
          </w:rPr>
          <w:t>Scope 3</w:t>
        </w:r>
        <w:r>
          <w:rPr>
            <w:rStyle w:val="Hyperlink"/>
            <w:rFonts w:eastAsia="Calibri"/>
          </w:rPr>
          <w:t>) Accounting and Reporting Standard</w:t>
        </w:r>
      </w:hyperlink>
      <w:r>
        <w:t xml:space="preserve"> (</w:t>
      </w:r>
      <w:r w:rsidR="007D792C">
        <w:t>Scope 3</w:t>
      </w:r>
      <w:r>
        <w:t xml:space="preserve"> standard) in 2011. The </w:t>
      </w:r>
      <w:r w:rsidR="007D792C">
        <w:t>Scope 3</w:t>
      </w:r>
      <w:r>
        <w:t xml:space="preserve"> standard provides an internationally recognised method to enable GHG emission management of companies’ value chains. The companion </w:t>
      </w:r>
      <w:hyperlink r:id="rId51" w:history="1">
        <w:r>
          <w:rPr>
            <w:rStyle w:val="Hyperlink"/>
            <w:rFonts w:eastAsia="Calibri"/>
          </w:rPr>
          <w:t xml:space="preserve">Technical Guidance for Calculating </w:t>
        </w:r>
        <w:r w:rsidR="007D792C">
          <w:rPr>
            <w:rStyle w:val="Hyperlink"/>
            <w:rFonts w:eastAsia="Calibri"/>
          </w:rPr>
          <w:t>Scope 3</w:t>
        </w:r>
        <w:r>
          <w:rPr>
            <w:rStyle w:val="Hyperlink"/>
            <w:rFonts w:eastAsia="Calibri"/>
          </w:rPr>
          <w:t xml:space="preserve"> Emissions</w:t>
        </w:r>
      </w:hyperlink>
      <w:r>
        <w:t xml:space="preserve"> provides methods businesses may choose to use for calculating GHG emissions for each of 15 </w:t>
      </w:r>
      <w:r w:rsidR="007D792C">
        <w:t>Scope 3</w:t>
      </w:r>
      <w:r>
        <w:t xml:space="preserve"> categories. </w:t>
      </w:r>
    </w:p>
    <w:p w14:paraId="410659E1" w14:textId="29D93CD2" w:rsidR="0009059C" w:rsidRDefault="0009059C" w:rsidP="002D698E">
      <w:r>
        <w:t xml:space="preserve">The sources of </w:t>
      </w:r>
      <w:r w:rsidR="007D792C">
        <w:t>Scope 3</w:t>
      </w:r>
      <w:r>
        <w:t xml:space="preserve"> emissions can vary widely in different industries and not all 15 categories will be relevant to all businesses (refer to Table 2</w:t>
      </w:r>
      <w:r w:rsidRPr="001707E7">
        <w:t xml:space="preserve"> </w:t>
      </w:r>
      <w:r>
        <w:t xml:space="preserve">in </w:t>
      </w:r>
      <w:r w:rsidR="00114179">
        <w:t>Section</w:t>
      </w:r>
      <w:r>
        <w:t xml:space="preserve"> 3.3). Some of the typical </w:t>
      </w:r>
      <w:r w:rsidR="007D792C">
        <w:t>Scope 3</w:t>
      </w:r>
      <w:r>
        <w:t xml:space="preserve"> emission sources for industries include:</w:t>
      </w:r>
    </w:p>
    <w:p w14:paraId="2BB2DCD7" w14:textId="77777777" w:rsidR="0009059C" w:rsidRPr="00654B60" w:rsidRDefault="0009059C" w:rsidP="009940F2">
      <w:pPr>
        <w:pStyle w:val="ListBullet0"/>
        <w:rPr>
          <w:rFonts w:ascii="VIC" w:hAnsi="VIC"/>
          <w:sz w:val="20"/>
          <w:szCs w:val="20"/>
        </w:rPr>
      </w:pPr>
      <w:r w:rsidRPr="00654B60">
        <w:rPr>
          <w:rFonts w:ascii="VIC" w:hAnsi="VIC"/>
          <w:sz w:val="20"/>
          <w:szCs w:val="20"/>
        </w:rPr>
        <w:lastRenderedPageBreak/>
        <w:t>hospitality and retail businesses, such as cafes and restaurants – upstream suppliers and materials</w:t>
      </w:r>
    </w:p>
    <w:p w14:paraId="07CEDE41" w14:textId="77777777" w:rsidR="0009059C" w:rsidRPr="00654B60" w:rsidRDefault="0009059C" w:rsidP="009940F2">
      <w:pPr>
        <w:pStyle w:val="ListBullet0"/>
        <w:rPr>
          <w:rFonts w:ascii="VIC" w:hAnsi="VIC"/>
          <w:sz w:val="20"/>
          <w:szCs w:val="20"/>
        </w:rPr>
      </w:pPr>
      <w:r w:rsidRPr="00654B60">
        <w:rPr>
          <w:rFonts w:ascii="VIC" w:hAnsi="VIC"/>
          <w:sz w:val="20"/>
          <w:szCs w:val="20"/>
        </w:rPr>
        <w:t>commercial services, such as offices – downstream emissions from leases</w:t>
      </w:r>
    </w:p>
    <w:p w14:paraId="2631154B" w14:textId="77777777" w:rsidR="0009059C" w:rsidRPr="00654B60" w:rsidRDefault="0009059C" w:rsidP="009940F2">
      <w:pPr>
        <w:pStyle w:val="ListBullet0"/>
        <w:rPr>
          <w:rFonts w:ascii="VIC" w:hAnsi="VIC"/>
          <w:sz w:val="20"/>
          <w:szCs w:val="20"/>
        </w:rPr>
      </w:pPr>
      <w:r w:rsidRPr="00654B60">
        <w:rPr>
          <w:rFonts w:ascii="VIC" w:hAnsi="VIC"/>
          <w:sz w:val="20"/>
          <w:szCs w:val="20"/>
        </w:rPr>
        <w:t>manufacturing – upstream materials and downstream uses of products</w:t>
      </w:r>
    </w:p>
    <w:p w14:paraId="440AA222" w14:textId="77777777" w:rsidR="0009059C" w:rsidRPr="00654B60" w:rsidRDefault="0009059C" w:rsidP="009940F2">
      <w:pPr>
        <w:pStyle w:val="ListBullet0"/>
        <w:rPr>
          <w:rFonts w:ascii="VIC" w:hAnsi="VIC"/>
          <w:sz w:val="20"/>
          <w:szCs w:val="20"/>
        </w:rPr>
      </w:pPr>
      <w:r w:rsidRPr="00654B60">
        <w:rPr>
          <w:rFonts w:ascii="VIC" w:hAnsi="VIC"/>
          <w:sz w:val="20"/>
          <w:szCs w:val="20"/>
        </w:rPr>
        <w:t>transport, postal and warehousing – contracted transportation</w:t>
      </w:r>
    </w:p>
    <w:p w14:paraId="66FABB8E" w14:textId="77777777" w:rsidR="0009059C" w:rsidRPr="00654B60" w:rsidRDefault="0009059C" w:rsidP="009940F2">
      <w:pPr>
        <w:pStyle w:val="ListBullet0"/>
        <w:rPr>
          <w:rFonts w:ascii="VIC" w:hAnsi="VIC"/>
          <w:sz w:val="20"/>
          <w:szCs w:val="20"/>
        </w:rPr>
      </w:pPr>
      <w:r w:rsidRPr="00654B60">
        <w:rPr>
          <w:rFonts w:ascii="VIC" w:hAnsi="VIC"/>
          <w:sz w:val="20"/>
          <w:szCs w:val="20"/>
        </w:rPr>
        <w:t>mining and construction – processing/manufacturing of materials</w:t>
      </w:r>
    </w:p>
    <w:p w14:paraId="3BFA222F" w14:textId="77777777" w:rsidR="0009059C" w:rsidRPr="00654B60" w:rsidRDefault="0009059C" w:rsidP="009940F2">
      <w:pPr>
        <w:pStyle w:val="ListBullet0"/>
        <w:rPr>
          <w:rFonts w:ascii="VIC" w:hAnsi="VIC"/>
          <w:sz w:val="20"/>
          <w:szCs w:val="20"/>
        </w:rPr>
      </w:pPr>
      <w:r w:rsidRPr="00654B60">
        <w:rPr>
          <w:rFonts w:ascii="VIC" w:hAnsi="VIC"/>
          <w:sz w:val="20"/>
          <w:szCs w:val="20"/>
        </w:rPr>
        <w:t xml:space="preserve">primary industries such as agriculture and forestry – transportation </w:t>
      </w:r>
    </w:p>
    <w:p w14:paraId="05FE38A0" w14:textId="77777777" w:rsidR="0009059C" w:rsidRPr="00654B60" w:rsidRDefault="0009059C" w:rsidP="009940F2">
      <w:pPr>
        <w:pStyle w:val="ListBullet0"/>
        <w:rPr>
          <w:rFonts w:ascii="VIC" w:hAnsi="VIC"/>
          <w:sz w:val="20"/>
          <w:szCs w:val="20"/>
        </w:rPr>
      </w:pPr>
      <w:r w:rsidRPr="00654B60">
        <w:rPr>
          <w:rFonts w:ascii="VIC" w:hAnsi="VIC"/>
          <w:sz w:val="20"/>
          <w:szCs w:val="20"/>
        </w:rPr>
        <w:t>waste including landfills and wastewater treatment – upstream suppliers and materials.</w:t>
      </w:r>
    </w:p>
    <w:p w14:paraId="04CEF38C" w14:textId="77777777" w:rsidR="0009059C" w:rsidRDefault="0009059C" w:rsidP="00CB0343">
      <w:r>
        <w:t xml:space="preserve">As an example, if most of your GHG emissions are from purchased goods and services, ways to reduce risk of harm from those emissions may include supplier engagement and your procurement policies and choices. </w:t>
      </w:r>
    </w:p>
    <w:p w14:paraId="1261F5CA" w14:textId="77777777" w:rsidR="0009059C" w:rsidRDefault="0009059C" w:rsidP="00CB0343">
      <w:r>
        <w:t>For downstream GHG emissions, where you may have a lower degree of influence, there may still be ways to reduce risks of harm from GHG emissions during the use phase, via customer engagement and your investment choices.</w:t>
      </w:r>
    </w:p>
    <w:p w14:paraId="531EF523" w14:textId="3781176E" w:rsidR="0009059C" w:rsidRDefault="00CD7C0B" w:rsidP="00747C12">
      <w:pPr>
        <w:pStyle w:val="Heading2"/>
      </w:pPr>
      <w:bookmarkStart w:id="164" w:name="_Toc85798806"/>
      <w:bookmarkStart w:id="165" w:name="_Toc85802340"/>
      <w:bookmarkStart w:id="166" w:name="_Toc85802434"/>
      <w:bookmarkStart w:id="167" w:name="_Toc85802811"/>
      <w:bookmarkStart w:id="168" w:name="_Toc85802991"/>
      <w:bookmarkStart w:id="169" w:name="_Toc87612586"/>
      <w:bookmarkStart w:id="170" w:name="_Toc112341031"/>
      <w:bookmarkStart w:id="171" w:name="_Toc114045804"/>
      <w:bookmarkStart w:id="172" w:name="_Toc114566210"/>
      <w:bookmarkEnd w:id="164"/>
      <w:bookmarkEnd w:id="165"/>
      <w:bookmarkEnd w:id="166"/>
      <w:bookmarkEnd w:id="167"/>
      <w:bookmarkEnd w:id="168"/>
      <w:r>
        <w:t>4.5</w:t>
      </w:r>
      <w:r>
        <w:tab/>
      </w:r>
      <w:r w:rsidR="0009059C">
        <w:t>Verification</w:t>
      </w:r>
      <w:bookmarkEnd w:id="169"/>
      <w:bookmarkEnd w:id="170"/>
      <w:bookmarkEnd w:id="171"/>
      <w:bookmarkEnd w:id="172"/>
    </w:p>
    <w:p w14:paraId="65AF26BD" w14:textId="77777777" w:rsidR="0009059C" w:rsidRDefault="0009059C" w:rsidP="00CD7C0B">
      <w:r>
        <w:t xml:space="preserve">It is not necessary to independently verify or publicly report your GHG emission data </w:t>
      </w:r>
      <w:proofErr w:type="gramStart"/>
      <w:r>
        <w:t>in order to</w:t>
      </w:r>
      <w:proofErr w:type="gramEnd"/>
      <w:r>
        <w:t xml:space="preserve"> comply with the GED (although this may be legally required by some other means, for example, if it is a condition of a permission). However, you may choose to engage an independent third party to verify your inventory to ensure reliability and confidence in the data. </w:t>
      </w:r>
    </w:p>
    <w:p w14:paraId="0B6E1780" w14:textId="77777777" w:rsidR="0009059C" w:rsidRDefault="0009059C" w:rsidP="00CD7C0B">
      <w:r>
        <w:t>Common reasons for undertaking independent verification are publicly reporting GHG emissions to demonstrate transparency and as part of best practice carbon accounting, and increased confidence in making investment decisions and setting targets.</w:t>
      </w:r>
    </w:p>
    <w:p w14:paraId="19884020" w14:textId="1B400F88" w:rsidR="0009059C" w:rsidRDefault="0009059C" w:rsidP="00CD7C0B">
      <w:r>
        <w:t xml:space="preserve">For example, </w:t>
      </w:r>
      <w:hyperlink r:id="rId52" w:history="1">
        <w:r w:rsidRPr="00DE206F">
          <w:rPr>
            <w:rStyle w:val="Hyperlink"/>
          </w:rPr>
          <w:t>Climate Active</w:t>
        </w:r>
      </w:hyperlink>
      <w:r>
        <w:t xml:space="preserve"> incorporates independent third-party validation </w:t>
      </w:r>
      <w:proofErr w:type="gramStart"/>
      <w:r>
        <w:t>processes, and</w:t>
      </w:r>
      <w:proofErr w:type="gramEnd"/>
      <w:r>
        <w:t xml:space="preserve"> requires businesses who wish to retain certification to report their carbon neutral claim in a publicly accessible Public Disclosure Statement which is published each reporting year on the Climate Active website.</w:t>
      </w:r>
    </w:p>
    <w:p w14:paraId="6ADE636F" w14:textId="77777777" w:rsidR="009152C3" w:rsidRDefault="009152C3" w:rsidP="00CD7C0B"/>
    <w:p w14:paraId="39DC1934" w14:textId="77777777" w:rsidR="001225D3" w:rsidRDefault="001225D3" w:rsidP="00331569">
      <w:pPr>
        <w:sectPr w:rsidR="001225D3" w:rsidSect="00AC4A4D">
          <w:type w:val="continuous"/>
          <w:pgSz w:w="11900" w:h="16840"/>
          <w:pgMar w:top="998" w:right="743" w:bottom="1933" w:left="987" w:header="284" w:footer="811" w:gutter="0"/>
          <w:cols w:space="720"/>
        </w:sectPr>
      </w:pPr>
    </w:p>
    <w:p w14:paraId="0EB822B3" w14:textId="1A29FF48" w:rsidR="00B021B3" w:rsidRPr="006F3943" w:rsidRDefault="00B021B3" w:rsidP="009940F2">
      <w:pPr>
        <w:pStyle w:val="Heading1"/>
        <w:numPr>
          <w:ilvl w:val="0"/>
          <w:numId w:val="4"/>
        </w:numPr>
        <w:spacing w:after="300"/>
        <w:rPr>
          <w:b/>
          <w:bCs/>
        </w:rPr>
      </w:pPr>
      <w:bookmarkStart w:id="173" w:name="_Toc85802342"/>
      <w:bookmarkStart w:id="174" w:name="_Toc87612588"/>
      <w:bookmarkStart w:id="175" w:name="_Toc112341032"/>
      <w:bookmarkStart w:id="176" w:name="_Toc114045805"/>
      <w:bookmarkStart w:id="177" w:name="_Toc114566211"/>
      <w:r w:rsidRPr="006F3943">
        <w:rPr>
          <w:b/>
          <w:bCs/>
          <w:noProof/>
        </w:rPr>
        <w:lastRenderedPageBreak/>
        <w:drawing>
          <wp:anchor distT="0" distB="0" distL="114300" distR="114300" simplePos="0" relativeHeight="251658249" behindDoc="1" locked="0" layoutInCell="1" allowOverlap="1" wp14:anchorId="4917DE54" wp14:editId="33B92A49">
            <wp:simplePos x="0" y="0"/>
            <wp:positionH relativeFrom="margin">
              <wp:align>right</wp:align>
            </wp:positionH>
            <wp:positionV relativeFrom="paragraph">
              <wp:posOffset>0</wp:posOffset>
            </wp:positionV>
            <wp:extent cx="1184275" cy="1205230"/>
            <wp:effectExtent l="0" t="0" r="0" b="0"/>
            <wp:wrapSquare wrapText="bothSides"/>
            <wp:docPr id="24"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on&#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l="5530" r="8588" b="23634"/>
                    <a:stretch>
                      <a:fillRect/>
                    </a:stretch>
                  </pic:blipFill>
                  <pic:spPr bwMode="auto">
                    <a:xfrm>
                      <a:off x="0" y="0"/>
                      <a:ext cx="1184275" cy="1205230"/>
                    </a:xfrm>
                    <a:prstGeom prst="rect">
                      <a:avLst/>
                    </a:prstGeom>
                    <a:noFill/>
                  </pic:spPr>
                </pic:pic>
              </a:graphicData>
            </a:graphic>
            <wp14:sizeRelH relativeFrom="page">
              <wp14:pctWidth>0</wp14:pctWidth>
            </wp14:sizeRelH>
            <wp14:sizeRelV relativeFrom="page">
              <wp14:pctHeight>0</wp14:pctHeight>
            </wp14:sizeRelV>
          </wp:anchor>
        </w:drawing>
      </w:r>
      <w:r w:rsidRPr="006F3943">
        <w:rPr>
          <w:b/>
          <w:bCs/>
        </w:rPr>
        <w:t>Step 3 – Identify and implement controls to minimise risks arising from GHG emissions</w:t>
      </w:r>
      <w:bookmarkEnd w:id="173"/>
      <w:bookmarkEnd w:id="174"/>
      <w:bookmarkEnd w:id="175"/>
      <w:bookmarkEnd w:id="176"/>
      <w:bookmarkEnd w:id="177"/>
      <w:r w:rsidRPr="006F3943">
        <w:rPr>
          <w:b/>
          <w:bCs/>
        </w:rPr>
        <w:t xml:space="preserve"> </w:t>
      </w:r>
      <w:bookmarkStart w:id="178" w:name="_Toc85802343"/>
      <w:bookmarkEnd w:id="178"/>
    </w:p>
    <w:p w14:paraId="47FC8C9A" w14:textId="43E890E9" w:rsidR="00F52021" w:rsidRDefault="00F52021" w:rsidP="000750C6">
      <w:pPr>
        <w:pStyle w:val="Heading2"/>
      </w:pPr>
      <w:bookmarkStart w:id="179" w:name="_Toc85802345"/>
      <w:bookmarkStart w:id="180" w:name="_Toc87612589"/>
      <w:bookmarkStart w:id="181" w:name="_Toc112341033"/>
      <w:bookmarkStart w:id="182" w:name="_Toc114045806"/>
      <w:bookmarkStart w:id="183" w:name="_Toc114566212"/>
      <w:r>
        <w:t>5.1</w:t>
      </w:r>
      <w:r>
        <w:tab/>
        <w:t>GHG emission control options</w:t>
      </w:r>
      <w:bookmarkEnd w:id="179"/>
      <w:bookmarkEnd w:id="180"/>
      <w:bookmarkEnd w:id="181"/>
      <w:bookmarkEnd w:id="182"/>
      <w:bookmarkEnd w:id="183"/>
      <w:r>
        <w:t xml:space="preserve"> </w:t>
      </w:r>
    </w:p>
    <w:p w14:paraId="3EAABF25" w14:textId="69969095" w:rsidR="00F52021" w:rsidRDefault="00F52021" w:rsidP="00F52021">
      <w:r>
        <w:t xml:space="preserve">EPA’s risk management framework includes a hierarchy of risk controls. Options for controlling risk are prioritised from the highest level of effectiveness to the lowest, as shown in </w:t>
      </w:r>
      <w:r>
        <w:fldChar w:fldCharType="begin"/>
      </w:r>
      <w:r>
        <w:instrText xml:space="preserve"> REF _Ref89090751 \h  \* MERGEFORMAT </w:instrText>
      </w:r>
      <w:r>
        <w:fldChar w:fldCharType="separate"/>
      </w:r>
      <w:r>
        <w:t xml:space="preserve">Figure </w:t>
      </w:r>
      <w:r>
        <w:rPr>
          <w:noProof/>
        </w:rPr>
        <w:t>2</w:t>
      </w:r>
      <w:r>
        <w:fldChar w:fldCharType="end"/>
      </w:r>
      <w:r>
        <w:t>. Controls are placed in</w:t>
      </w:r>
      <w:r w:rsidR="001D096B">
        <w:t>to</w:t>
      </w:r>
      <w:r>
        <w:t xml:space="preserve"> three categories. Together, these elements create a ‘hierarchy’ of risk control standards. Further information on the hierarchy of controls is provided in EPA publication 1695</w:t>
      </w:r>
      <w:r w:rsidR="007C41CF">
        <w:t>-1</w:t>
      </w:r>
      <w:r>
        <w:t>.</w:t>
      </w:r>
    </w:p>
    <w:p w14:paraId="4451BD25" w14:textId="41B79403" w:rsidR="00455EF2" w:rsidRDefault="00FD60D3" w:rsidP="00F52021">
      <w:r>
        <w:rPr>
          <w:noProof/>
        </w:rPr>
        <w:drawing>
          <wp:inline distT="0" distB="0" distL="0" distR="0" wp14:anchorId="1D4A28A3" wp14:editId="1D2EFF36">
            <wp:extent cx="6120765" cy="2505710"/>
            <wp:effectExtent l="0" t="0" r="0" b="8890"/>
            <wp:docPr id="25" name="Picture 25" descr="Figure 2 is an image of the hierarchy of controlling hazards and risks. Eliminating the hazard is the most effective followed by substitute the hazard and engineering controls. The least effective is administrative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2 is an image of the hierarchy of controlling hazards and risks. Eliminating the hazard is the most effective followed by substitute the hazard and engineering controls. The least effective is administrative control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2505710"/>
                    </a:xfrm>
                    <a:prstGeom prst="rect">
                      <a:avLst/>
                    </a:prstGeom>
                    <a:noFill/>
                  </pic:spPr>
                </pic:pic>
              </a:graphicData>
            </a:graphic>
          </wp:inline>
        </w:drawing>
      </w:r>
    </w:p>
    <w:p w14:paraId="5D935FC1" w14:textId="77777777" w:rsidR="00EC6D80" w:rsidRPr="007A631C" w:rsidRDefault="00EC6D80" w:rsidP="007A631C">
      <w:pPr>
        <w:pStyle w:val="Caption"/>
        <w:rPr>
          <w:rFonts w:ascii="VIC" w:hAnsi="VIC"/>
          <w:color w:val="005FB4"/>
        </w:rPr>
      </w:pPr>
      <w:bookmarkStart w:id="184" w:name="_Ref89090751"/>
      <w:r w:rsidRPr="007A631C">
        <w:rPr>
          <w:rFonts w:ascii="VIC" w:hAnsi="VIC"/>
          <w:color w:val="005FB4"/>
        </w:rPr>
        <w:t xml:space="preserve">Figure </w:t>
      </w:r>
      <w:r w:rsidRPr="007A631C">
        <w:rPr>
          <w:rFonts w:ascii="VIC" w:hAnsi="VIC"/>
          <w:color w:val="005FB4"/>
        </w:rPr>
        <w:fldChar w:fldCharType="begin"/>
      </w:r>
      <w:r w:rsidRPr="007A631C">
        <w:rPr>
          <w:rFonts w:ascii="VIC" w:hAnsi="VIC"/>
          <w:color w:val="005FB4"/>
        </w:rPr>
        <w:instrText>SEQ Figure \* ARABIC</w:instrText>
      </w:r>
      <w:r w:rsidRPr="007A631C">
        <w:rPr>
          <w:rFonts w:ascii="VIC" w:hAnsi="VIC"/>
          <w:color w:val="005FB4"/>
        </w:rPr>
        <w:fldChar w:fldCharType="separate"/>
      </w:r>
      <w:r w:rsidRPr="007A631C">
        <w:rPr>
          <w:rFonts w:ascii="VIC" w:hAnsi="VIC"/>
          <w:color w:val="005FB4"/>
        </w:rPr>
        <w:t>2</w:t>
      </w:r>
      <w:r w:rsidRPr="007A631C">
        <w:rPr>
          <w:rFonts w:ascii="VIC" w:hAnsi="VIC"/>
          <w:color w:val="005FB4"/>
        </w:rPr>
        <w:fldChar w:fldCharType="end"/>
      </w:r>
      <w:bookmarkEnd w:id="184"/>
      <w:r w:rsidRPr="007A631C">
        <w:rPr>
          <w:rFonts w:ascii="VIC" w:hAnsi="VIC"/>
          <w:color w:val="005FB4"/>
        </w:rPr>
        <w:t>: Hierarchy of controlling hazards and risks</w:t>
      </w:r>
    </w:p>
    <w:p w14:paraId="3CB6F252" w14:textId="77777777" w:rsidR="00E001CA" w:rsidRDefault="00E001CA" w:rsidP="00E001CA">
      <w:r>
        <w:t>Application of the control hierarchy and assessment of risk controls is a dynamic process. It should be done regularly to identify whether control measures continue to minimise risk so far as reasonably practicable.</w:t>
      </w:r>
    </w:p>
    <w:p w14:paraId="517B1605" w14:textId="77777777" w:rsidR="00E001CA" w:rsidRDefault="00E001CA" w:rsidP="00E001CA">
      <w:pPr>
        <w:rPr>
          <w:rFonts w:eastAsia="MS Mincho"/>
          <w:lang w:eastAsia="ja-JP"/>
        </w:rPr>
      </w:pPr>
      <w:r>
        <w:rPr>
          <w:lang w:eastAsia="ja-JP"/>
        </w:rPr>
        <w:t xml:space="preserve">A key consideration when reviewing risks is whether you can improve current risk controls by adopting controls that are higher on the control hierarchy. </w:t>
      </w:r>
      <w:r>
        <w:t xml:space="preserve">Eliminating the hazard is the highest level of risk control and this should be given the highest consideration. Then </w:t>
      </w:r>
      <w:r>
        <w:rPr>
          <w:lang w:eastAsia="ja-JP"/>
        </w:rPr>
        <w:t xml:space="preserve">you should consider substituting or controlling the hazard (often achieved by engineering controls such as energy efficient lighting) and then administrative controls. </w:t>
      </w:r>
    </w:p>
    <w:p w14:paraId="7A089CAC" w14:textId="11D35134" w:rsidR="00E001CA" w:rsidRDefault="00E001CA" w:rsidP="00E001CA">
      <w:r>
        <w:rPr>
          <w:lang w:eastAsia="ja-JP"/>
        </w:rPr>
        <w:t xml:space="preserve">The following </w:t>
      </w:r>
      <w:r w:rsidR="00114179">
        <w:rPr>
          <w:lang w:eastAsia="ja-JP"/>
        </w:rPr>
        <w:t>Section</w:t>
      </w:r>
      <w:r>
        <w:rPr>
          <w:lang w:eastAsia="ja-JP"/>
        </w:rPr>
        <w:t xml:space="preserve">s provide examples of risk controls for GHG emissions. However, the suitability of different options and risk control measures needed to meet your obligations under the GED (refer to </w:t>
      </w:r>
      <w:r w:rsidR="00114179">
        <w:rPr>
          <w:lang w:eastAsia="ja-JP"/>
        </w:rPr>
        <w:t>Section</w:t>
      </w:r>
      <w:r>
        <w:rPr>
          <w:lang w:eastAsia="ja-JP"/>
        </w:rPr>
        <w:t xml:space="preserve"> 1.3) will depend on your specific circumstances. </w:t>
      </w:r>
      <w:r>
        <w:t xml:space="preserve">It is your responsibility to understand your risks and the right approach to minimise them, see </w:t>
      </w:r>
      <w:hyperlink r:id="rId55" w:history="1">
        <w:r>
          <w:rPr>
            <w:rStyle w:val="Hyperlink"/>
          </w:rPr>
          <w:t>Reasonably practicable</w:t>
        </w:r>
      </w:hyperlink>
      <w:r>
        <w:t xml:space="preserve"> (publication 1856). </w:t>
      </w:r>
    </w:p>
    <w:p w14:paraId="376F710A" w14:textId="77777777" w:rsidR="00E001CA" w:rsidRDefault="00E001CA" w:rsidP="00E001CA">
      <w:r>
        <w:t>Guidance from industry associations can help you find common, effective practices and controls specific to your industry. For example, businesses from different agricultural sectors can find controls for their sector in relevant codes and guidelines.</w:t>
      </w:r>
      <w:r w:rsidRPr="00EC67EA">
        <w:t xml:space="preserve"> </w:t>
      </w:r>
    </w:p>
    <w:p w14:paraId="49505E87" w14:textId="2C4CBEA0" w:rsidR="00E001CA" w:rsidRDefault="00E001CA" w:rsidP="00E001CA">
      <w:r>
        <w:lastRenderedPageBreak/>
        <w:t>In some circumstances</w:t>
      </w:r>
      <w:r w:rsidR="00BA6BF0">
        <w:t>,</w:t>
      </w:r>
      <w:r>
        <w:t xml:space="preserve"> minimising GHG emissions could lead to other impacts on the environment (for example, an increase in other air emissions or reduction in water quality). Some options may simply result in a transfer of the GHG emissions elsewhere, particularly outside of Victoria. </w:t>
      </w:r>
    </w:p>
    <w:p w14:paraId="2B474F57" w14:textId="77777777" w:rsidR="00E001CA" w:rsidRDefault="00E001CA" w:rsidP="00E001CA">
      <w:r>
        <w:t xml:space="preserve">The risk control measures you select should seek to eliminate or reduce risk of harm overall. </w:t>
      </w:r>
      <w:r w:rsidRPr="00112493">
        <w:t>That is, measures that reduce GHG emissions should not be adopted if they result in a net increase of overall risk of harm.</w:t>
      </w:r>
    </w:p>
    <w:p w14:paraId="69BB7E77" w14:textId="60D4C462" w:rsidR="00E001CA" w:rsidRDefault="00E001CA" w:rsidP="000D09D5">
      <w:pPr>
        <w:pStyle w:val="Heading2"/>
      </w:pPr>
      <w:bookmarkStart w:id="185" w:name="_Toc85798812"/>
      <w:bookmarkStart w:id="186" w:name="_Toc85802346"/>
      <w:bookmarkStart w:id="187" w:name="_Toc85802440"/>
      <w:bookmarkStart w:id="188" w:name="_Toc85802817"/>
      <w:bookmarkStart w:id="189" w:name="_Toc85802997"/>
      <w:bookmarkStart w:id="190" w:name="_Toc85802347"/>
      <w:bookmarkStart w:id="191" w:name="_Toc87612590"/>
      <w:bookmarkStart w:id="192" w:name="_Toc114045807"/>
      <w:bookmarkStart w:id="193" w:name="_Toc114046116"/>
      <w:bookmarkStart w:id="194" w:name="_Toc114566213"/>
      <w:bookmarkEnd w:id="185"/>
      <w:bookmarkEnd w:id="186"/>
      <w:bookmarkEnd w:id="187"/>
      <w:bookmarkEnd w:id="188"/>
      <w:bookmarkEnd w:id="189"/>
      <w:r>
        <w:t>5.1.1</w:t>
      </w:r>
      <w:r>
        <w:tab/>
        <w:t>Eliminate the hazard</w:t>
      </w:r>
      <w:bookmarkEnd w:id="190"/>
      <w:bookmarkEnd w:id="191"/>
      <w:bookmarkEnd w:id="192"/>
      <w:bookmarkEnd w:id="193"/>
      <w:bookmarkEnd w:id="194"/>
      <w:r>
        <w:t xml:space="preserve"> </w:t>
      </w:r>
    </w:p>
    <w:p w14:paraId="58EF8E78" w14:textId="77777777" w:rsidR="00E001CA" w:rsidRDefault="00E001CA" w:rsidP="00E001CA">
      <w:r>
        <w:t>Eliminating the risk of harm is the highest level of risk control and is legally required so far as reasonably practicable. Start by considering how you can eliminate the risks so far as reasonably practicable. You should be able to demonstrate if/how elimination of the hazard was considered in your decision making.</w:t>
      </w:r>
    </w:p>
    <w:p w14:paraId="7939795E" w14:textId="6A7A831B" w:rsidR="00E001CA" w:rsidRDefault="00E001CA" w:rsidP="00E001CA">
      <w:r>
        <w:t xml:space="preserve">Eliminating the risk means avoiding generating </w:t>
      </w:r>
      <w:r w:rsidR="007D792C">
        <w:t>Scope 1</w:t>
      </w:r>
      <w:r>
        <w:t xml:space="preserve"> GHG emissions or causing the generation of </w:t>
      </w:r>
      <w:r w:rsidR="007D792C">
        <w:t>Scope 2</w:t>
      </w:r>
      <w:r>
        <w:t xml:space="preserve"> and/or </w:t>
      </w:r>
      <w:r w:rsidR="007D792C">
        <w:t>Scope 3</w:t>
      </w:r>
      <w:r>
        <w:t xml:space="preserve"> GHG emissions </w:t>
      </w:r>
      <w:r w:rsidRPr="004C36BC">
        <w:t xml:space="preserve">to the extent it is reasonably practicable to do so. </w:t>
      </w:r>
    </w:p>
    <w:p w14:paraId="2CF1FAF1" w14:textId="77777777" w:rsidR="00E001CA" w:rsidRDefault="00E001CA" w:rsidP="00E001CA">
      <w:r>
        <w:t>Circular economy principles (that reduce the need to manufacture or mine raw materials avoiding the associated GHG emissions) and net zero principles in designing new buildings are examples of how GHG emissions can be avoided.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57" w:type="dxa"/>
          <w:bottom w:w="113" w:type="dxa"/>
          <w:right w:w="57" w:type="dxa"/>
        </w:tblCellMar>
        <w:tblLook w:val="0620" w:firstRow="1" w:lastRow="0" w:firstColumn="0" w:lastColumn="0" w:noHBand="1" w:noVBand="1"/>
        <w:tblCaption w:val="What is a circular economy"/>
        <w:tblDescription w:val="The text box explains what a circular economy is and that the Victorian Government has a circular economy policy called Recycling Victoria."/>
      </w:tblPr>
      <w:tblGrid>
        <w:gridCol w:w="10157"/>
      </w:tblGrid>
      <w:tr w:rsidR="00AB4181" w14:paraId="39E5859A" w14:textId="77777777" w:rsidTr="00734C4E">
        <w:tc>
          <w:tcPr>
            <w:tcW w:w="9608" w:type="dxa"/>
            <w:shd w:val="clear" w:color="auto" w:fill="auto"/>
            <w:vAlign w:val="center"/>
            <w:hideMark/>
          </w:tcPr>
          <w:p w14:paraId="65662EC6" w14:textId="77777777" w:rsidR="00AB4181" w:rsidRPr="00460771" w:rsidRDefault="00AB4181" w:rsidP="00460771">
            <w:pPr>
              <w:pStyle w:val="PulloutText"/>
              <w:rPr>
                <w:rFonts w:ascii="VIC" w:hAnsi="VIC"/>
                <w:b/>
                <w:bCs/>
                <w:color w:val="005FB4"/>
                <w:sz w:val="20"/>
                <w:szCs w:val="20"/>
              </w:rPr>
            </w:pPr>
            <w:r w:rsidRPr="00460771">
              <w:rPr>
                <w:rFonts w:ascii="VIC" w:hAnsi="VIC"/>
                <w:b/>
                <w:bCs/>
                <w:color w:val="005FB4"/>
                <w:sz w:val="20"/>
                <w:szCs w:val="20"/>
              </w:rPr>
              <w:t>What is a circular economy?</w:t>
            </w:r>
          </w:p>
          <w:p w14:paraId="1C1D5027" w14:textId="77777777" w:rsidR="00AB4181" w:rsidRPr="00AB4181" w:rsidRDefault="00AB4181">
            <w:pPr>
              <w:pStyle w:val="TableText"/>
              <w:spacing w:line="256" w:lineRule="auto"/>
              <w:rPr>
                <w:rFonts w:ascii="VIC" w:hAnsi="VIC"/>
                <w:sz w:val="20"/>
                <w:szCs w:val="20"/>
              </w:rPr>
            </w:pPr>
            <w:r w:rsidRPr="00AB4181">
              <w:rPr>
                <w:rFonts w:ascii="VIC" w:hAnsi="VIC"/>
                <w:sz w:val="20"/>
                <w:szCs w:val="20"/>
              </w:rPr>
              <w:t xml:space="preserve">A circular economy continually seeks to reduce the environmental impacts of production and consumption while enabling economic growth through more productive use of natural resources. It allows us to avoid waste with good design and effective recovery of materials that can be reused. It promotes more efficient business models that encourage intense and efficient product use, such as sharing products between multiple users or supplying a product as a service that includes maintenance, </w:t>
            </w:r>
            <w:proofErr w:type="gramStart"/>
            <w:r w:rsidRPr="00AB4181">
              <w:rPr>
                <w:rFonts w:ascii="VIC" w:hAnsi="VIC"/>
                <w:sz w:val="20"/>
                <w:szCs w:val="20"/>
              </w:rPr>
              <w:t>repair</w:t>
            </w:r>
            <w:proofErr w:type="gramEnd"/>
            <w:r w:rsidRPr="00AB4181">
              <w:rPr>
                <w:rFonts w:ascii="VIC" w:hAnsi="VIC"/>
                <w:sz w:val="20"/>
                <w:szCs w:val="20"/>
              </w:rPr>
              <w:t xml:space="preserve"> and disposal. </w:t>
            </w:r>
          </w:p>
          <w:p w14:paraId="2B98A310" w14:textId="77777777" w:rsidR="00AB4181" w:rsidRPr="00AB4181" w:rsidRDefault="00AB4181">
            <w:pPr>
              <w:pStyle w:val="TableText"/>
              <w:spacing w:line="256" w:lineRule="auto"/>
              <w:rPr>
                <w:rFonts w:ascii="VIC" w:hAnsi="VIC"/>
                <w:sz w:val="20"/>
                <w:szCs w:val="20"/>
              </w:rPr>
            </w:pPr>
            <w:r w:rsidRPr="00AB4181">
              <w:rPr>
                <w:rFonts w:ascii="VIC" w:hAnsi="VIC"/>
                <w:sz w:val="20"/>
                <w:szCs w:val="20"/>
              </w:rPr>
              <w:t xml:space="preserve">The Victorian Government has a circular economy policy and action plan, </w:t>
            </w:r>
            <w:r w:rsidRPr="00AB4181">
              <w:rPr>
                <w:rFonts w:ascii="VIC" w:hAnsi="VIC"/>
                <w:i/>
                <w:iCs/>
                <w:sz w:val="20"/>
                <w:szCs w:val="20"/>
              </w:rPr>
              <w:t>Recycling Victoria, a new economy</w:t>
            </w:r>
            <w:r w:rsidRPr="00AB4181">
              <w:rPr>
                <w:rFonts w:ascii="VIC" w:hAnsi="VIC"/>
                <w:sz w:val="20"/>
                <w:szCs w:val="20"/>
              </w:rPr>
              <w:t xml:space="preserve">, available at </w:t>
            </w:r>
            <w:hyperlink r:id="rId56" w:history="1">
              <w:r w:rsidRPr="00AB4181">
                <w:rPr>
                  <w:rStyle w:val="Hyperlink"/>
                  <w:rFonts w:ascii="VIC" w:hAnsi="VIC"/>
                  <w:szCs w:val="20"/>
                </w:rPr>
                <w:t>www.vic.gov.au/recycling</w:t>
              </w:r>
            </w:hyperlink>
            <w:r w:rsidRPr="00AB4181">
              <w:rPr>
                <w:rFonts w:ascii="VIC" w:hAnsi="VIC"/>
                <w:sz w:val="20"/>
                <w:szCs w:val="20"/>
              </w:rPr>
              <w:t xml:space="preserve">.  </w:t>
            </w:r>
          </w:p>
          <w:p w14:paraId="19B46DD0" w14:textId="77777777" w:rsidR="00AB4181" w:rsidRDefault="00AB4181">
            <w:pPr>
              <w:pStyle w:val="TableText"/>
              <w:spacing w:line="256" w:lineRule="auto"/>
            </w:pPr>
            <w:r w:rsidRPr="00AB4181">
              <w:rPr>
                <w:rFonts w:ascii="VIC" w:hAnsi="VIC"/>
                <w:sz w:val="20"/>
                <w:szCs w:val="20"/>
              </w:rPr>
              <w:t>In the water sector, GHG emissions can be reduced by capturing biogases from the sewage treatment process to generate renewable electricity.</w:t>
            </w:r>
          </w:p>
        </w:tc>
      </w:tr>
    </w:tbl>
    <w:p w14:paraId="4FA96188" w14:textId="77777777" w:rsidR="009152C3" w:rsidRDefault="009152C3" w:rsidP="00331569"/>
    <w:p w14:paraId="58C6903A" w14:textId="09106B74" w:rsidR="00A71453" w:rsidRDefault="00A71453" w:rsidP="00A71453">
      <w:pPr>
        <w:pStyle w:val="BodyText"/>
        <w:keepNext/>
      </w:pPr>
      <w:r>
        <w:t xml:space="preserve">Examples of </w:t>
      </w:r>
      <w:r w:rsidRPr="000B1381">
        <w:t xml:space="preserve">ways businesses might eliminate risks of harm from </w:t>
      </w:r>
      <w:r>
        <w:t>GHG emissions using circular economy principles</w:t>
      </w:r>
      <w:r w:rsidR="009769EC">
        <w:rPr>
          <w:rStyle w:val="FootnoteReference"/>
        </w:rPr>
        <w:footnoteReference w:customMarkFollows="1" w:id="10"/>
        <w:t>10</w:t>
      </w:r>
      <w:r>
        <w:t xml:space="preserve"> include:</w:t>
      </w:r>
    </w:p>
    <w:p w14:paraId="5497DE6E" w14:textId="77777777" w:rsidR="00A71453" w:rsidRPr="00B11989" w:rsidRDefault="00A71453" w:rsidP="009940F2">
      <w:pPr>
        <w:pStyle w:val="ListBullet0"/>
        <w:rPr>
          <w:rFonts w:ascii="VIC" w:hAnsi="VIC"/>
          <w:sz w:val="20"/>
          <w:szCs w:val="20"/>
        </w:rPr>
      </w:pPr>
      <w:r w:rsidRPr="00B11989">
        <w:rPr>
          <w:rFonts w:ascii="VIC" w:hAnsi="VIC"/>
          <w:sz w:val="20"/>
          <w:szCs w:val="20"/>
        </w:rPr>
        <w:t xml:space="preserve">designing out waste through material efficiency (to reduce raw material requirements) and optimising supply chains (to reduce waste generation) </w:t>
      </w:r>
    </w:p>
    <w:p w14:paraId="613D083D" w14:textId="77777777" w:rsidR="00A71453" w:rsidRPr="00B11989" w:rsidRDefault="00A71453" w:rsidP="009940F2">
      <w:pPr>
        <w:pStyle w:val="ListBullet0"/>
        <w:rPr>
          <w:rFonts w:ascii="VIC" w:hAnsi="VIC"/>
          <w:sz w:val="20"/>
          <w:szCs w:val="20"/>
        </w:rPr>
      </w:pPr>
      <w:r w:rsidRPr="00B11989">
        <w:rPr>
          <w:rFonts w:ascii="VIC" w:hAnsi="VIC"/>
          <w:sz w:val="20"/>
          <w:szCs w:val="20"/>
        </w:rPr>
        <w:t>reducing energy consumption across the supply chain</w:t>
      </w:r>
    </w:p>
    <w:p w14:paraId="7D71E3AC" w14:textId="77777777" w:rsidR="00A71453" w:rsidRPr="00B11989" w:rsidRDefault="00A71453" w:rsidP="009940F2">
      <w:pPr>
        <w:pStyle w:val="ListBullet0"/>
        <w:rPr>
          <w:rFonts w:ascii="VIC" w:hAnsi="VIC"/>
          <w:sz w:val="20"/>
          <w:szCs w:val="20"/>
        </w:rPr>
      </w:pPr>
      <w:r w:rsidRPr="00B11989">
        <w:rPr>
          <w:rFonts w:ascii="VIC" w:hAnsi="VIC"/>
          <w:sz w:val="20"/>
          <w:szCs w:val="20"/>
        </w:rPr>
        <w:lastRenderedPageBreak/>
        <w:t>material substitution using renewable, low carbon, or secondary materials as alternative inputs to new production</w:t>
      </w:r>
    </w:p>
    <w:p w14:paraId="153843AF" w14:textId="77777777" w:rsidR="00A71453" w:rsidRPr="00B11989" w:rsidRDefault="00A71453" w:rsidP="009940F2">
      <w:pPr>
        <w:pStyle w:val="ListBullet0"/>
        <w:rPr>
          <w:rFonts w:ascii="VIC" w:hAnsi="VIC"/>
          <w:sz w:val="20"/>
          <w:szCs w:val="20"/>
        </w:rPr>
      </w:pPr>
      <w:r w:rsidRPr="00B11989">
        <w:rPr>
          <w:rFonts w:ascii="VIC" w:hAnsi="VIC"/>
          <w:sz w:val="20"/>
          <w:szCs w:val="20"/>
        </w:rPr>
        <w:t xml:space="preserve">reusing products and components, minimising GHG emissions associated with new material production </w:t>
      </w:r>
    </w:p>
    <w:p w14:paraId="2A895057" w14:textId="77777777" w:rsidR="00A71453" w:rsidRPr="00B11989" w:rsidRDefault="00A71453" w:rsidP="009940F2">
      <w:pPr>
        <w:pStyle w:val="ListBullet0"/>
        <w:rPr>
          <w:rFonts w:ascii="VIC" w:hAnsi="VIC"/>
          <w:sz w:val="20"/>
          <w:szCs w:val="20"/>
        </w:rPr>
      </w:pPr>
      <w:r w:rsidRPr="00B11989">
        <w:rPr>
          <w:rFonts w:ascii="VIC" w:hAnsi="VIC"/>
          <w:sz w:val="20"/>
          <w:szCs w:val="20"/>
        </w:rPr>
        <w:t>recirculating materials including recycling and recovery of waste instead of sending it to landfill (reducing the generation of methane emissions).</w:t>
      </w:r>
    </w:p>
    <w:p w14:paraId="70DBE32F" w14:textId="77777777" w:rsidR="00A71453" w:rsidRDefault="00A71453" w:rsidP="00B20577">
      <w:r>
        <w:t>If it is not reasonably practicable to eliminate the risks, you must reduce them so far as reasonably practicable.</w:t>
      </w:r>
    </w:p>
    <w:p w14:paraId="3EA76A26" w14:textId="10A73A8A" w:rsidR="00A71453" w:rsidRDefault="00CB7593" w:rsidP="000D09D5">
      <w:pPr>
        <w:pStyle w:val="Heading2"/>
      </w:pPr>
      <w:bookmarkStart w:id="195" w:name="_Toc85802348"/>
      <w:bookmarkStart w:id="196" w:name="_Toc87612591"/>
      <w:bookmarkStart w:id="197" w:name="_Toc114045808"/>
      <w:bookmarkStart w:id="198" w:name="_Toc114046117"/>
      <w:bookmarkStart w:id="199" w:name="_Toc114566214"/>
      <w:r>
        <w:t>5.1.2</w:t>
      </w:r>
      <w:r>
        <w:tab/>
      </w:r>
      <w:r w:rsidR="00A71453">
        <w:t>Reduce the risks: substitute the hazard/engineering controls</w:t>
      </w:r>
      <w:bookmarkStart w:id="200" w:name="_Toc85802349"/>
      <w:bookmarkEnd w:id="195"/>
      <w:bookmarkEnd w:id="196"/>
      <w:bookmarkEnd w:id="197"/>
      <w:bookmarkEnd w:id="198"/>
      <w:bookmarkEnd w:id="199"/>
      <w:bookmarkEnd w:id="200"/>
    </w:p>
    <w:p w14:paraId="37A0192F" w14:textId="77777777" w:rsidR="00A71453" w:rsidRDefault="00A71453" w:rsidP="00A25983">
      <w:r>
        <w:t>When it is not reasonably practicable to eliminate the risk,</w:t>
      </w:r>
      <w:r w:rsidRPr="00FE3B79">
        <w:t xml:space="preserve"> </w:t>
      </w:r>
      <w:r>
        <w:t>the next preferred option is to substitute the hazard by replacing the cause of the emissions with something safer, or by using engineering controls.</w:t>
      </w:r>
    </w:p>
    <w:p w14:paraId="13F2F0B3" w14:textId="77777777" w:rsidR="00A71453" w:rsidRDefault="00A71453" w:rsidP="00A25983">
      <w:r>
        <w:t>Examples of substituting the hazard include:</w:t>
      </w:r>
    </w:p>
    <w:p w14:paraId="6A08C796"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switching to refrigeration systems that use natural refrigerants </w:t>
      </w:r>
    </w:p>
    <w:p w14:paraId="6DDDA70C" w14:textId="77777777" w:rsidR="00A71453" w:rsidRPr="009841BB" w:rsidRDefault="00A71453" w:rsidP="009940F2">
      <w:pPr>
        <w:pStyle w:val="ListBullet0"/>
        <w:rPr>
          <w:rFonts w:ascii="VIC" w:hAnsi="VIC"/>
          <w:sz w:val="20"/>
          <w:szCs w:val="20"/>
        </w:rPr>
      </w:pPr>
      <w:r w:rsidRPr="009841BB">
        <w:rPr>
          <w:rFonts w:ascii="VIC" w:hAnsi="VIC"/>
          <w:sz w:val="20"/>
          <w:szCs w:val="20"/>
        </w:rPr>
        <w:t>electrifying processes (for example, switching from coal and gas to electrical heating such as industrial heat pumps) and using renewable energy</w:t>
      </w:r>
    </w:p>
    <w:p w14:paraId="6B5E643A" w14:textId="77777777" w:rsidR="00A71453" w:rsidRPr="009841BB" w:rsidRDefault="00A71453" w:rsidP="009940F2">
      <w:pPr>
        <w:pStyle w:val="ListBullet0"/>
        <w:rPr>
          <w:rFonts w:ascii="VIC" w:hAnsi="VIC"/>
          <w:sz w:val="20"/>
          <w:szCs w:val="20"/>
        </w:rPr>
      </w:pPr>
      <w:r w:rsidRPr="009841BB">
        <w:rPr>
          <w:rFonts w:ascii="VIC" w:hAnsi="VIC"/>
          <w:sz w:val="20"/>
          <w:szCs w:val="20"/>
        </w:rPr>
        <w:t>substituting natural gas with biogas</w:t>
      </w:r>
    </w:p>
    <w:p w14:paraId="1F38026D" w14:textId="77777777" w:rsidR="00A71453" w:rsidRPr="009841BB" w:rsidRDefault="00A71453" w:rsidP="009940F2">
      <w:pPr>
        <w:pStyle w:val="ListBullet0"/>
        <w:rPr>
          <w:rFonts w:ascii="VIC" w:hAnsi="VIC"/>
          <w:sz w:val="20"/>
          <w:szCs w:val="20"/>
        </w:rPr>
      </w:pPr>
      <w:r w:rsidRPr="009841BB">
        <w:rPr>
          <w:rFonts w:ascii="VIC" w:hAnsi="VIC"/>
          <w:sz w:val="20"/>
          <w:szCs w:val="20"/>
        </w:rPr>
        <w:t>using renewable hydrogen to replace fossil fuels</w:t>
      </w:r>
    </w:p>
    <w:p w14:paraId="42C1E517" w14:textId="77777777" w:rsidR="00A71453" w:rsidRPr="009841BB" w:rsidRDefault="00A71453" w:rsidP="009940F2">
      <w:pPr>
        <w:pStyle w:val="ListBullet0"/>
        <w:rPr>
          <w:rFonts w:ascii="VIC" w:hAnsi="VIC"/>
          <w:sz w:val="20"/>
          <w:szCs w:val="20"/>
        </w:rPr>
      </w:pPr>
      <w:r w:rsidRPr="009841BB">
        <w:rPr>
          <w:rFonts w:ascii="VIC" w:hAnsi="VIC"/>
          <w:sz w:val="20"/>
          <w:szCs w:val="20"/>
        </w:rPr>
        <w:t>switching from internal combustion engines to electric vehicles.</w:t>
      </w:r>
    </w:p>
    <w:p w14:paraId="237E86DD" w14:textId="5B141AE0" w:rsidR="00A71453" w:rsidRDefault="00A71453" w:rsidP="00A25983">
      <w:r>
        <w:t xml:space="preserve">Engineering controls are physical controls for a risk. Options for engineering controls to reduce </w:t>
      </w:r>
      <w:r w:rsidR="007D792C">
        <w:t>Scope 1</w:t>
      </w:r>
      <w:r>
        <w:t xml:space="preserve"> GHG emissions may include:</w:t>
      </w:r>
    </w:p>
    <w:p w14:paraId="48088827" w14:textId="77777777" w:rsidR="00A71453" w:rsidRPr="009841BB" w:rsidRDefault="00A71453" w:rsidP="009940F2">
      <w:pPr>
        <w:pStyle w:val="ListBullet0"/>
        <w:rPr>
          <w:rFonts w:ascii="VIC" w:hAnsi="VIC"/>
          <w:sz w:val="20"/>
          <w:szCs w:val="20"/>
        </w:rPr>
      </w:pPr>
      <w:r w:rsidRPr="009841BB">
        <w:rPr>
          <w:rFonts w:ascii="VIC" w:hAnsi="VIC"/>
          <w:sz w:val="20"/>
          <w:szCs w:val="20"/>
        </w:rPr>
        <w:t>capturing methane gas from landfill and waste processing facilities to produce heat and electricity</w:t>
      </w:r>
    </w:p>
    <w:p w14:paraId="0A5C1F08"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improving operational practices around venting and flaring to minimise fugitive emissions in oil and gas production </w:t>
      </w:r>
    </w:p>
    <w:p w14:paraId="0B1F27BD" w14:textId="77777777" w:rsidR="00A71453" w:rsidRPr="009841BB" w:rsidRDefault="00A71453" w:rsidP="009940F2">
      <w:pPr>
        <w:pStyle w:val="ListBullet0"/>
        <w:rPr>
          <w:rFonts w:ascii="VIC" w:hAnsi="VIC"/>
          <w:sz w:val="20"/>
          <w:szCs w:val="20"/>
        </w:rPr>
      </w:pPr>
      <w:r w:rsidRPr="009841BB">
        <w:rPr>
          <w:rFonts w:ascii="VIC" w:hAnsi="VIC"/>
          <w:sz w:val="20"/>
          <w:szCs w:val="20"/>
        </w:rPr>
        <w:t>introducing feed-based strategies to reduce GHG emissions on farms.</w:t>
      </w:r>
    </w:p>
    <w:p w14:paraId="4544291E" w14:textId="45123648" w:rsidR="00A71453" w:rsidRPr="009841BB" w:rsidRDefault="00A71453" w:rsidP="00BE6F6B">
      <w:r w:rsidRPr="009841BB">
        <w:t xml:space="preserve">Options for engineering controls to reduce </w:t>
      </w:r>
      <w:r w:rsidR="007D792C">
        <w:t>Scope 2</w:t>
      </w:r>
      <w:r w:rsidRPr="009841BB">
        <w:t xml:space="preserve"> GHG emissions may include:</w:t>
      </w:r>
    </w:p>
    <w:p w14:paraId="62EA4B39" w14:textId="77777777" w:rsidR="00A71453" w:rsidRPr="009841BB" w:rsidRDefault="00A71453" w:rsidP="009940F2">
      <w:pPr>
        <w:pStyle w:val="ListBullet0"/>
        <w:rPr>
          <w:rFonts w:ascii="VIC" w:hAnsi="VIC"/>
          <w:sz w:val="20"/>
          <w:szCs w:val="20"/>
        </w:rPr>
      </w:pPr>
      <w:r w:rsidRPr="009841BB">
        <w:rPr>
          <w:rFonts w:ascii="VIC" w:hAnsi="VIC"/>
          <w:sz w:val="20"/>
          <w:szCs w:val="20"/>
        </w:rPr>
        <w:t>designing and manufacturing energy-efficient equipment</w:t>
      </w:r>
    </w:p>
    <w:p w14:paraId="5154B60D" w14:textId="77777777" w:rsidR="00A71453" w:rsidRPr="009841BB" w:rsidRDefault="00A71453" w:rsidP="009940F2">
      <w:pPr>
        <w:pStyle w:val="ListBullet0"/>
        <w:rPr>
          <w:rFonts w:ascii="VIC" w:hAnsi="VIC"/>
          <w:sz w:val="20"/>
          <w:szCs w:val="20"/>
        </w:rPr>
      </w:pPr>
      <w:r w:rsidRPr="009841BB">
        <w:rPr>
          <w:rFonts w:ascii="VIC" w:hAnsi="VIC"/>
          <w:sz w:val="20"/>
          <w:szCs w:val="20"/>
        </w:rPr>
        <w:t>installing meters to help monitor and reduce energy use</w:t>
      </w:r>
    </w:p>
    <w:p w14:paraId="39D90397" w14:textId="77777777" w:rsidR="00A71453" w:rsidRPr="009841BB" w:rsidRDefault="00A71453" w:rsidP="009940F2">
      <w:pPr>
        <w:pStyle w:val="ListBullet0"/>
        <w:rPr>
          <w:rFonts w:ascii="VIC" w:hAnsi="VIC"/>
          <w:sz w:val="20"/>
          <w:szCs w:val="20"/>
        </w:rPr>
      </w:pPr>
      <w:r w:rsidRPr="009841BB">
        <w:rPr>
          <w:rFonts w:ascii="VIC" w:hAnsi="VIC"/>
          <w:sz w:val="20"/>
          <w:szCs w:val="20"/>
        </w:rPr>
        <w:t>modifying process controls, including installing automated control systems</w:t>
      </w:r>
    </w:p>
    <w:p w14:paraId="556B7CCA" w14:textId="77777777" w:rsidR="00A71453" w:rsidRPr="009841BB" w:rsidRDefault="00A71453" w:rsidP="009940F2">
      <w:pPr>
        <w:pStyle w:val="ListBullet0"/>
        <w:rPr>
          <w:rFonts w:ascii="VIC" w:hAnsi="VIC"/>
          <w:sz w:val="20"/>
          <w:szCs w:val="20"/>
        </w:rPr>
      </w:pPr>
      <w:r w:rsidRPr="009841BB">
        <w:rPr>
          <w:rFonts w:ascii="VIC" w:hAnsi="VIC"/>
          <w:sz w:val="20"/>
          <w:szCs w:val="20"/>
        </w:rPr>
        <w:t>installing variable speed drives on pumps and other equipment</w:t>
      </w:r>
    </w:p>
    <w:p w14:paraId="179F2F6C"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installing control systems on heating, </w:t>
      </w:r>
      <w:proofErr w:type="gramStart"/>
      <w:r w:rsidRPr="009841BB">
        <w:rPr>
          <w:rFonts w:ascii="VIC" w:hAnsi="VIC"/>
          <w:sz w:val="20"/>
          <w:szCs w:val="20"/>
        </w:rPr>
        <w:t>ventilation</w:t>
      </w:r>
      <w:proofErr w:type="gramEnd"/>
      <w:r w:rsidRPr="009841BB">
        <w:rPr>
          <w:rFonts w:ascii="VIC" w:hAnsi="VIC"/>
          <w:sz w:val="20"/>
          <w:szCs w:val="20"/>
        </w:rPr>
        <w:t xml:space="preserve"> and cooling (HVAC) systems to optimise performance and optimising thermostat settings based on the weather</w:t>
      </w:r>
    </w:p>
    <w:p w14:paraId="50EAF423" w14:textId="77777777" w:rsidR="00A71453" w:rsidRPr="009841BB" w:rsidRDefault="00A71453" w:rsidP="009940F2">
      <w:pPr>
        <w:pStyle w:val="ListBullet0"/>
        <w:rPr>
          <w:rFonts w:ascii="VIC" w:hAnsi="VIC"/>
          <w:sz w:val="20"/>
          <w:szCs w:val="20"/>
        </w:rPr>
      </w:pPr>
      <w:r w:rsidRPr="009841BB">
        <w:rPr>
          <w:rFonts w:ascii="VIC" w:hAnsi="VIC"/>
          <w:sz w:val="20"/>
          <w:szCs w:val="20"/>
        </w:rPr>
        <w:t>installing insulation to prevent heat loss</w:t>
      </w:r>
    </w:p>
    <w:p w14:paraId="60A4BB81"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ensuring hot water systems, boilers and compressed air systems are operating at optimum temperatures and pressure with insulation installed </w:t>
      </w:r>
    </w:p>
    <w:p w14:paraId="2ABA2712"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reviewing plant lighting, including the efficiency of lighting, </w:t>
      </w:r>
      <w:proofErr w:type="gramStart"/>
      <w:r w:rsidRPr="009841BB">
        <w:rPr>
          <w:rFonts w:ascii="VIC" w:hAnsi="VIC"/>
          <w:sz w:val="20"/>
          <w:szCs w:val="20"/>
        </w:rPr>
        <w:t>motion</w:t>
      </w:r>
      <w:proofErr w:type="gramEnd"/>
      <w:r w:rsidRPr="009841BB">
        <w:rPr>
          <w:rFonts w:ascii="VIC" w:hAnsi="VIC"/>
          <w:sz w:val="20"/>
          <w:szCs w:val="20"/>
        </w:rPr>
        <w:t xml:space="preserve"> and daylight sensors, and removing unnecessary lighting </w:t>
      </w:r>
    </w:p>
    <w:p w14:paraId="4279A3E6" w14:textId="77777777" w:rsidR="00A71453" w:rsidRPr="009841BB" w:rsidRDefault="00A71453" w:rsidP="009940F2">
      <w:pPr>
        <w:pStyle w:val="ListBullet0"/>
        <w:rPr>
          <w:rFonts w:ascii="VIC" w:hAnsi="VIC"/>
          <w:sz w:val="20"/>
          <w:szCs w:val="20"/>
        </w:rPr>
      </w:pPr>
      <w:r w:rsidRPr="009841BB">
        <w:rPr>
          <w:rFonts w:ascii="VIC" w:hAnsi="VIC"/>
          <w:sz w:val="20"/>
          <w:szCs w:val="20"/>
        </w:rPr>
        <w:t>installing energy-efficient cool rooms and refrigeration</w:t>
      </w:r>
    </w:p>
    <w:p w14:paraId="4F917789" w14:textId="77777777" w:rsidR="00A71453" w:rsidRPr="009841BB" w:rsidRDefault="00A71453" w:rsidP="009940F2">
      <w:pPr>
        <w:pStyle w:val="ListBullet0"/>
        <w:rPr>
          <w:rFonts w:ascii="VIC" w:hAnsi="VIC"/>
          <w:sz w:val="20"/>
          <w:szCs w:val="20"/>
        </w:rPr>
      </w:pPr>
      <w:r w:rsidRPr="009841BB">
        <w:rPr>
          <w:rFonts w:ascii="VIC" w:hAnsi="VIC"/>
          <w:sz w:val="20"/>
          <w:szCs w:val="20"/>
        </w:rPr>
        <w:t>exploring heat recovery options in industrial processes</w:t>
      </w:r>
    </w:p>
    <w:p w14:paraId="1AA39977" w14:textId="77777777" w:rsidR="00A71453" w:rsidRPr="009841BB" w:rsidRDefault="00A71453" w:rsidP="009940F2">
      <w:pPr>
        <w:pStyle w:val="ListBullet0"/>
        <w:rPr>
          <w:rFonts w:ascii="VIC" w:hAnsi="VIC"/>
          <w:sz w:val="20"/>
          <w:szCs w:val="20"/>
        </w:rPr>
      </w:pPr>
      <w:r w:rsidRPr="009841BB">
        <w:rPr>
          <w:rFonts w:ascii="VIC" w:hAnsi="VIC"/>
          <w:sz w:val="20"/>
          <w:szCs w:val="20"/>
        </w:rPr>
        <w:t>improving process efficiency.</w:t>
      </w:r>
    </w:p>
    <w:p w14:paraId="114323C7" w14:textId="77777777" w:rsidR="00A71453" w:rsidRDefault="00A71453" w:rsidP="00A25983">
      <w:r>
        <w:lastRenderedPageBreak/>
        <w:t>You should consider the best available techniques and technologies when assessing engineering controls to reduce risks of harm as part of the process of identifying all reasonably practicable measures to minimise risk.</w:t>
      </w:r>
    </w:p>
    <w:p w14:paraId="57C04FF3" w14:textId="1E6722B9" w:rsidR="00A71453" w:rsidRDefault="00A04D78" w:rsidP="00CB7593">
      <w:hyperlink r:id="rId57" w:history="1">
        <w:r w:rsidR="00A71453">
          <w:rPr>
            <w:rStyle w:val="Hyperlink"/>
          </w:rPr>
          <w:t>Energy ratings</w:t>
        </w:r>
      </w:hyperlink>
      <w:r w:rsidR="00A71453">
        <w:t xml:space="preserve"> can be used to compare the energy efficiency of various appliances. Both the </w:t>
      </w:r>
      <w:hyperlink r:id="rId58" w:history="1">
        <w:r w:rsidR="00A71453">
          <w:rPr>
            <w:rStyle w:val="Hyperlink"/>
          </w:rPr>
          <w:t>Victorian Government</w:t>
        </w:r>
      </w:hyperlink>
      <w:r w:rsidR="00A71453">
        <w:t xml:space="preserve"> and </w:t>
      </w:r>
      <w:hyperlink r:id="rId59" w:history="1">
        <w:r w:rsidR="00A71453">
          <w:rPr>
            <w:rStyle w:val="Hyperlink"/>
          </w:rPr>
          <w:t>Australian Government</w:t>
        </w:r>
      </w:hyperlink>
      <w:r w:rsidR="00A71453">
        <w:t xml:space="preserve"> have information and support available to manage and reduce energy use, including assistance in purchasing renewable energy (either onsite or offsite – sometimes known as power purchase agreements </w:t>
      </w:r>
      <w:r w:rsidR="004361BC">
        <w:t>(</w:t>
      </w:r>
      <w:r w:rsidR="00A71453">
        <w:t xml:space="preserve">PPAs) and energy-efficient equipment. The City of Melbourne has developed </w:t>
      </w:r>
      <w:hyperlink r:id="rId60" w:history="1">
        <w:r w:rsidR="00A71453">
          <w:rPr>
            <w:rStyle w:val="Hyperlink"/>
          </w:rPr>
          <w:t>a guide to buying off-site renewable electricity</w:t>
        </w:r>
      </w:hyperlink>
      <w:r w:rsidR="00A71453">
        <w:t>.</w:t>
      </w:r>
    </w:p>
    <w:p w14:paraId="07C80222" w14:textId="77777777" w:rsidR="00A71453" w:rsidRDefault="00A71453" w:rsidP="00B20577">
      <w:r>
        <w:t xml:space="preserve">The </w:t>
      </w:r>
      <w:r w:rsidRPr="003E60CF">
        <w:t>Australian Government</w:t>
      </w:r>
      <w:r>
        <w:t xml:space="preserve"> also has </w:t>
      </w:r>
      <w:hyperlink r:id="rId61" w:history="1">
        <w:r w:rsidRPr="008C2B78">
          <w:rPr>
            <w:rStyle w:val="Hyperlink"/>
          </w:rPr>
          <w:t>information for building owners and tenants to improve energy efficiency</w:t>
        </w:r>
      </w:hyperlink>
      <w:r>
        <w:t xml:space="preserve"> including whether you have an existing lease arrangement or you are a building tenant looking at new lease arrangements. </w:t>
      </w:r>
    </w:p>
    <w:p w14:paraId="1F069890" w14:textId="0D5DBC8B" w:rsidR="00A71453" w:rsidRDefault="00C33D71" w:rsidP="00875D0E">
      <w:pPr>
        <w:pStyle w:val="Heading2"/>
      </w:pPr>
      <w:bookmarkStart w:id="201" w:name="_Toc85802350"/>
      <w:bookmarkStart w:id="202" w:name="_Toc87612592"/>
      <w:bookmarkStart w:id="203" w:name="_Toc114045809"/>
      <w:bookmarkStart w:id="204" w:name="_Toc114046118"/>
      <w:bookmarkStart w:id="205" w:name="_Toc114566215"/>
      <w:r>
        <w:t>5.1.3</w:t>
      </w:r>
      <w:r>
        <w:tab/>
      </w:r>
      <w:r w:rsidR="00A71453">
        <w:t>Reduce the risks: administrative controls</w:t>
      </w:r>
      <w:bookmarkStart w:id="206" w:name="_Toc85802351"/>
      <w:bookmarkEnd w:id="201"/>
      <w:bookmarkEnd w:id="202"/>
      <w:bookmarkEnd w:id="203"/>
      <w:bookmarkEnd w:id="204"/>
      <w:bookmarkEnd w:id="205"/>
      <w:bookmarkEnd w:id="206"/>
    </w:p>
    <w:p w14:paraId="5B17875B" w14:textId="77777777" w:rsidR="00A71453" w:rsidRDefault="00A71453" w:rsidP="00E24F9F">
      <w:r>
        <w:t>The last control option is administrative controls, which rely on people’s behaviour.</w:t>
      </w:r>
    </w:p>
    <w:p w14:paraId="30B08CFE" w14:textId="77777777" w:rsidR="00A71453" w:rsidRDefault="00A71453" w:rsidP="00E24F9F">
      <w:r>
        <w:t xml:space="preserve">Administrative controls include training, procedures, policies, supervision, or shift designs that lessen the threat of a hazard or at least help alert people to a hazard. Administrative controls to reduce the risks arising from GHG emissions may include: </w:t>
      </w:r>
    </w:p>
    <w:p w14:paraId="001DCB70" w14:textId="77777777" w:rsidR="00A71453" w:rsidRPr="00CB7593" w:rsidRDefault="00A71453" w:rsidP="009940F2">
      <w:pPr>
        <w:pStyle w:val="ListBullet0"/>
        <w:rPr>
          <w:rFonts w:ascii="VIC" w:hAnsi="VIC"/>
          <w:sz w:val="20"/>
          <w:szCs w:val="20"/>
        </w:rPr>
      </w:pPr>
      <w:r w:rsidRPr="00CB7593">
        <w:rPr>
          <w:rFonts w:ascii="VIC" w:hAnsi="VIC"/>
          <w:sz w:val="20"/>
          <w:szCs w:val="20"/>
        </w:rPr>
        <w:t xml:space="preserve">advising on GHG emissions when supplying and installing equipment and plant </w:t>
      </w:r>
    </w:p>
    <w:p w14:paraId="12122F07" w14:textId="77777777" w:rsidR="00A71453" w:rsidRPr="00CB7593" w:rsidRDefault="00A71453" w:rsidP="009940F2">
      <w:pPr>
        <w:pStyle w:val="ListBullet0"/>
        <w:rPr>
          <w:rFonts w:ascii="VIC" w:hAnsi="VIC"/>
          <w:sz w:val="20"/>
          <w:szCs w:val="20"/>
        </w:rPr>
      </w:pPr>
      <w:r w:rsidRPr="00CB7593">
        <w:rPr>
          <w:rFonts w:ascii="VIC" w:hAnsi="VIC"/>
          <w:sz w:val="20"/>
          <w:szCs w:val="20"/>
        </w:rPr>
        <w:t>running GHG emissions reduction training and induction for staff</w:t>
      </w:r>
    </w:p>
    <w:p w14:paraId="5EA2E0E1" w14:textId="77777777" w:rsidR="00A71453" w:rsidRPr="00CB7593" w:rsidRDefault="00A71453" w:rsidP="009940F2">
      <w:pPr>
        <w:pStyle w:val="ListBullet0"/>
        <w:rPr>
          <w:rFonts w:ascii="VIC" w:hAnsi="VIC"/>
          <w:sz w:val="20"/>
          <w:szCs w:val="20"/>
        </w:rPr>
      </w:pPr>
      <w:r w:rsidRPr="00CB7593">
        <w:rPr>
          <w:rFonts w:ascii="VIC" w:hAnsi="VIC"/>
          <w:sz w:val="20"/>
          <w:szCs w:val="20"/>
        </w:rPr>
        <w:t xml:space="preserve">regular maintenance of refrigeration and air conditioning equipment including detection of leaking refrigerant gases and maintenance of air filters </w:t>
      </w:r>
    </w:p>
    <w:p w14:paraId="299A0EEF" w14:textId="77777777" w:rsidR="00A71453" w:rsidRPr="00875D0E" w:rsidRDefault="00A71453" w:rsidP="009940F2">
      <w:pPr>
        <w:pStyle w:val="ListBullet0"/>
        <w:rPr>
          <w:rFonts w:ascii="VIC" w:hAnsi="VIC"/>
          <w:i/>
          <w:iCs/>
          <w:sz w:val="20"/>
          <w:szCs w:val="20"/>
        </w:rPr>
      </w:pPr>
      <w:r w:rsidRPr="00CB7593">
        <w:rPr>
          <w:rFonts w:ascii="VIC" w:hAnsi="VIC"/>
          <w:sz w:val="20"/>
          <w:szCs w:val="20"/>
        </w:rPr>
        <w:t xml:space="preserve">safe management and disposal of high GWP refrigerants in accordance with the Commonwealth </w:t>
      </w:r>
      <w:hyperlink r:id="rId62">
        <w:r w:rsidRPr="00875D0E">
          <w:rPr>
            <w:rStyle w:val="Hyperlink"/>
            <w:rFonts w:ascii="VIC" w:hAnsi="VIC"/>
            <w:i/>
            <w:iCs/>
            <w:szCs w:val="20"/>
          </w:rPr>
          <w:t>Ozone Protection and Synthetic Greenhouse Gas Management Act 1989</w:t>
        </w:r>
      </w:hyperlink>
      <w:r w:rsidRPr="00875D0E">
        <w:rPr>
          <w:rFonts w:ascii="VIC" w:hAnsi="VIC"/>
          <w:i/>
          <w:iCs/>
          <w:sz w:val="20"/>
          <w:szCs w:val="20"/>
        </w:rPr>
        <w:t xml:space="preserve"> </w:t>
      </w:r>
    </w:p>
    <w:p w14:paraId="163BA1CC" w14:textId="77777777" w:rsidR="00A71453" w:rsidRPr="00CB7593" w:rsidRDefault="00A71453" w:rsidP="009940F2">
      <w:pPr>
        <w:pStyle w:val="ListBullet0"/>
        <w:rPr>
          <w:rFonts w:ascii="VIC" w:hAnsi="VIC"/>
          <w:sz w:val="20"/>
          <w:szCs w:val="20"/>
        </w:rPr>
      </w:pPr>
      <w:r w:rsidRPr="00CB7593">
        <w:rPr>
          <w:rFonts w:ascii="VIC" w:hAnsi="VIC"/>
          <w:sz w:val="20"/>
          <w:szCs w:val="20"/>
        </w:rPr>
        <w:t xml:space="preserve">ensuring technicians handling refrigerants or working on refrigeration and air conditioning equipment have a refrigeration handling licence with the </w:t>
      </w:r>
      <w:hyperlink r:id="rId63">
        <w:r w:rsidRPr="00CB7593">
          <w:rPr>
            <w:rStyle w:val="Hyperlink"/>
            <w:rFonts w:ascii="VIC" w:hAnsi="VIC"/>
            <w:szCs w:val="20"/>
          </w:rPr>
          <w:t>Australian Refrigeration Council</w:t>
        </w:r>
      </w:hyperlink>
      <w:r w:rsidRPr="00CB7593">
        <w:rPr>
          <w:rFonts w:ascii="VIC" w:hAnsi="VIC"/>
          <w:sz w:val="20"/>
          <w:szCs w:val="20"/>
        </w:rPr>
        <w:t xml:space="preserve"> in accordance with the </w:t>
      </w:r>
      <w:hyperlink r:id="rId64" w:history="1">
        <w:r w:rsidRPr="00875D0E">
          <w:rPr>
            <w:rStyle w:val="Hyperlink"/>
            <w:rFonts w:ascii="VIC" w:hAnsi="VIC"/>
            <w:i/>
            <w:iCs/>
            <w:szCs w:val="20"/>
          </w:rPr>
          <w:t>Ozone Protection and Synthetic Greenhouse Gas Management Regulations 1995</w:t>
        </w:r>
      </w:hyperlink>
    </w:p>
    <w:p w14:paraId="08BAC0B7" w14:textId="77777777" w:rsidR="00A71453" w:rsidRPr="00CB7593" w:rsidRDefault="00A71453" w:rsidP="009940F2">
      <w:pPr>
        <w:pStyle w:val="ListBullet0"/>
        <w:rPr>
          <w:rFonts w:ascii="VIC" w:hAnsi="VIC"/>
          <w:sz w:val="20"/>
          <w:szCs w:val="20"/>
        </w:rPr>
      </w:pPr>
      <w:r w:rsidRPr="00CB7593">
        <w:rPr>
          <w:rFonts w:ascii="VIC" w:hAnsi="VIC"/>
          <w:sz w:val="20"/>
          <w:szCs w:val="20"/>
        </w:rPr>
        <w:t>regular maintenance of machinery and equipment</w:t>
      </w:r>
    </w:p>
    <w:p w14:paraId="7F7FE965" w14:textId="77777777" w:rsidR="00A71453" w:rsidRPr="00CB7593" w:rsidRDefault="00A71453" w:rsidP="009940F2">
      <w:pPr>
        <w:pStyle w:val="ListBullet0"/>
        <w:rPr>
          <w:rFonts w:ascii="VIC" w:hAnsi="VIC"/>
          <w:sz w:val="20"/>
          <w:szCs w:val="20"/>
        </w:rPr>
      </w:pPr>
      <w:r w:rsidRPr="00CB7593">
        <w:rPr>
          <w:rFonts w:ascii="VIC" w:hAnsi="VIC"/>
          <w:sz w:val="20"/>
          <w:szCs w:val="20"/>
        </w:rPr>
        <w:t>checks to ensure refrigerator doors are kept closed</w:t>
      </w:r>
    </w:p>
    <w:p w14:paraId="6929BB61" w14:textId="77777777" w:rsidR="00A71453" w:rsidRPr="00CB7593" w:rsidRDefault="00A71453" w:rsidP="009940F2">
      <w:pPr>
        <w:pStyle w:val="ListBullet0"/>
        <w:rPr>
          <w:rFonts w:ascii="VIC" w:hAnsi="VIC"/>
          <w:sz w:val="20"/>
          <w:szCs w:val="20"/>
        </w:rPr>
      </w:pPr>
      <w:r w:rsidRPr="00CB7593">
        <w:rPr>
          <w:rFonts w:ascii="VIC" w:hAnsi="VIC"/>
          <w:sz w:val="20"/>
          <w:szCs w:val="20"/>
        </w:rPr>
        <w:t>fixing air leaks on equipment, including boilers and compressors</w:t>
      </w:r>
    </w:p>
    <w:p w14:paraId="01066377" w14:textId="77777777" w:rsidR="00A71453" w:rsidRPr="00CB7593" w:rsidRDefault="00A71453" w:rsidP="009940F2">
      <w:pPr>
        <w:pStyle w:val="ListBullet0"/>
        <w:rPr>
          <w:rFonts w:ascii="VIC" w:hAnsi="VIC"/>
          <w:sz w:val="20"/>
          <w:szCs w:val="20"/>
        </w:rPr>
      </w:pPr>
      <w:r w:rsidRPr="00CB7593">
        <w:rPr>
          <w:rFonts w:ascii="VIC" w:hAnsi="VIC"/>
          <w:sz w:val="20"/>
          <w:szCs w:val="20"/>
        </w:rPr>
        <w:t>turning off lights when not in use</w:t>
      </w:r>
    </w:p>
    <w:p w14:paraId="6D227CEE" w14:textId="03D73439" w:rsidR="00A71453" w:rsidRPr="00CB7593" w:rsidRDefault="00A71453" w:rsidP="009940F2">
      <w:pPr>
        <w:pStyle w:val="ListBullet0"/>
        <w:rPr>
          <w:rFonts w:ascii="VIC" w:hAnsi="VIC"/>
          <w:sz w:val="20"/>
          <w:szCs w:val="20"/>
        </w:rPr>
      </w:pPr>
      <w:r w:rsidRPr="00CB7593">
        <w:rPr>
          <w:rFonts w:ascii="VIC" w:hAnsi="VIC"/>
          <w:sz w:val="20"/>
          <w:szCs w:val="20"/>
        </w:rPr>
        <w:t xml:space="preserve">prioritising use of natural ventilation through vents or doors, then fans to circulate air, rather than air conditioning where </w:t>
      </w:r>
      <w:r w:rsidR="004C5114" w:rsidRPr="00CB7593">
        <w:rPr>
          <w:rFonts w:ascii="VIC" w:hAnsi="VIC"/>
          <w:sz w:val="20"/>
          <w:szCs w:val="20"/>
        </w:rPr>
        <w:t>manually</w:t>
      </w:r>
      <w:r w:rsidR="004C5114">
        <w:rPr>
          <w:rFonts w:ascii="VIC" w:hAnsi="VIC"/>
          <w:sz w:val="20"/>
          <w:szCs w:val="20"/>
        </w:rPr>
        <w:t xml:space="preserve"> controlled</w:t>
      </w:r>
    </w:p>
    <w:p w14:paraId="5F1FB936" w14:textId="77777777" w:rsidR="00A71453" w:rsidRPr="00CB7593" w:rsidRDefault="00A71453" w:rsidP="009940F2">
      <w:pPr>
        <w:pStyle w:val="ListBullet0"/>
        <w:rPr>
          <w:rFonts w:ascii="VIC" w:hAnsi="VIC"/>
          <w:sz w:val="20"/>
          <w:szCs w:val="20"/>
        </w:rPr>
      </w:pPr>
      <w:r w:rsidRPr="00CB7593">
        <w:rPr>
          <w:rFonts w:ascii="VIC" w:hAnsi="VIC"/>
          <w:sz w:val="20"/>
          <w:szCs w:val="20"/>
        </w:rPr>
        <w:t>turning off non-critical HVAC systems out of hours</w:t>
      </w:r>
    </w:p>
    <w:p w14:paraId="5F1130A5" w14:textId="4A865D81" w:rsidR="00A71453" w:rsidRPr="00CB7593" w:rsidRDefault="00A71453" w:rsidP="009940F2">
      <w:pPr>
        <w:pStyle w:val="ListBullet0"/>
        <w:rPr>
          <w:rFonts w:ascii="VIC" w:hAnsi="VIC"/>
          <w:sz w:val="20"/>
          <w:szCs w:val="20"/>
        </w:rPr>
      </w:pPr>
      <w:r w:rsidRPr="00CB7593">
        <w:rPr>
          <w:rFonts w:ascii="VIC" w:hAnsi="VIC"/>
          <w:sz w:val="20"/>
          <w:szCs w:val="20"/>
        </w:rPr>
        <w:t xml:space="preserve">turning off engines in cars, trucks, </w:t>
      </w:r>
      <w:proofErr w:type="gramStart"/>
      <w:r w:rsidRPr="00CB7593">
        <w:rPr>
          <w:rFonts w:ascii="VIC" w:hAnsi="VIC"/>
          <w:sz w:val="20"/>
          <w:szCs w:val="20"/>
        </w:rPr>
        <w:t>forklifts</w:t>
      </w:r>
      <w:proofErr w:type="gramEnd"/>
      <w:r w:rsidRPr="00CB7593">
        <w:rPr>
          <w:rFonts w:ascii="VIC" w:hAnsi="VIC"/>
          <w:sz w:val="20"/>
          <w:szCs w:val="20"/>
        </w:rPr>
        <w:t xml:space="preserve"> and tractors rather than idling</w:t>
      </w:r>
    </w:p>
    <w:p w14:paraId="31841697" w14:textId="77777777" w:rsidR="00A71453" w:rsidRPr="00CB7593" w:rsidRDefault="00A71453" w:rsidP="009940F2">
      <w:pPr>
        <w:pStyle w:val="ListBullet0"/>
        <w:rPr>
          <w:rFonts w:ascii="VIC" w:hAnsi="VIC"/>
          <w:sz w:val="20"/>
          <w:szCs w:val="20"/>
        </w:rPr>
      </w:pPr>
      <w:r w:rsidRPr="00CB7593">
        <w:rPr>
          <w:rFonts w:ascii="VIC" w:hAnsi="VIC"/>
          <w:sz w:val="20"/>
          <w:szCs w:val="20"/>
        </w:rPr>
        <w:t>running eco-efficient driver training for vehicle fleet drivers</w:t>
      </w:r>
    </w:p>
    <w:p w14:paraId="336360DE" w14:textId="77777777" w:rsidR="00A71453" w:rsidRPr="00CB7593" w:rsidRDefault="00A71453" w:rsidP="009940F2">
      <w:pPr>
        <w:pStyle w:val="ListBullet0"/>
        <w:rPr>
          <w:rFonts w:ascii="VIC" w:hAnsi="VIC"/>
          <w:sz w:val="20"/>
          <w:szCs w:val="20"/>
        </w:rPr>
      </w:pPr>
      <w:r w:rsidRPr="00CB7593">
        <w:rPr>
          <w:rFonts w:ascii="VIC" w:hAnsi="VIC"/>
          <w:sz w:val="20"/>
          <w:szCs w:val="20"/>
        </w:rPr>
        <w:t>regular maintenance of vehicle fleets.</w:t>
      </w:r>
    </w:p>
    <w:p w14:paraId="0687FF77" w14:textId="7B3E8554" w:rsidR="00A71453" w:rsidRDefault="00A71453" w:rsidP="007A5B2A">
      <w:r w:rsidRPr="00AD30A1">
        <w:t xml:space="preserve">In some cases, you are legally required to implement administrative controls to satisfy your GED. For example, under </w:t>
      </w:r>
      <w:r w:rsidR="00114179">
        <w:t>Section</w:t>
      </w:r>
      <w:r w:rsidRPr="00AD30A1">
        <w:t xml:space="preserve"> 25(5) of the EP Act, if you are conducting a business and are engaged in an activity that involves the design of equipment, you must (so far as reasonably practicable) provide information regarding the purpose of the equipment and any conditions necessary to ensure it can be used in a manner that complies with the GED.</w:t>
      </w:r>
    </w:p>
    <w:p w14:paraId="2A603167" w14:textId="77777777" w:rsidR="00A71453" w:rsidRDefault="00A71453" w:rsidP="007A5B2A">
      <w:r>
        <w:lastRenderedPageBreak/>
        <w:t xml:space="preserve">You can also reduce GHG emissions by embedding consideration of GHG emissions in procurement policies including energy, new appliances and equipment, </w:t>
      </w:r>
      <w:proofErr w:type="gramStart"/>
      <w:r>
        <w:t>transport</w:t>
      </w:r>
      <w:proofErr w:type="gramEnd"/>
      <w:r>
        <w:t xml:space="preserve"> and contracts. </w:t>
      </w:r>
    </w:p>
    <w:p w14:paraId="5FF5B262" w14:textId="77777777" w:rsidR="00C2114A" w:rsidRDefault="00C2114A" w:rsidP="00331569"/>
    <w:tbl>
      <w:tblPr>
        <w:tblpPr w:leftFromText="180" w:rightFromText="180" w:vertAnchor="text" w:horzAnchor="margin" w:tblpY="-3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57" w:type="dxa"/>
          <w:bottom w:w="113" w:type="dxa"/>
          <w:right w:w="57" w:type="dxa"/>
        </w:tblCellMar>
        <w:tblLook w:val="0620" w:firstRow="1" w:lastRow="0" w:firstColumn="0" w:lastColumn="0" w:noHBand="1" w:noVBand="1"/>
        <w:tblCaption w:val="Offsets"/>
        <w:tblDescription w:val="The text box explains what offsets are and how they relate to the general environmental duty, that offset products will rarely be an appropriate mechanism to comply with the general environmental duty."/>
      </w:tblPr>
      <w:tblGrid>
        <w:gridCol w:w="10157"/>
      </w:tblGrid>
      <w:tr w:rsidR="00C2114A" w14:paraId="6801ACE5" w14:textId="77777777" w:rsidTr="003F5ACE">
        <w:tc>
          <w:tcPr>
            <w:tcW w:w="10143" w:type="dxa"/>
            <w:shd w:val="clear" w:color="auto" w:fill="auto"/>
            <w:vAlign w:val="center"/>
            <w:hideMark/>
          </w:tcPr>
          <w:p w14:paraId="3DE4A8AD" w14:textId="77777777" w:rsidR="00C2114A" w:rsidRPr="00A43C66" w:rsidRDefault="00C2114A" w:rsidP="00C2114A">
            <w:pPr>
              <w:pStyle w:val="PulloutText"/>
              <w:rPr>
                <w:rFonts w:ascii="VIC" w:hAnsi="VIC"/>
                <w:b/>
                <w:bCs/>
                <w:color w:val="005FB4"/>
                <w:sz w:val="20"/>
                <w:szCs w:val="20"/>
              </w:rPr>
            </w:pPr>
            <w:r w:rsidRPr="00A43C66">
              <w:rPr>
                <w:rFonts w:ascii="VIC" w:hAnsi="VIC"/>
                <w:b/>
                <w:bCs/>
                <w:color w:val="005FB4"/>
                <w:sz w:val="20"/>
                <w:szCs w:val="20"/>
              </w:rPr>
              <w:t>Offsets</w:t>
            </w:r>
          </w:p>
          <w:p w14:paraId="0827D728" w14:textId="77777777" w:rsidR="00C2114A" w:rsidRPr="00A43C66" w:rsidRDefault="00C2114A" w:rsidP="00C2114A">
            <w:pPr>
              <w:pStyle w:val="TableText"/>
              <w:rPr>
                <w:rFonts w:ascii="VIC" w:hAnsi="VIC"/>
                <w:sz w:val="20"/>
                <w:szCs w:val="20"/>
              </w:rPr>
            </w:pPr>
            <w:r w:rsidRPr="00A43C66">
              <w:rPr>
                <w:rFonts w:ascii="VIC" w:hAnsi="VIC"/>
                <w:sz w:val="20"/>
                <w:szCs w:val="20"/>
              </w:rPr>
              <w:t xml:space="preserve">Carbon offsets or credits are financial products (purchasing GHG emissions reductions elsewhere) sometimes used to offset GHG emissions that cannot be avoided, usually as part of net zero emission or carbon neutrality initiatives. </w:t>
            </w:r>
          </w:p>
          <w:p w14:paraId="7B75D8FE" w14:textId="77777777" w:rsidR="00C2114A" w:rsidRPr="00A43C66" w:rsidRDefault="00C2114A" w:rsidP="00C2114A">
            <w:pPr>
              <w:pStyle w:val="TableText"/>
              <w:rPr>
                <w:rFonts w:ascii="VIC" w:hAnsi="VIC"/>
                <w:sz w:val="20"/>
                <w:szCs w:val="20"/>
              </w:rPr>
            </w:pPr>
            <w:r w:rsidRPr="00A43C66">
              <w:rPr>
                <w:rFonts w:ascii="VIC" w:hAnsi="VIC"/>
                <w:sz w:val="20"/>
                <w:szCs w:val="20"/>
              </w:rPr>
              <w:t>Offset products most typically involve third-party projects that invest in renewable energy, energy efficiency and reforestation and may bring other benefits on top of GHG emission reduction, including improved air quality and waste reduction.</w:t>
            </w:r>
          </w:p>
          <w:p w14:paraId="731282B4" w14:textId="77777777" w:rsidR="00C2114A" w:rsidRPr="00A43C66" w:rsidRDefault="00C2114A" w:rsidP="00C2114A">
            <w:pPr>
              <w:pStyle w:val="TableText"/>
              <w:rPr>
                <w:rFonts w:ascii="VIC" w:hAnsi="VIC"/>
                <w:sz w:val="20"/>
                <w:szCs w:val="20"/>
              </w:rPr>
            </w:pPr>
            <w:r w:rsidRPr="00A43C66">
              <w:rPr>
                <w:rFonts w:ascii="VIC" w:hAnsi="VIC"/>
                <w:sz w:val="20"/>
                <w:szCs w:val="20"/>
              </w:rPr>
              <w:t xml:space="preserve">It is often unclear whether offset products eliminate or reduce those risks of harm arising from the GHG emissions of a specific activity. For this reason, offset products will rarely be an appropriate mechanism to comply with the GED. </w:t>
            </w:r>
          </w:p>
          <w:p w14:paraId="282D2C1A" w14:textId="77777777" w:rsidR="00C2114A" w:rsidRDefault="00C2114A" w:rsidP="00C2114A">
            <w:pPr>
              <w:pStyle w:val="TableText"/>
              <w:spacing w:line="256" w:lineRule="auto"/>
            </w:pPr>
          </w:p>
        </w:tc>
      </w:tr>
    </w:tbl>
    <w:p w14:paraId="152EC312" w14:textId="77777777" w:rsidR="00C2114A" w:rsidRDefault="00C2114A" w:rsidP="00331569"/>
    <w:p w14:paraId="4484775B" w14:textId="49928018" w:rsidR="00723E5D" w:rsidRDefault="003B7298" w:rsidP="00D8570C">
      <w:pPr>
        <w:pStyle w:val="Heading2"/>
      </w:pPr>
      <w:bookmarkStart w:id="207" w:name="_Toc85802353"/>
      <w:bookmarkStart w:id="208" w:name="_Toc87612594"/>
      <w:bookmarkStart w:id="209" w:name="_Toc112341034"/>
      <w:bookmarkStart w:id="210" w:name="_Toc114045810"/>
      <w:bookmarkStart w:id="211" w:name="_Toc114566216"/>
      <w:r>
        <w:t>5.2</w:t>
      </w:r>
      <w:r>
        <w:tab/>
      </w:r>
      <w:r w:rsidR="00723E5D">
        <w:t>A risk-based approach to minimising the risk of harm from GHG emissions</w:t>
      </w:r>
      <w:bookmarkEnd w:id="207"/>
      <w:bookmarkEnd w:id="208"/>
      <w:bookmarkEnd w:id="209"/>
      <w:bookmarkEnd w:id="210"/>
      <w:bookmarkEnd w:id="211"/>
    </w:p>
    <w:p w14:paraId="28E3A52B" w14:textId="77777777" w:rsidR="00723E5D" w:rsidRDefault="00723E5D" w:rsidP="006414A3">
      <w:r>
        <w:t>What constitutes reasonably practicable will vary by business, depending on your specific circumstances.</w:t>
      </w:r>
    </w:p>
    <w:p w14:paraId="57E459F9" w14:textId="68F74C54" w:rsidR="00DA64A8" w:rsidRDefault="006414A3" w:rsidP="004C5114">
      <w:pPr>
        <w:pStyle w:val="Heading2"/>
      </w:pPr>
      <w:bookmarkStart w:id="212" w:name="_Toc114045811"/>
      <w:bookmarkStart w:id="213" w:name="_Toc114046120"/>
      <w:bookmarkStart w:id="214" w:name="_Toc114566217"/>
      <w:r>
        <w:t>5.2.1</w:t>
      </w:r>
      <w:r>
        <w:tab/>
      </w:r>
      <w:r w:rsidR="00DA64A8">
        <w:t>Minimising the risk of harm from GHG emissions so far as reasonably practicable</w:t>
      </w:r>
      <w:bookmarkEnd w:id="212"/>
      <w:bookmarkEnd w:id="213"/>
      <w:bookmarkEnd w:id="214"/>
    </w:p>
    <w:p w14:paraId="6E5C8AC2" w14:textId="77777777" w:rsidR="00DA64A8" w:rsidRDefault="00DA64A8" w:rsidP="006414A3">
      <w:r>
        <w:t xml:space="preserve">To comply with the GED, all businesses must understand what constitutes reasonably practicable when considering measures to eliminate or otherwise reduce risks. </w:t>
      </w:r>
    </w:p>
    <w:p w14:paraId="6F44247E" w14:textId="65670F80" w:rsidR="00DA64A8" w:rsidRDefault="00DA64A8" w:rsidP="006414A3">
      <w:r>
        <w:t xml:space="preserve">Businesses must consider the five matters set out in </w:t>
      </w:r>
      <w:r w:rsidR="00114179">
        <w:t>Section</w:t>
      </w:r>
      <w:r>
        <w:t xml:space="preserve"> 6 of the Act to determine what is reasonably practicable in their situation. Refer to </w:t>
      </w:r>
      <w:hyperlink r:id="rId65" w:history="1">
        <w:r>
          <w:rPr>
            <w:rStyle w:val="Hyperlink"/>
            <w:rFonts w:eastAsia="Calibri"/>
          </w:rPr>
          <w:t>Reasonably practicable</w:t>
        </w:r>
      </w:hyperlink>
      <w:r>
        <w:t xml:space="preserve"> (publication 1856) for more information. </w:t>
      </w:r>
    </w:p>
    <w:p w14:paraId="2438E4E5" w14:textId="77777777" w:rsidR="00DA64A8" w:rsidRDefault="00DA64A8" w:rsidP="006414A3">
      <w:r>
        <w:t>It is well established that continued emission of GHGs will increase the risk of harm to climate systems occurring. The Intergovernmental Panel on Climate Change has said:</w:t>
      </w:r>
    </w:p>
    <w:p w14:paraId="35B1E70E" w14:textId="3842C2F7" w:rsidR="00DA64A8" w:rsidRDefault="00DA64A8" w:rsidP="00906BE8">
      <w:pPr>
        <w:ind w:left="720"/>
      </w:pPr>
      <w:r>
        <w:rPr>
          <w:i/>
          <w:iCs/>
        </w:rPr>
        <w:t>Continued emission of GHGs will cause further warming and long-lasting changes in all components of the climate system, increasing the likelihood of severe, pervasive, and irreversible impacts for people and ecosystems.</w:t>
      </w:r>
      <w:r w:rsidR="008A0138">
        <w:rPr>
          <w:rStyle w:val="FootnoteReference"/>
        </w:rPr>
        <w:footnoteReference w:customMarkFollows="1" w:id="11"/>
        <w:t>11</w:t>
      </w:r>
      <w:r w:rsidDel="00F1687A">
        <w:rPr>
          <w:rStyle w:val="FootnoteReference"/>
        </w:rPr>
        <w:t xml:space="preserve"> </w:t>
      </w:r>
      <w:r>
        <w:t xml:space="preserve"> </w:t>
      </w:r>
    </w:p>
    <w:p w14:paraId="48C48517" w14:textId="77777777" w:rsidR="00D66A22" w:rsidRDefault="00DA64A8" w:rsidP="00D66A22">
      <w:r>
        <w:t xml:space="preserve">Given the nature of GHG emissions, it can be hard to determine the likelihood and consequence of risk from climate change arising from </w:t>
      </w:r>
      <w:r w:rsidRPr="00317758">
        <w:t>your</w:t>
      </w:r>
      <w:r>
        <w:t xml:space="preserve"> emissions.</w:t>
      </w:r>
      <w:r w:rsidRPr="00603F75">
        <w:t xml:space="preserve"> However, any contribution to GHG emissions increases the likelihood and severity of the risk of harm. </w:t>
      </w:r>
    </w:p>
    <w:p w14:paraId="04F9D0F7" w14:textId="1B167CF5" w:rsidR="00DA64A8" w:rsidRPr="00452E41" w:rsidRDefault="00DA64A8" w:rsidP="00D66A22">
      <w:r w:rsidRPr="00603F75">
        <w:lastRenderedPageBreak/>
        <w:t xml:space="preserve">Translated to the </w:t>
      </w:r>
      <w:r>
        <w:t>business</w:t>
      </w:r>
      <w:r w:rsidRPr="00603F75">
        <w:t>, the likelihood that the risk of harm will eventuate by reason of your activities increases proportionately to the nature and extent of the GHG emissions arising from those activities.</w:t>
      </w:r>
    </w:p>
    <w:p w14:paraId="7ED25524" w14:textId="77777777" w:rsidR="00DA64A8" w:rsidRDefault="00DA64A8" w:rsidP="006414A3">
      <w:r>
        <w:t>To determine what is reasonably practicable it is important to consider the level or scale of risk of harm from your activities. The greater the risk of harm (for example, the type and quantity of your GHG emissions), the greater the expectation for you to minimise it.</w:t>
      </w:r>
    </w:p>
    <w:p w14:paraId="661935DE" w14:textId="77777777" w:rsidR="00DA64A8" w:rsidRDefault="00DA64A8" w:rsidP="006414A3">
      <w:r>
        <w:t>Table 3 provides guidance on how to determine what is reasonably practicable in relation to minimising GHG emissions.</w:t>
      </w:r>
    </w:p>
    <w:p w14:paraId="15075BC7" w14:textId="77777777" w:rsidR="00DA5379" w:rsidRPr="0010795F" w:rsidRDefault="00DA5379" w:rsidP="0010795F">
      <w:pPr>
        <w:pStyle w:val="TableCaption"/>
        <w:rPr>
          <w:rFonts w:ascii="VIC" w:hAnsi="VIC"/>
          <w:color w:val="005FB4"/>
        </w:rPr>
      </w:pPr>
      <w:r w:rsidRPr="0010795F">
        <w:rPr>
          <w:rFonts w:ascii="VIC" w:hAnsi="VIC"/>
          <w:color w:val="005FB4"/>
        </w:rPr>
        <w:t>Table 3: Matters to consider in determining what is reasonably practicable in relation to minimising the risk of harm from GHG emissions</w:t>
      </w:r>
    </w:p>
    <w:tbl>
      <w:tblPr>
        <w:tblStyle w:val="TableGrid"/>
        <w:tblW w:w="0" w:type="auto"/>
        <w:tblBorders>
          <w:top w:val="single" w:sz="6" w:space="0" w:color="005FB4"/>
          <w:bottom w:val="single" w:sz="6" w:space="0" w:color="005FB4"/>
        </w:tblBorders>
        <w:tblLook w:val="04A0" w:firstRow="1" w:lastRow="0" w:firstColumn="1" w:lastColumn="0" w:noHBand="0" w:noVBand="1"/>
        <w:tblCaption w:val="Table 3: Matters to consider in determining what is reasonably practicable in relation to minimising risk of harm from greenhouse gas emissions"/>
        <w:tblDescription w:val="The table provides questions to assist businesses to determine what is reasonably practicable in relation to greenhouse gas emissions. "/>
      </w:tblPr>
      <w:tblGrid>
        <w:gridCol w:w="3969"/>
        <w:gridCol w:w="5669"/>
      </w:tblGrid>
      <w:tr w:rsidR="00D62E01" w:rsidRPr="00D62E01" w14:paraId="1EC62173" w14:textId="77777777" w:rsidTr="00B20577">
        <w:tc>
          <w:tcPr>
            <w:tcW w:w="9638" w:type="dxa"/>
            <w:gridSpan w:val="2"/>
            <w:tcBorders>
              <w:top w:val="single" w:sz="6" w:space="0" w:color="005FB4"/>
              <w:bottom w:val="single" w:sz="6" w:space="0" w:color="005FB4"/>
            </w:tcBorders>
            <w:shd w:val="clear" w:color="auto" w:fill="auto"/>
            <w:hideMark/>
          </w:tcPr>
          <w:p w14:paraId="5658912C" w14:textId="77777777" w:rsidR="00DA5379" w:rsidRPr="00D62E01" w:rsidRDefault="00DA5379" w:rsidP="00E07B7D">
            <w:pPr>
              <w:pStyle w:val="Tabletitle"/>
            </w:pPr>
            <w:r w:rsidRPr="00D62E01">
              <w:t xml:space="preserve">Matters to consider in the context of GHG emissions </w:t>
            </w:r>
          </w:p>
        </w:tc>
      </w:tr>
      <w:tr w:rsidR="00DA5379" w14:paraId="6A57CFF2" w14:textId="77777777" w:rsidTr="00B20577">
        <w:tc>
          <w:tcPr>
            <w:tcW w:w="3969" w:type="dxa"/>
            <w:tcBorders>
              <w:top w:val="single" w:sz="6" w:space="0" w:color="005FB4"/>
              <w:bottom w:val="single" w:sz="6" w:space="0" w:color="005FB4"/>
            </w:tcBorders>
            <w:hideMark/>
          </w:tcPr>
          <w:p w14:paraId="31FDF1CD" w14:textId="77777777" w:rsidR="00DA5379" w:rsidRPr="00E07B7D" w:rsidRDefault="00DA5379" w:rsidP="00E07B7D">
            <w:pPr>
              <w:pStyle w:val="TableText"/>
              <w:rPr>
                <w:rFonts w:ascii="VIC" w:hAnsi="VIC"/>
                <w:sz w:val="20"/>
                <w:szCs w:val="20"/>
              </w:rPr>
            </w:pPr>
            <w:r w:rsidRPr="00E07B7D">
              <w:rPr>
                <w:rFonts w:ascii="VIC" w:hAnsi="VIC"/>
                <w:sz w:val="20"/>
                <w:szCs w:val="20"/>
              </w:rPr>
              <w:t>The likelihood of those risks eventuating</w:t>
            </w:r>
          </w:p>
        </w:tc>
        <w:tc>
          <w:tcPr>
            <w:tcW w:w="5669" w:type="dxa"/>
            <w:tcBorders>
              <w:top w:val="single" w:sz="6" w:space="0" w:color="005FB4"/>
              <w:bottom w:val="single" w:sz="6" w:space="0" w:color="005FB4"/>
            </w:tcBorders>
          </w:tcPr>
          <w:p w14:paraId="763201B6" w14:textId="638DCA3B" w:rsidR="00DA5379" w:rsidRPr="00E07B7D" w:rsidRDefault="00DA5379" w:rsidP="009940F2">
            <w:pPr>
              <w:pStyle w:val="TableBullet"/>
              <w:rPr>
                <w:rFonts w:ascii="VIC" w:hAnsi="VIC"/>
                <w:sz w:val="20"/>
                <w:szCs w:val="20"/>
              </w:rPr>
            </w:pPr>
            <w:r w:rsidRPr="00E07B7D">
              <w:rPr>
                <w:rFonts w:ascii="VIC" w:hAnsi="VIC"/>
                <w:sz w:val="20"/>
                <w:szCs w:val="20"/>
              </w:rPr>
              <w:t>What are the direct and indirect GHG emissions likely to arise from your activities? (</w:t>
            </w:r>
            <w:r w:rsidR="007D792C">
              <w:rPr>
                <w:rFonts w:ascii="VIC" w:hAnsi="VIC"/>
                <w:sz w:val="20"/>
                <w:szCs w:val="20"/>
              </w:rPr>
              <w:t>Scope 3</w:t>
            </w:r>
            <w:r w:rsidRPr="00E07B7D">
              <w:rPr>
                <w:rFonts w:ascii="VIC" w:hAnsi="VIC"/>
                <w:sz w:val="20"/>
                <w:szCs w:val="20"/>
              </w:rPr>
              <w:t xml:space="preserve"> emissions should be included particularly if the activity giving rise to </w:t>
            </w:r>
            <w:r w:rsidR="007D792C">
              <w:rPr>
                <w:rFonts w:ascii="VIC" w:hAnsi="VIC"/>
                <w:sz w:val="20"/>
                <w:szCs w:val="20"/>
              </w:rPr>
              <w:t>Scope 3</w:t>
            </w:r>
            <w:r w:rsidRPr="00E07B7D">
              <w:rPr>
                <w:rFonts w:ascii="VIC" w:hAnsi="VIC"/>
                <w:sz w:val="20"/>
                <w:szCs w:val="20"/>
              </w:rPr>
              <w:t xml:space="preserve"> emissions occurs within Victoria).</w:t>
            </w:r>
          </w:p>
          <w:p w14:paraId="7778A4D1" w14:textId="77777777" w:rsidR="00DA5379" w:rsidRPr="00E07B7D" w:rsidRDefault="00DA5379" w:rsidP="009940F2">
            <w:pPr>
              <w:pStyle w:val="TableBullet"/>
            </w:pPr>
            <w:r w:rsidRPr="00E07B7D">
              <w:rPr>
                <w:rFonts w:ascii="VIC" w:hAnsi="VIC"/>
                <w:sz w:val="20"/>
                <w:szCs w:val="20"/>
              </w:rPr>
              <w:t>How does the quantity of GHG emissions compare across each of your activities?</w:t>
            </w:r>
          </w:p>
        </w:tc>
      </w:tr>
      <w:tr w:rsidR="00DA5379" w14:paraId="1F9D97A6" w14:textId="77777777" w:rsidTr="00B20577">
        <w:tc>
          <w:tcPr>
            <w:tcW w:w="3969" w:type="dxa"/>
            <w:tcBorders>
              <w:top w:val="single" w:sz="6" w:space="0" w:color="005FB4"/>
              <w:bottom w:val="single" w:sz="6" w:space="0" w:color="005FB4"/>
            </w:tcBorders>
            <w:hideMark/>
          </w:tcPr>
          <w:p w14:paraId="45D17804" w14:textId="77777777" w:rsidR="00DA5379" w:rsidRPr="00E07B7D" w:rsidRDefault="00DA5379" w:rsidP="00E07B7D">
            <w:pPr>
              <w:pStyle w:val="TableText"/>
              <w:rPr>
                <w:rFonts w:ascii="VIC" w:hAnsi="VIC"/>
                <w:sz w:val="20"/>
                <w:szCs w:val="20"/>
              </w:rPr>
            </w:pPr>
            <w:r w:rsidRPr="00E07B7D">
              <w:rPr>
                <w:rFonts w:ascii="VIC" w:hAnsi="VIC"/>
                <w:sz w:val="20"/>
                <w:szCs w:val="20"/>
              </w:rPr>
              <w:t>What the business knows, or ought reasonably to know, about the harm or risks of harm and any ways of reducing those risks</w:t>
            </w:r>
          </w:p>
        </w:tc>
        <w:tc>
          <w:tcPr>
            <w:tcW w:w="5669" w:type="dxa"/>
            <w:tcBorders>
              <w:top w:val="single" w:sz="6" w:space="0" w:color="005FB4"/>
              <w:bottom w:val="single" w:sz="6" w:space="0" w:color="005FB4"/>
            </w:tcBorders>
            <w:hideMark/>
          </w:tcPr>
          <w:p w14:paraId="0FF60A06" w14:textId="77777777" w:rsidR="00DA5379" w:rsidRPr="00E07B7D" w:rsidRDefault="00DA5379" w:rsidP="009940F2">
            <w:pPr>
              <w:pStyle w:val="TableBullet"/>
              <w:rPr>
                <w:rFonts w:ascii="VIC" w:eastAsia="Yu Mincho" w:hAnsi="VIC"/>
                <w:sz w:val="20"/>
                <w:szCs w:val="20"/>
              </w:rPr>
            </w:pPr>
            <w:r w:rsidRPr="00E07B7D">
              <w:rPr>
                <w:rFonts w:ascii="VIC" w:hAnsi="VIC"/>
                <w:sz w:val="20"/>
                <w:szCs w:val="20"/>
              </w:rPr>
              <w:t>Do you have systems in place to identify and assess the nature and scope of the risks of harm from GHG emissions arising from your activities?</w:t>
            </w:r>
          </w:p>
          <w:p w14:paraId="6CEB301D" w14:textId="57DC6F06" w:rsidR="00DA5379" w:rsidRPr="00E07B7D" w:rsidRDefault="00DA5379" w:rsidP="009940F2">
            <w:pPr>
              <w:pStyle w:val="TableBullet"/>
              <w:rPr>
                <w:rFonts w:ascii="VIC" w:hAnsi="VIC"/>
                <w:sz w:val="20"/>
                <w:szCs w:val="20"/>
              </w:rPr>
            </w:pPr>
            <w:r w:rsidRPr="00E07B7D">
              <w:rPr>
                <w:rFonts w:ascii="VIC" w:hAnsi="VIC"/>
                <w:sz w:val="20"/>
                <w:szCs w:val="20"/>
              </w:rPr>
              <w:t xml:space="preserve">Is there sector-specific guidance that identifies significant </w:t>
            </w:r>
            <w:r w:rsidR="007D792C">
              <w:rPr>
                <w:rFonts w:ascii="VIC" w:hAnsi="VIC"/>
                <w:sz w:val="20"/>
                <w:szCs w:val="20"/>
              </w:rPr>
              <w:t>Scope 3</w:t>
            </w:r>
            <w:r w:rsidRPr="00E07B7D">
              <w:rPr>
                <w:rFonts w:ascii="VIC" w:hAnsi="VIC"/>
                <w:sz w:val="20"/>
                <w:szCs w:val="20"/>
              </w:rPr>
              <w:t xml:space="preserve"> emission sources for your sector?</w:t>
            </w:r>
          </w:p>
          <w:p w14:paraId="15A1C19F" w14:textId="040CE592" w:rsidR="00DA5379" w:rsidRPr="00E07B7D" w:rsidRDefault="00DA5379" w:rsidP="009940F2">
            <w:pPr>
              <w:pStyle w:val="TableBullet"/>
              <w:rPr>
                <w:rFonts w:ascii="VIC" w:hAnsi="VIC"/>
                <w:sz w:val="20"/>
                <w:szCs w:val="20"/>
              </w:rPr>
            </w:pPr>
            <w:r w:rsidRPr="00E07B7D">
              <w:rPr>
                <w:rFonts w:ascii="VIC" w:hAnsi="VIC"/>
                <w:sz w:val="20"/>
                <w:szCs w:val="20"/>
              </w:rPr>
              <w:t xml:space="preserve">Do any of your </w:t>
            </w:r>
            <w:r w:rsidR="007D792C">
              <w:rPr>
                <w:rFonts w:ascii="VIC" w:hAnsi="VIC"/>
                <w:sz w:val="20"/>
                <w:szCs w:val="20"/>
              </w:rPr>
              <w:t>Scope 3</w:t>
            </w:r>
            <w:r w:rsidRPr="00E07B7D">
              <w:rPr>
                <w:rFonts w:ascii="VIC" w:hAnsi="VIC"/>
                <w:sz w:val="20"/>
                <w:szCs w:val="20"/>
              </w:rPr>
              <w:t xml:space="preserve"> emissions arise from activities that occur within Victoria?</w:t>
            </w:r>
          </w:p>
          <w:p w14:paraId="798DB89D" w14:textId="77777777" w:rsidR="00DA5379" w:rsidRPr="00E07B7D" w:rsidRDefault="00DA5379" w:rsidP="009940F2">
            <w:pPr>
              <w:pStyle w:val="TableBullet"/>
              <w:rPr>
                <w:rFonts w:ascii="VIC" w:hAnsi="VIC"/>
                <w:sz w:val="20"/>
                <w:szCs w:val="20"/>
              </w:rPr>
            </w:pPr>
            <w:r w:rsidRPr="00E07B7D">
              <w:rPr>
                <w:rFonts w:ascii="VIC" w:hAnsi="VIC"/>
                <w:sz w:val="20"/>
                <w:szCs w:val="20"/>
              </w:rPr>
              <w:t>What works were carried out to evaluate the risks and develop adequate risk controls?</w:t>
            </w:r>
          </w:p>
          <w:p w14:paraId="4CF066A8" w14:textId="77777777" w:rsidR="00DA5379" w:rsidRPr="00E07B7D" w:rsidRDefault="00DA5379" w:rsidP="009940F2">
            <w:pPr>
              <w:pStyle w:val="TableBullet"/>
              <w:rPr>
                <w:rFonts w:ascii="VIC" w:hAnsi="VIC"/>
                <w:sz w:val="20"/>
                <w:szCs w:val="20"/>
              </w:rPr>
            </w:pPr>
            <w:r w:rsidRPr="00E07B7D">
              <w:rPr>
                <w:rFonts w:ascii="VIC" w:hAnsi="VIC"/>
                <w:sz w:val="20"/>
                <w:szCs w:val="20"/>
              </w:rPr>
              <w:t xml:space="preserve">What is the industry approach for eliminating or reducing those risks? </w:t>
            </w:r>
          </w:p>
          <w:p w14:paraId="19A30FB0" w14:textId="425A2F0C" w:rsidR="00DA5379" w:rsidRPr="00E07B7D" w:rsidRDefault="00DA5379" w:rsidP="009940F2">
            <w:pPr>
              <w:pStyle w:val="TableBullet"/>
              <w:rPr>
                <w:rFonts w:ascii="VIC" w:hAnsi="VIC"/>
                <w:sz w:val="20"/>
                <w:szCs w:val="20"/>
              </w:rPr>
            </w:pPr>
            <w:r w:rsidRPr="00E07B7D">
              <w:rPr>
                <w:rFonts w:ascii="VIC" w:hAnsi="VIC"/>
                <w:sz w:val="20"/>
                <w:szCs w:val="20"/>
              </w:rPr>
              <w:t>What reliable source of information exist in the public domain on risks of harm and ways to reduce those risks?</w:t>
            </w:r>
          </w:p>
        </w:tc>
      </w:tr>
      <w:tr w:rsidR="00DA5379" w14:paraId="08745BF0" w14:textId="77777777" w:rsidTr="00B20577">
        <w:tc>
          <w:tcPr>
            <w:tcW w:w="3969" w:type="dxa"/>
            <w:tcBorders>
              <w:top w:val="single" w:sz="6" w:space="0" w:color="005FB4"/>
              <w:bottom w:val="single" w:sz="6" w:space="0" w:color="005FB4"/>
            </w:tcBorders>
            <w:hideMark/>
          </w:tcPr>
          <w:p w14:paraId="7BCF846E" w14:textId="77777777" w:rsidR="00DA5379" w:rsidRDefault="00DA5379">
            <w:pPr>
              <w:pStyle w:val="BodyText"/>
            </w:pPr>
            <w:r>
              <w:t>Availability and suitability of ways to eliminate or reduce the risks</w:t>
            </w:r>
          </w:p>
        </w:tc>
        <w:tc>
          <w:tcPr>
            <w:tcW w:w="5669" w:type="dxa"/>
            <w:tcBorders>
              <w:top w:val="single" w:sz="6" w:space="0" w:color="005FB4"/>
              <w:bottom w:val="single" w:sz="6" w:space="0" w:color="005FB4"/>
            </w:tcBorders>
            <w:hideMark/>
          </w:tcPr>
          <w:p w14:paraId="63187AF3" w14:textId="77777777" w:rsidR="00DA5379" w:rsidRPr="00E07B7D" w:rsidRDefault="00DA5379" w:rsidP="009940F2">
            <w:pPr>
              <w:pStyle w:val="TableBullet"/>
              <w:rPr>
                <w:rFonts w:ascii="VIC" w:hAnsi="VIC"/>
                <w:sz w:val="20"/>
                <w:szCs w:val="20"/>
              </w:rPr>
            </w:pPr>
            <w:r w:rsidRPr="00E07B7D">
              <w:rPr>
                <w:rFonts w:ascii="VIC" w:hAnsi="VIC"/>
                <w:sz w:val="20"/>
                <w:szCs w:val="20"/>
              </w:rPr>
              <w:t>What technologies, processes and equipment are available to eliminate or reduce the risk?</w:t>
            </w:r>
          </w:p>
          <w:p w14:paraId="3D31BA62" w14:textId="77777777" w:rsidR="00DA5379" w:rsidRPr="00E07B7D" w:rsidRDefault="00DA5379" w:rsidP="009940F2">
            <w:pPr>
              <w:pStyle w:val="TableBullet"/>
              <w:rPr>
                <w:rFonts w:ascii="VIC" w:hAnsi="VIC"/>
                <w:sz w:val="20"/>
                <w:szCs w:val="20"/>
              </w:rPr>
            </w:pPr>
            <w:r w:rsidRPr="00E07B7D">
              <w:rPr>
                <w:rFonts w:ascii="VIC" w:hAnsi="VIC"/>
                <w:sz w:val="20"/>
                <w:szCs w:val="20"/>
              </w:rPr>
              <w:t xml:space="preserve">How easy is it to eliminate or reduce the risk from a particular source? </w:t>
            </w:r>
          </w:p>
          <w:p w14:paraId="37C80FFA" w14:textId="77777777" w:rsidR="00DA5379" w:rsidRPr="00E07B7D" w:rsidRDefault="00DA5379" w:rsidP="009940F2">
            <w:pPr>
              <w:pStyle w:val="TableBullet"/>
              <w:rPr>
                <w:rFonts w:ascii="VIC" w:hAnsi="VIC"/>
                <w:sz w:val="20"/>
                <w:szCs w:val="20"/>
              </w:rPr>
            </w:pPr>
            <w:r w:rsidRPr="00E07B7D">
              <w:rPr>
                <w:rFonts w:ascii="VIC" w:hAnsi="VIC"/>
                <w:sz w:val="20"/>
                <w:szCs w:val="20"/>
              </w:rPr>
              <w:t>How effective is the approach in eliminating or reducing the risk of harm?</w:t>
            </w:r>
          </w:p>
          <w:p w14:paraId="1119C383" w14:textId="6A95F556" w:rsidR="00DA5379" w:rsidRPr="00E07B7D" w:rsidRDefault="00DA5379" w:rsidP="009940F2">
            <w:pPr>
              <w:pStyle w:val="TableBullet"/>
              <w:rPr>
                <w:rFonts w:ascii="VIC" w:hAnsi="VIC"/>
                <w:sz w:val="20"/>
                <w:szCs w:val="20"/>
              </w:rPr>
            </w:pPr>
            <w:r w:rsidRPr="00E07B7D">
              <w:rPr>
                <w:rFonts w:ascii="VIC" w:hAnsi="VIC"/>
                <w:sz w:val="20"/>
                <w:szCs w:val="20"/>
              </w:rPr>
              <w:t xml:space="preserve">How much control, ownership or influence do you have over the source of emissions? For example, to reduce </w:t>
            </w:r>
            <w:r w:rsidR="007D792C">
              <w:rPr>
                <w:rFonts w:ascii="VIC" w:hAnsi="VIC"/>
                <w:sz w:val="20"/>
                <w:szCs w:val="20"/>
              </w:rPr>
              <w:t>Scope 3</w:t>
            </w:r>
            <w:r w:rsidRPr="00E07B7D">
              <w:rPr>
                <w:rFonts w:ascii="VIC" w:hAnsi="VIC"/>
                <w:sz w:val="20"/>
                <w:szCs w:val="20"/>
              </w:rPr>
              <w:t xml:space="preserve"> GHG emissions you may need to rely on collaboration and cooperation from suppliers, customers, and other external stakeholders.</w:t>
            </w:r>
          </w:p>
          <w:p w14:paraId="246E3C54" w14:textId="77777777" w:rsidR="00DA5379" w:rsidRPr="00E07B7D" w:rsidRDefault="00DA5379" w:rsidP="009940F2">
            <w:pPr>
              <w:pStyle w:val="TableBullet"/>
              <w:rPr>
                <w:rFonts w:ascii="VIC" w:hAnsi="VIC"/>
                <w:sz w:val="20"/>
                <w:szCs w:val="20"/>
              </w:rPr>
            </w:pPr>
            <w:r w:rsidRPr="00E07B7D">
              <w:rPr>
                <w:rFonts w:ascii="VIC" w:hAnsi="VIC"/>
                <w:sz w:val="20"/>
                <w:szCs w:val="20"/>
              </w:rPr>
              <w:lastRenderedPageBreak/>
              <w:t>Is the proposed approach to reduce emissions consistent with best available techniques and technologies?</w:t>
            </w:r>
          </w:p>
          <w:p w14:paraId="763C757E" w14:textId="3215471B" w:rsidR="00DA5379" w:rsidRPr="00E07B7D" w:rsidRDefault="00DA5379" w:rsidP="009940F2">
            <w:pPr>
              <w:pStyle w:val="TableBullet"/>
              <w:rPr>
                <w:rFonts w:ascii="VIC" w:hAnsi="VIC"/>
                <w:sz w:val="20"/>
                <w:szCs w:val="20"/>
              </w:rPr>
            </w:pPr>
            <w:r w:rsidRPr="00E07B7D">
              <w:rPr>
                <w:rFonts w:ascii="VIC" w:hAnsi="VIC"/>
                <w:sz w:val="20"/>
                <w:szCs w:val="20"/>
              </w:rPr>
              <w:t>Does the proposed approach introduce new and higher risks when considering all the circumstances?</w:t>
            </w:r>
          </w:p>
        </w:tc>
      </w:tr>
      <w:tr w:rsidR="00DA5379" w14:paraId="5ACB74C3" w14:textId="77777777" w:rsidTr="00B20577">
        <w:tc>
          <w:tcPr>
            <w:tcW w:w="3969" w:type="dxa"/>
            <w:tcBorders>
              <w:top w:val="single" w:sz="6" w:space="0" w:color="005FB4"/>
              <w:bottom w:val="single" w:sz="6" w:space="0" w:color="005FB4"/>
            </w:tcBorders>
            <w:hideMark/>
          </w:tcPr>
          <w:p w14:paraId="76E2514F" w14:textId="77777777" w:rsidR="00FE4E94" w:rsidRDefault="00DA5379">
            <w:pPr>
              <w:pStyle w:val="BodyText"/>
            </w:pPr>
            <w:r>
              <w:lastRenderedPageBreak/>
              <w:t xml:space="preserve">Cost of eliminating or reducing </w:t>
            </w:r>
          </w:p>
          <w:p w14:paraId="72F7AEB9" w14:textId="4FD343F1" w:rsidR="00DA5379" w:rsidRDefault="00DA5379">
            <w:pPr>
              <w:pStyle w:val="BodyText"/>
            </w:pPr>
            <w:r>
              <w:t>the risks</w:t>
            </w:r>
          </w:p>
        </w:tc>
        <w:tc>
          <w:tcPr>
            <w:tcW w:w="5669" w:type="dxa"/>
            <w:tcBorders>
              <w:top w:val="single" w:sz="6" w:space="0" w:color="005FB4"/>
              <w:bottom w:val="single" w:sz="6" w:space="0" w:color="005FB4"/>
            </w:tcBorders>
          </w:tcPr>
          <w:p w14:paraId="22F6D350" w14:textId="3727AF33" w:rsidR="00DA5379" w:rsidRPr="00E07B7D" w:rsidRDefault="00DA5379" w:rsidP="009940F2">
            <w:pPr>
              <w:pStyle w:val="TableBullet"/>
              <w:rPr>
                <w:rFonts w:ascii="VIC" w:eastAsia="Yu Mincho" w:hAnsi="VIC" w:cs="Symbol"/>
                <w:sz w:val="20"/>
                <w:szCs w:val="20"/>
              </w:rPr>
            </w:pPr>
            <w:r w:rsidRPr="00E07B7D">
              <w:rPr>
                <w:rFonts w:ascii="VIC" w:eastAsia="Yu Mincho" w:hAnsi="VIC" w:cs="Symbol"/>
                <w:sz w:val="20"/>
                <w:szCs w:val="20"/>
              </w:rPr>
              <w:t>What is the cost of the risk control measures available compared to how much the risks of harm would be reduced? (Some companies use an internal carbon price to reduce GHG emissions in their operations and supply chains, although these prices need to be reviewed regularly as prices are expected to rise over time.</w:t>
            </w:r>
            <w:r w:rsidR="00BB3328">
              <w:rPr>
                <w:rStyle w:val="FootnoteReference"/>
                <w:rFonts w:ascii="VIC" w:eastAsia="Yu Mincho" w:hAnsi="VIC" w:cs="Symbol"/>
                <w:sz w:val="20"/>
                <w:szCs w:val="20"/>
              </w:rPr>
              <w:footnoteReference w:customMarkFollows="1" w:id="12"/>
              <w:t>12</w:t>
            </w:r>
            <w:r w:rsidRPr="00E07B7D">
              <w:rPr>
                <w:rFonts w:ascii="VIC" w:eastAsia="Yu Mincho" w:hAnsi="VIC" w:cs="Symbol"/>
                <w:sz w:val="20"/>
                <w:szCs w:val="20"/>
              </w:rPr>
              <w:t xml:space="preserve">) </w:t>
            </w:r>
          </w:p>
          <w:p w14:paraId="3BA8EE51" w14:textId="2BF28AFC" w:rsidR="00DA5379" w:rsidRPr="00E07B7D" w:rsidRDefault="00DA5379" w:rsidP="009940F2">
            <w:pPr>
              <w:pStyle w:val="TableBullet"/>
              <w:rPr>
                <w:rFonts w:ascii="VIC" w:hAnsi="VIC"/>
                <w:sz w:val="20"/>
                <w:szCs w:val="20"/>
              </w:rPr>
            </w:pPr>
            <w:r w:rsidRPr="00E07B7D">
              <w:rPr>
                <w:rFonts w:ascii="VIC" w:eastAsia="Yu Mincho" w:hAnsi="VIC" w:cs="Symbol"/>
                <w:sz w:val="20"/>
                <w:szCs w:val="20"/>
              </w:rPr>
              <w:t>What would be the cost per unit reduction of risk for each control option?</w:t>
            </w:r>
          </w:p>
        </w:tc>
      </w:tr>
    </w:tbl>
    <w:p w14:paraId="4A4B46CA" w14:textId="77777777" w:rsidR="00DA5379" w:rsidRDefault="00DA5379" w:rsidP="00DA5379">
      <w:pPr>
        <w:pStyle w:val="BodyText"/>
      </w:pPr>
    </w:p>
    <w:p w14:paraId="44E78714" w14:textId="77777777" w:rsidR="00DA5379" w:rsidRDefault="00DA5379" w:rsidP="00F94955">
      <w:r>
        <w:t>You should use reputable sources like business and industry organisations, regulatory and government agencies, and other independent and/or international organisations</w:t>
      </w:r>
      <w:r w:rsidRPr="00A448F6">
        <w:t xml:space="preserve"> </w:t>
      </w:r>
      <w:r>
        <w:t>to learn more about the risks your activities pose and how to address them. This information forms part of the state of knowledge and needs to be considered when determining what is reasonably practicable in your specific circumstances. Chapters 8 and 9 of this Guideline also provide some useful information.</w:t>
      </w:r>
    </w:p>
    <w:p w14:paraId="0135DFFD" w14:textId="77777777" w:rsidR="00DA5379" w:rsidRDefault="00DA5379" w:rsidP="00F94955">
      <w:r>
        <w:t>In many cases, a clear, accepted, and effective control or set of controls set out in reputable guidelines, standards, or industry practices may represent a good reflection of what is reasonably practicable for a situation.</w:t>
      </w:r>
    </w:p>
    <w:p w14:paraId="0ADE9899" w14:textId="77777777" w:rsidR="00DA5379" w:rsidRDefault="00DA5379" w:rsidP="00F94955">
      <w:r>
        <w:t>L</w:t>
      </w:r>
      <w:r w:rsidRPr="00120A77">
        <w:t>arge emitters are expected to have a mature understanding of the GHG emissions risks posed by their operation and the approach to controlling those risks will reflect that understanding. This includes being aware of national and international approaches to eliminating or reducing the risks.</w:t>
      </w:r>
    </w:p>
    <w:p w14:paraId="1890D517" w14:textId="77777777" w:rsidR="00DA5379" w:rsidRDefault="00DA5379" w:rsidP="00F94955">
      <w:r>
        <w:t>Please note that the general state of knowledge about the risks to human health and the environment improves over time. New knowledge on risks arises and new opportunities to better minimise risks arise through new and more affordable technology and techniques, for example, as solutions to eliminate or reduce GHG emissions move from research and development to commercial readiness and become more widely available.</w:t>
      </w:r>
    </w:p>
    <w:p w14:paraId="70953E92" w14:textId="1EBC317C" w:rsidR="00C52D32" w:rsidRDefault="00DA5379" w:rsidP="00F94955">
      <w:pPr>
        <w:sectPr w:rsidR="00C52D32" w:rsidSect="001225D3">
          <w:pgSz w:w="11900" w:h="16840"/>
          <w:pgMar w:top="1000" w:right="740" w:bottom="1934" w:left="987" w:header="283" w:footer="812" w:gutter="0"/>
          <w:cols w:space="720"/>
        </w:sectPr>
      </w:pPr>
      <w:r>
        <w:t xml:space="preserve">See EPA’s </w:t>
      </w:r>
      <w:hyperlink r:id="rId66" w:history="1">
        <w:r>
          <w:rPr>
            <w:rStyle w:val="Hyperlink"/>
          </w:rPr>
          <w:t>Reasonably Practicable</w:t>
        </w:r>
      </w:hyperlink>
      <w:r>
        <w:t xml:space="preserve"> guidance (publication 1856) for more information on the state of knowledge.</w:t>
      </w:r>
    </w:p>
    <w:p w14:paraId="4567BDED" w14:textId="19C5434D" w:rsidR="008F6392" w:rsidRPr="00F747A6" w:rsidRDefault="008F6392" w:rsidP="009940F2">
      <w:pPr>
        <w:pStyle w:val="Heading1"/>
        <w:numPr>
          <w:ilvl w:val="0"/>
          <w:numId w:val="4"/>
        </w:numPr>
        <w:rPr>
          <w:b/>
          <w:bCs/>
        </w:rPr>
      </w:pPr>
      <w:bookmarkStart w:id="215" w:name="_Toc85802354"/>
      <w:bookmarkStart w:id="216" w:name="_Toc87612595"/>
      <w:bookmarkStart w:id="217" w:name="_Toc112341035"/>
      <w:bookmarkStart w:id="218" w:name="_Toc114045812"/>
      <w:bookmarkStart w:id="219" w:name="_Toc114566218"/>
      <w:r w:rsidRPr="00F747A6">
        <w:rPr>
          <w:b/>
          <w:bCs/>
          <w:noProof/>
        </w:rPr>
        <w:lastRenderedPageBreak/>
        <w:drawing>
          <wp:anchor distT="0" distB="0" distL="114300" distR="114300" simplePos="0" relativeHeight="251658251" behindDoc="1" locked="0" layoutInCell="1" allowOverlap="1" wp14:anchorId="37EE0F41" wp14:editId="42CC0881">
            <wp:simplePos x="0" y="0"/>
            <wp:positionH relativeFrom="margin">
              <wp:align>right</wp:align>
            </wp:positionH>
            <wp:positionV relativeFrom="paragraph">
              <wp:posOffset>0</wp:posOffset>
            </wp:positionV>
            <wp:extent cx="1359535" cy="1371600"/>
            <wp:effectExtent l="0" t="0" r="0" b="0"/>
            <wp:wrapSquare wrapText="bothSides"/>
            <wp:docPr id="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l="5040" t="15178" r="5057" b="20535"/>
                    <a:stretch>
                      <a:fillRect/>
                    </a:stretch>
                  </pic:blipFill>
                  <pic:spPr bwMode="auto">
                    <a:xfrm>
                      <a:off x="0" y="0"/>
                      <a:ext cx="1359535" cy="1371600"/>
                    </a:xfrm>
                    <a:prstGeom prst="rect">
                      <a:avLst/>
                    </a:prstGeom>
                    <a:noFill/>
                  </pic:spPr>
                </pic:pic>
              </a:graphicData>
            </a:graphic>
            <wp14:sizeRelH relativeFrom="page">
              <wp14:pctWidth>0</wp14:pctWidth>
            </wp14:sizeRelH>
            <wp14:sizeRelV relativeFrom="page">
              <wp14:pctHeight>0</wp14:pctHeight>
            </wp14:sizeRelV>
          </wp:anchor>
        </w:drawing>
      </w:r>
      <w:r w:rsidRPr="00F747A6">
        <w:rPr>
          <w:b/>
          <w:bCs/>
        </w:rPr>
        <w:t>Step 4 – Review controls to ensure they are effective</w:t>
      </w:r>
      <w:bookmarkEnd w:id="215"/>
      <w:bookmarkEnd w:id="216"/>
      <w:bookmarkEnd w:id="217"/>
      <w:bookmarkEnd w:id="218"/>
      <w:bookmarkEnd w:id="219"/>
      <w:r w:rsidRPr="00F747A6">
        <w:rPr>
          <w:b/>
          <w:bCs/>
        </w:rPr>
        <w:t xml:space="preserve"> </w:t>
      </w:r>
      <w:bookmarkStart w:id="220" w:name="_Toc85798821"/>
      <w:bookmarkStart w:id="221" w:name="_Toc85802355"/>
      <w:bookmarkStart w:id="222" w:name="_Toc85802449"/>
      <w:bookmarkStart w:id="223" w:name="_Toc85802826"/>
      <w:bookmarkStart w:id="224" w:name="_Toc85803006"/>
      <w:bookmarkStart w:id="225" w:name="_Toc85810973"/>
      <w:bookmarkStart w:id="226" w:name="_Toc85798822"/>
      <w:bookmarkStart w:id="227" w:name="_Toc85802356"/>
      <w:bookmarkStart w:id="228" w:name="_Toc85802450"/>
      <w:bookmarkStart w:id="229" w:name="_Toc85802827"/>
      <w:bookmarkStart w:id="230" w:name="_Toc85803007"/>
      <w:bookmarkStart w:id="231" w:name="_Toc85798823"/>
      <w:bookmarkStart w:id="232" w:name="_Toc85802357"/>
      <w:bookmarkStart w:id="233" w:name="_Toc85802451"/>
      <w:bookmarkStart w:id="234" w:name="_Toc85802828"/>
      <w:bookmarkStart w:id="235" w:name="_Toc85803008"/>
      <w:bookmarkStart w:id="236" w:name="_Toc8580235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4D032F" w14:textId="77777777" w:rsidR="00AD2F80" w:rsidRDefault="00AD2F80" w:rsidP="00AD2F80">
      <w:pPr>
        <w:pStyle w:val="BodyText"/>
      </w:pPr>
      <w:r>
        <w:t>Controls you have put in place to eliminate or reduce risks must be monitored to ensure they work as planned.</w:t>
      </w:r>
    </w:p>
    <w:p w14:paraId="2C7FED87" w14:textId="543A48D7" w:rsidR="00AD2F80" w:rsidRDefault="009A7198" w:rsidP="003200E5">
      <w:pPr>
        <w:pStyle w:val="Heading2"/>
        <w:spacing w:before="300"/>
      </w:pPr>
      <w:bookmarkStart w:id="237" w:name="_Toc85802359"/>
      <w:bookmarkStart w:id="238" w:name="_Toc87612596"/>
      <w:bookmarkStart w:id="239" w:name="_Toc112341036"/>
      <w:bookmarkStart w:id="240" w:name="_Toc114045813"/>
      <w:bookmarkStart w:id="241" w:name="_Toc114566219"/>
      <w:r>
        <w:t>6.1</w:t>
      </w:r>
      <w:r>
        <w:tab/>
      </w:r>
      <w:r w:rsidR="00AD2F80">
        <w:t>Checking controls</w:t>
      </w:r>
      <w:bookmarkEnd w:id="237"/>
      <w:bookmarkEnd w:id="238"/>
      <w:bookmarkEnd w:id="239"/>
      <w:bookmarkEnd w:id="240"/>
      <w:bookmarkEnd w:id="241"/>
    </w:p>
    <w:p w14:paraId="42C82A83" w14:textId="77777777" w:rsidR="00AD2F80" w:rsidRDefault="00AD2F80" w:rsidP="00AD2F80">
      <w:pPr>
        <w:pStyle w:val="BodyText"/>
        <w:keepNext/>
      </w:pPr>
      <w:r>
        <w:t>You can consider these common methods to check the effectiveness of controls:</w:t>
      </w:r>
    </w:p>
    <w:p w14:paraId="1413AE99" w14:textId="77777777" w:rsidR="00AD2F80" w:rsidRPr="00AD2F80" w:rsidRDefault="00AD2F80" w:rsidP="009940F2">
      <w:pPr>
        <w:pStyle w:val="ListBullet0"/>
        <w:rPr>
          <w:rFonts w:ascii="VIC" w:hAnsi="VIC"/>
          <w:sz w:val="20"/>
          <w:szCs w:val="20"/>
        </w:rPr>
      </w:pPr>
      <w:r w:rsidRPr="00AD2F80">
        <w:rPr>
          <w:rFonts w:ascii="VIC" w:hAnsi="VIC"/>
          <w:sz w:val="20"/>
          <w:szCs w:val="20"/>
        </w:rPr>
        <w:t>regular site inspections and audits</w:t>
      </w:r>
    </w:p>
    <w:p w14:paraId="521DD03D" w14:textId="77777777" w:rsidR="00AD2F80" w:rsidRPr="00AD2F80" w:rsidRDefault="00AD2F80" w:rsidP="009940F2">
      <w:pPr>
        <w:pStyle w:val="ListBullet0"/>
        <w:rPr>
          <w:rFonts w:ascii="VIC" w:hAnsi="VIC"/>
          <w:sz w:val="20"/>
          <w:szCs w:val="20"/>
        </w:rPr>
      </w:pPr>
      <w:r w:rsidRPr="00AD2F80">
        <w:rPr>
          <w:rFonts w:ascii="VIC" w:hAnsi="VIC"/>
          <w:sz w:val="20"/>
          <w:szCs w:val="20"/>
        </w:rPr>
        <w:t>consulting with employees, contractors, occupants, and landlords</w:t>
      </w:r>
    </w:p>
    <w:p w14:paraId="5CCA97E3" w14:textId="77777777" w:rsidR="00AD2F80" w:rsidRPr="00AD2F80" w:rsidRDefault="00AD2F80" w:rsidP="009940F2">
      <w:pPr>
        <w:pStyle w:val="ListBullet0"/>
        <w:rPr>
          <w:rFonts w:ascii="VIC" w:hAnsi="VIC"/>
          <w:sz w:val="20"/>
          <w:szCs w:val="20"/>
        </w:rPr>
      </w:pPr>
      <w:r w:rsidRPr="00AD2F80">
        <w:rPr>
          <w:rFonts w:ascii="VIC" w:hAnsi="VIC"/>
          <w:sz w:val="20"/>
          <w:szCs w:val="20"/>
        </w:rPr>
        <w:t>inspecting, testing, and maintaining GHG emission control systems</w:t>
      </w:r>
    </w:p>
    <w:p w14:paraId="6331D699" w14:textId="77777777" w:rsidR="00AD2F80" w:rsidRPr="00AD2F80" w:rsidRDefault="00AD2F80" w:rsidP="009940F2">
      <w:pPr>
        <w:pStyle w:val="ListBullet0"/>
        <w:rPr>
          <w:rFonts w:ascii="VIC" w:hAnsi="VIC"/>
          <w:sz w:val="20"/>
          <w:szCs w:val="20"/>
        </w:rPr>
      </w:pPr>
      <w:r w:rsidRPr="00AD2F80">
        <w:rPr>
          <w:rFonts w:ascii="VIC" w:hAnsi="VIC"/>
          <w:sz w:val="20"/>
          <w:szCs w:val="20"/>
        </w:rPr>
        <w:t>using available information, such as manufacturer/supplier instructions</w:t>
      </w:r>
    </w:p>
    <w:p w14:paraId="0A02A472" w14:textId="77777777" w:rsidR="00AD2F80" w:rsidRPr="00AD2F80" w:rsidRDefault="00AD2F80" w:rsidP="009940F2">
      <w:pPr>
        <w:pStyle w:val="ListBullet0"/>
        <w:rPr>
          <w:rFonts w:ascii="VIC" w:hAnsi="VIC"/>
          <w:sz w:val="20"/>
          <w:szCs w:val="20"/>
        </w:rPr>
      </w:pPr>
      <w:r w:rsidRPr="00AD2F80">
        <w:rPr>
          <w:rFonts w:ascii="VIC" w:hAnsi="VIC"/>
          <w:sz w:val="20"/>
          <w:szCs w:val="20"/>
        </w:rPr>
        <w:t>analysing records and data, such as electricity and gas bills and fuel usage.</w:t>
      </w:r>
    </w:p>
    <w:p w14:paraId="226B5C5E" w14:textId="77777777" w:rsidR="00AD2F80" w:rsidRDefault="00AD2F80" w:rsidP="00AD2F80">
      <w:pPr>
        <w:pStyle w:val="BodyText"/>
      </w:pPr>
      <w:r>
        <w:t>If these checks are made regularly failures in controls can be identified as well as opportunities for improvement.</w:t>
      </w:r>
    </w:p>
    <w:p w14:paraId="0BC34969" w14:textId="6810B3E5" w:rsidR="00AD2F80" w:rsidRDefault="009A7198" w:rsidP="003200E5">
      <w:pPr>
        <w:pStyle w:val="Heading2"/>
        <w:spacing w:before="300"/>
      </w:pPr>
      <w:bookmarkStart w:id="242" w:name="_Toc85802360"/>
      <w:bookmarkStart w:id="243" w:name="_Toc87612597"/>
      <w:bookmarkStart w:id="244" w:name="_Toc112341037"/>
      <w:bookmarkStart w:id="245" w:name="_Toc114045814"/>
      <w:bookmarkStart w:id="246" w:name="_Toc114566220"/>
      <w:r>
        <w:t>6.2</w:t>
      </w:r>
      <w:r>
        <w:tab/>
      </w:r>
      <w:r w:rsidR="003200E5">
        <w:t xml:space="preserve"> </w:t>
      </w:r>
      <w:r w:rsidR="00AD2F80">
        <w:t>Maintaining effective controls</w:t>
      </w:r>
      <w:bookmarkStart w:id="247" w:name="_Toc85802361"/>
      <w:bookmarkEnd w:id="242"/>
      <w:bookmarkEnd w:id="243"/>
      <w:bookmarkEnd w:id="244"/>
      <w:bookmarkEnd w:id="245"/>
      <w:bookmarkEnd w:id="246"/>
      <w:bookmarkEnd w:id="247"/>
    </w:p>
    <w:p w14:paraId="5DE3EAA7" w14:textId="77777777" w:rsidR="00AD2F80" w:rsidRDefault="00AD2F80" w:rsidP="00AD2F80">
      <w:pPr>
        <w:pStyle w:val="BodyText"/>
        <w:keepNext/>
      </w:pPr>
      <w:r>
        <w:t>Several things need to be put in place to maintain controls and ensure they stay effective, these may include:</w:t>
      </w:r>
    </w:p>
    <w:p w14:paraId="0BADFAA3" w14:textId="77777777" w:rsidR="00AD2F80" w:rsidRPr="00AD6A3D" w:rsidRDefault="00AD2F80" w:rsidP="009940F2">
      <w:pPr>
        <w:pStyle w:val="ListBullet0"/>
        <w:rPr>
          <w:rFonts w:ascii="VIC" w:hAnsi="VIC"/>
          <w:sz w:val="20"/>
          <w:szCs w:val="20"/>
        </w:rPr>
      </w:pPr>
      <w:r w:rsidRPr="00AD6A3D">
        <w:rPr>
          <w:rFonts w:ascii="VIC" w:hAnsi="VIC"/>
          <w:sz w:val="20"/>
          <w:szCs w:val="20"/>
        </w:rPr>
        <w:t>reviewing GHG emission levels regularly as these can change over time</w:t>
      </w:r>
    </w:p>
    <w:p w14:paraId="2C74FD42" w14:textId="77777777" w:rsidR="00AD2F80" w:rsidRPr="00AD6A3D" w:rsidRDefault="00AD2F80" w:rsidP="009940F2">
      <w:pPr>
        <w:pStyle w:val="ListBullet0"/>
        <w:rPr>
          <w:rFonts w:ascii="VIC" w:hAnsi="VIC"/>
          <w:sz w:val="20"/>
          <w:szCs w:val="20"/>
        </w:rPr>
      </w:pPr>
      <w:r w:rsidRPr="00AD6A3D">
        <w:rPr>
          <w:rFonts w:ascii="VIC" w:hAnsi="VIC"/>
          <w:sz w:val="20"/>
          <w:szCs w:val="20"/>
        </w:rPr>
        <w:t xml:space="preserve">regularly reviewing, </w:t>
      </w:r>
      <w:proofErr w:type="gramStart"/>
      <w:r w:rsidRPr="00AD6A3D">
        <w:rPr>
          <w:rFonts w:ascii="VIC" w:hAnsi="VIC"/>
          <w:sz w:val="20"/>
          <w:szCs w:val="20"/>
        </w:rPr>
        <w:t>testing</w:t>
      </w:r>
      <w:proofErr w:type="gramEnd"/>
      <w:r w:rsidRPr="00AD6A3D">
        <w:rPr>
          <w:rFonts w:ascii="VIC" w:hAnsi="VIC"/>
          <w:sz w:val="20"/>
          <w:szCs w:val="20"/>
        </w:rPr>
        <w:t xml:space="preserve"> and maintaining all engineering controls</w:t>
      </w:r>
    </w:p>
    <w:p w14:paraId="1F248FBD" w14:textId="77777777" w:rsidR="00AD2F80" w:rsidRPr="00AD6A3D" w:rsidRDefault="00AD2F80" w:rsidP="009940F2">
      <w:pPr>
        <w:pStyle w:val="ListBullet0"/>
        <w:rPr>
          <w:rFonts w:ascii="VIC" w:hAnsi="VIC"/>
          <w:sz w:val="20"/>
          <w:szCs w:val="20"/>
        </w:rPr>
      </w:pPr>
      <w:r w:rsidRPr="00AD6A3D">
        <w:rPr>
          <w:rFonts w:ascii="VIC" w:hAnsi="VIC"/>
          <w:sz w:val="20"/>
          <w:szCs w:val="20"/>
        </w:rPr>
        <w:t>allocating responsibility and accountability for GHG emission controls</w:t>
      </w:r>
    </w:p>
    <w:p w14:paraId="58AB196E" w14:textId="77777777" w:rsidR="00AD2F80" w:rsidRPr="00AD6A3D" w:rsidRDefault="00AD2F80" w:rsidP="009940F2">
      <w:pPr>
        <w:pStyle w:val="ListBullet0"/>
        <w:rPr>
          <w:rFonts w:ascii="VIC" w:hAnsi="VIC"/>
          <w:sz w:val="20"/>
          <w:szCs w:val="20"/>
        </w:rPr>
      </w:pPr>
      <w:r w:rsidRPr="00AD6A3D">
        <w:rPr>
          <w:rFonts w:ascii="VIC" w:hAnsi="VIC"/>
          <w:sz w:val="20"/>
          <w:szCs w:val="20"/>
        </w:rPr>
        <w:t>clear and effective communication about the importance of minimising GHGs emissions as part of the organisation’s activities</w:t>
      </w:r>
    </w:p>
    <w:p w14:paraId="36FB6DA6" w14:textId="77777777" w:rsidR="00AD2F80" w:rsidRPr="00AD6A3D" w:rsidRDefault="00AD2F80" w:rsidP="009940F2">
      <w:pPr>
        <w:pStyle w:val="ListBullet0"/>
        <w:rPr>
          <w:rFonts w:ascii="VIC" w:hAnsi="VIC"/>
          <w:sz w:val="20"/>
          <w:szCs w:val="20"/>
        </w:rPr>
      </w:pPr>
      <w:r w:rsidRPr="00AD6A3D">
        <w:rPr>
          <w:rFonts w:ascii="VIC" w:hAnsi="VIC"/>
          <w:sz w:val="20"/>
          <w:szCs w:val="20"/>
        </w:rPr>
        <w:t>regular training, including refresher training for administrative controls.</w:t>
      </w:r>
    </w:p>
    <w:p w14:paraId="66AA473A" w14:textId="4B019571" w:rsidR="00AD2F80" w:rsidRDefault="009A7198" w:rsidP="003200E5">
      <w:pPr>
        <w:pStyle w:val="Heading2"/>
        <w:spacing w:before="300"/>
      </w:pPr>
      <w:bookmarkStart w:id="248" w:name="_Toc85802362"/>
      <w:bookmarkStart w:id="249" w:name="_Toc87612598"/>
      <w:bookmarkStart w:id="250" w:name="_Toc112341038"/>
      <w:bookmarkStart w:id="251" w:name="_Toc114045815"/>
      <w:bookmarkStart w:id="252" w:name="_Toc114566221"/>
      <w:r>
        <w:t>6.3</w:t>
      </w:r>
      <w:r>
        <w:tab/>
      </w:r>
      <w:r w:rsidR="00AD2F80">
        <w:t>Continual improvement and review</w:t>
      </w:r>
      <w:bookmarkStart w:id="253" w:name="_Toc85802363"/>
      <w:bookmarkEnd w:id="248"/>
      <w:bookmarkEnd w:id="249"/>
      <w:bookmarkEnd w:id="250"/>
      <w:bookmarkEnd w:id="251"/>
      <w:bookmarkEnd w:id="252"/>
      <w:bookmarkEnd w:id="253"/>
    </w:p>
    <w:p w14:paraId="2D7B78AD" w14:textId="77777777" w:rsidR="00AD2F80" w:rsidRDefault="00AD2F80" w:rsidP="009A7198">
      <w:r>
        <w:t>The ultimate objective of continual improvement and review of risk control measures is to minimise the risks of harm to human health and the environment so far as reasonably practicable.</w:t>
      </w:r>
    </w:p>
    <w:p w14:paraId="74D1614E" w14:textId="77777777" w:rsidR="00AD2F80" w:rsidRDefault="00AD2F80" w:rsidP="009A7198">
      <w:r>
        <w:t xml:space="preserve">What is reasonably practicable to minimise risks of harm in any given context may vary over time, for example, as new knowledge emerges, and new techniques and technologies are developed. </w:t>
      </w:r>
    </w:p>
    <w:p w14:paraId="1F8EF316" w14:textId="77777777" w:rsidR="00AD2F80" w:rsidRDefault="00AD2F80" w:rsidP="009A7198">
      <w:r>
        <w:t>You should regularly check your risks and controls by reviewing:</w:t>
      </w:r>
    </w:p>
    <w:p w14:paraId="4A104F4F"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lang w:eastAsia="en-AU"/>
        </w:rPr>
        <w:t>your understanding of the consequences of your activities and whether they are likely to cause risks</w:t>
      </w:r>
      <w:r w:rsidRPr="00AD6A3D">
        <w:rPr>
          <w:rFonts w:ascii="VIC" w:hAnsi="VIC"/>
          <w:sz w:val="20"/>
          <w:szCs w:val="20"/>
        </w:rPr>
        <w:t xml:space="preserve"> </w:t>
      </w:r>
    </w:p>
    <w:p w14:paraId="6EBF6C01"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rPr>
        <w:t>the effectiveness of your approach to tracking and calculating your GHG emissions (including improving the quality of your GHG emissions inventory)</w:t>
      </w:r>
    </w:p>
    <w:p w14:paraId="409F4831"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lang w:eastAsia="en-AU"/>
        </w:rPr>
        <w:t>the effectiveness of your approach to minimising risk of harm from GHG emissions</w:t>
      </w:r>
      <w:r w:rsidRPr="00AD6A3D">
        <w:rPr>
          <w:rFonts w:ascii="VIC" w:hAnsi="VIC"/>
          <w:sz w:val="20"/>
          <w:szCs w:val="20"/>
        </w:rPr>
        <w:t xml:space="preserve"> </w:t>
      </w:r>
    </w:p>
    <w:p w14:paraId="39A153F2"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lang w:eastAsia="en-AU"/>
        </w:rPr>
        <w:t xml:space="preserve">controls you have in place to reduce the risk of harm from GHG emissions. </w:t>
      </w:r>
    </w:p>
    <w:p w14:paraId="7D1E4413" w14:textId="77777777" w:rsidR="00AD2F80" w:rsidRDefault="00AD2F80" w:rsidP="00B25373">
      <w:r>
        <w:t>You must maintain your understanding of the state of knowledge on GHG emissions reduction opportunities, including ensuring an up-to-date understanding of:</w:t>
      </w:r>
    </w:p>
    <w:p w14:paraId="0D2692F4" w14:textId="77777777" w:rsidR="00AD2F80" w:rsidRPr="001368EF" w:rsidRDefault="00AD2F80" w:rsidP="009940F2">
      <w:pPr>
        <w:pStyle w:val="ListBullet0"/>
        <w:rPr>
          <w:rFonts w:ascii="VIC" w:hAnsi="VIC"/>
          <w:sz w:val="20"/>
          <w:szCs w:val="20"/>
        </w:rPr>
      </w:pPr>
      <w:r w:rsidRPr="001368EF">
        <w:rPr>
          <w:rFonts w:ascii="VIC" w:hAnsi="VIC"/>
          <w:sz w:val="20"/>
          <w:szCs w:val="20"/>
        </w:rPr>
        <w:lastRenderedPageBreak/>
        <w:t xml:space="preserve">suitable new technology and practices that become available in your sector generally – the pace with which knowledge changes or improves is different for all industries and activities </w:t>
      </w:r>
    </w:p>
    <w:p w14:paraId="1BE04C78" w14:textId="77777777" w:rsidR="00AD2F80" w:rsidRPr="001368EF" w:rsidRDefault="00AD2F80" w:rsidP="009940F2">
      <w:pPr>
        <w:pStyle w:val="ListBullet0"/>
        <w:rPr>
          <w:rFonts w:ascii="VIC" w:hAnsi="VIC"/>
          <w:sz w:val="20"/>
          <w:szCs w:val="20"/>
        </w:rPr>
      </w:pPr>
      <w:r w:rsidRPr="001368EF">
        <w:rPr>
          <w:rFonts w:ascii="VIC" w:hAnsi="VIC"/>
          <w:sz w:val="20"/>
          <w:szCs w:val="20"/>
        </w:rPr>
        <w:t xml:space="preserve">relevant strategies, programs, policies and guidance – for example, </w:t>
      </w:r>
      <w:hyperlink r:id="rId68">
        <w:r w:rsidRPr="001368EF">
          <w:rPr>
            <w:rStyle w:val="Hyperlink"/>
            <w:rFonts w:ascii="VIC" w:hAnsi="VIC" w:cs="Arial"/>
            <w:szCs w:val="20"/>
          </w:rPr>
          <w:t>Victoria’s Climate Change Strategy</w:t>
        </w:r>
      </w:hyperlink>
      <w:r w:rsidRPr="001368EF">
        <w:rPr>
          <w:rFonts w:ascii="VIC" w:hAnsi="VIC"/>
          <w:sz w:val="20"/>
          <w:szCs w:val="20"/>
        </w:rPr>
        <w:t xml:space="preserve"> and relevant </w:t>
      </w:r>
      <w:hyperlink r:id="rId69" w:history="1">
        <w:r w:rsidRPr="001368EF">
          <w:rPr>
            <w:rStyle w:val="Hyperlink"/>
            <w:rFonts w:ascii="VIC" w:hAnsi="VIC"/>
            <w:szCs w:val="20"/>
          </w:rPr>
          <w:t>whole of Victorian Government and sector emissions reductions pledges</w:t>
        </w:r>
      </w:hyperlink>
      <w:r w:rsidRPr="001368EF">
        <w:rPr>
          <w:rFonts w:ascii="VIC" w:hAnsi="VIC"/>
          <w:sz w:val="20"/>
          <w:szCs w:val="20"/>
        </w:rPr>
        <w:t>.</w:t>
      </w:r>
    </w:p>
    <w:p w14:paraId="06E2696B" w14:textId="6260EA4E" w:rsidR="00AD2F80" w:rsidRDefault="00AD2F80" w:rsidP="001368EF">
      <w:r>
        <w:t xml:space="preserve">Documenting your risks and management actions to minimise your GHG emissions and reviewing these regularly will enable your business to determine the effectiveness of the controls and support continuous improvement. An example of an action plan </w:t>
      </w:r>
      <w:r w:rsidR="004D4C00">
        <w:t xml:space="preserve">template </w:t>
      </w:r>
      <w:r>
        <w:t>is provided in Appendix B.</w:t>
      </w:r>
    </w:p>
    <w:p w14:paraId="36F2EED6" w14:textId="77777777" w:rsidR="00AD2F80" w:rsidRPr="00AA5240" w:rsidRDefault="00AD2F80" w:rsidP="001368EF">
      <w:r>
        <w:t xml:space="preserve">For EPA licence holders, every licence issued by EPA requires the licence holder to have a risk management and monitoring program (RMMP) in place that enables the licence holder and EPA to determine compliance </w:t>
      </w:r>
      <w:r w:rsidRPr="00AA5240">
        <w:t xml:space="preserve">with the GED. EPA expects licence holders to have a robust system in place to ensure their environmental performance is adequately assessed and demonstrated to comply with their licence and the GED. </w:t>
      </w:r>
    </w:p>
    <w:p w14:paraId="20C14DBA" w14:textId="4F08CE31" w:rsidR="00AD2F80" w:rsidRDefault="00AD2F80" w:rsidP="001368EF">
      <w:r>
        <w:rPr>
          <w:color w:val="333333"/>
        </w:rPr>
        <w:t xml:space="preserve">More information on RMMPs for licence holders can be found in </w:t>
      </w:r>
      <w:hyperlink r:id="rId70" w:history="1">
        <w:r>
          <w:rPr>
            <w:rStyle w:val="Hyperlink"/>
          </w:rPr>
          <w:t>Implementing the general environmental duty: A guide for licence holders</w:t>
        </w:r>
      </w:hyperlink>
      <w:r>
        <w:rPr>
          <w:color w:val="333333"/>
        </w:rPr>
        <w:t>.</w:t>
      </w:r>
      <w:r>
        <w:t xml:space="preserve"> </w:t>
      </w:r>
      <w:r>
        <w:rPr>
          <w:bCs/>
        </w:rPr>
        <w:t xml:space="preserve">EPA’s </w:t>
      </w:r>
      <w:hyperlink r:id="rId71" w:history="1">
        <w:r>
          <w:rPr>
            <w:rStyle w:val="Hyperlink"/>
            <w:bCs/>
          </w:rPr>
          <w:t>Development Licence Application Guidance</w:t>
        </w:r>
      </w:hyperlink>
      <w:r>
        <w:rPr>
          <w:bCs/>
        </w:rPr>
        <w:t xml:space="preserve"> (</w:t>
      </w:r>
      <w:r w:rsidR="00361EC3">
        <w:rPr>
          <w:bCs/>
        </w:rPr>
        <w:t>p</w:t>
      </w:r>
      <w:r>
        <w:rPr>
          <w:bCs/>
        </w:rPr>
        <w:t>ublication 2011) has further detail about the information EPA may require or request from permission applicants</w:t>
      </w:r>
      <w:r>
        <w:rPr>
          <w:color w:val="333333"/>
        </w:rPr>
        <w:t>.</w:t>
      </w:r>
    </w:p>
    <w:p w14:paraId="32CFA513" w14:textId="3F454282" w:rsidR="00AD2F80" w:rsidRDefault="001368EF" w:rsidP="00AD2F80">
      <w:pPr>
        <w:pStyle w:val="Heading2"/>
      </w:pPr>
      <w:bookmarkStart w:id="254" w:name="_Toc85802364"/>
      <w:bookmarkStart w:id="255" w:name="_Toc87612599"/>
      <w:bookmarkStart w:id="256" w:name="_Toc112341039"/>
      <w:bookmarkStart w:id="257" w:name="_Toc114045816"/>
      <w:bookmarkStart w:id="258" w:name="_Toc114566222"/>
      <w:r>
        <w:t>6.4</w:t>
      </w:r>
      <w:r>
        <w:tab/>
      </w:r>
      <w:r w:rsidR="00AD2F80">
        <w:t>GHG emission targets</w:t>
      </w:r>
      <w:bookmarkStart w:id="259" w:name="_Toc85802365"/>
      <w:bookmarkEnd w:id="254"/>
      <w:bookmarkEnd w:id="255"/>
      <w:bookmarkEnd w:id="256"/>
      <w:bookmarkEnd w:id="257"/>
      <w:bookmarkEnd w:id="258"/>
      <w:bookmarkEnd w:id="259"/>
    </w:p>
    <w:p w14:paraId="62FC8ED6" w14:textId="77777777" w:rsidR="00AD2F80" w:rsidRDefault="00AD2F80" w:rsidP="00EB1589">
      <w:r>
        <w:t xml:space="preserve">Many businesses voluntarily set GHG emissions reduction targets or pledges to help drive reductions over time, track performance and ensure GHG emissions are factored into decision making. EPA licensed businesses are required to set environmental performance objectives as part of their RMMP. The global </w:t>
      </w:r>
      <w:hyperlink r:id="rId72" w:history="1">
        <w:r>
          <w:rPr>
            <w:rStyle w:val="Hyperlink"/>
          </w:rPr>
          <w:t>GHG Protocol</w:t>
        </w:r>
      </w:hyperlink>
      <w:r>
        <w:t xml:space="preserve"> and the </w:t>
      </w:r>
      <w:hyperlink r:id="rId73" w:history="1">
        <w:r>
          <w:rPr>
            <w:rStyle w:val="Hyperlink"/>
          </w:rPr>
          <w:t>Science Based Target Initiative</w:t>
        </w:r>
      </w:hyperlink>
      <w:r>
        <w:t xml:space="preserve"> provide advice on how to set targets. </w:t>
      </w:r>
    </w:p>
    <w:p w14:paraId="0E0085C8" w14:textId="77777777" w:rsidR="00AD2F80" w:rsidRDefault="00AD2F80" w:rsidP="00EB1589">
      <w:r>
        <w:t>Targets should compare to a base year and be time dependent. A base year is a reference point in time that future emissions reductions are measured against, for example, a 25 per cent reduction from 1990 levels by 2020. The base year you choose should have representative, reliable and verifiable emissions data available.</w:t>
      </w:r>
    </w:p>
    <w:p w14:paraId="4518FB8F" w14:textId="77777777" w:rsidR="00AD2F80" w:rsidRDefault="00AD2F80" w:rsidP="00EB1589">
      <w:r>
        <w:t>Targets for GHG may include:</w:t>
      </w:r>
    </w:p>
    <w:p w14:paraId="6A7775BD" w14:textId="300C414A" w:rsidR="00AD2F80" w:rsidRPr="00973118" w:rsidRDefault="00AD2F80" w:rsidP="009940F2">
      <w:pPr>
        <w:pStyle w:val="ListBullet0"/>
        <w:spacing w:before="40" w:after="40"/>
        <w:rPr>
          <w:rFonts w:ascii="VIC" w:hAnsi="VIC"/>
          <w:sz w:val="20"/>
          <w:szCs w:val="20"/>
        </w:rPr>
      </w:pPr>
      <w:r w:rsidRPr="00973118">
        <w:rPr>
          <w:rFonts w:ascii="VIC" w:hAnsi="VIC"/>
          <w:sz w:val="20"/>
          <w:szCs w:val="20"/>
        </w:rPr>
        <w:t xml:space="preserve">an overarching long-term GHG emission target – such as reducing absolute </w:t>
      </w:r>
      <w:r w:rsidR="007D792C">
        <w:rPr>
          <w:rFonts w:ascii="VIC" w:hAnsi="VIC"/>
          <w:sz w:val="20"/>
          <w:szCs w:val="20"/>
        </w:rPr>
        <w:t>Scope 1</w:t>
      </w:r>
      <w:r w:rsidRPr="00973118">
        <w:rPr>
          <w:rFonts w:ascii="VIC" w:hAnsi="VIC"/>
          <w:sz w:val="20"/>
          <w:szCs w:val="20"/>
        </w:rPr>
        <w:t xml:space="preserve"> and </w:t>
      </w:r>
      <w:r w:rsidR="007D792C">
        <w:rPr>
          <w:rFonts w:ascii="VIC" w:hAnsi="VIC"/>
          <w:sz w:val="20"/>
          <w:szCs w:val="20"/>
        </w:rPr>
        <w:t>Scope 2</w:t>
      </w:r>
      <w:r w:rsidRPr="00973118">
        <w:rPr>
          <w:rFonts w:ascii="VIC" w:hAnsi="VIC"/>
          <w:sz w:val="20"/>
          <w:szCs w:val="20"/>
        </w:rPr>
        <w:t xml:space="preserve"> GHG emissions by 50 per cent by 2030 from a 2018 base year (see note about net zero targets below)</w:t>
      </w:r>
    </w:p>
    <w:p w14:paraId="03ECB6DF" w14:textId="77777777" w:rsidR="00AD2F80" w:rsidRPr="00973118" w:rsidRDefault="00AD2F80" w:rsidP="009940F2">
      <w:pPr>
        <w:pStyle w:val="ListBullet0"/>
        <w:spacing w:before="40" w:after="40"/>
        <w:rPr>
          <w:rFonts w:ascii="VIC" w:hAnsi="VIC"/>
          <w:sz w:val="20"/>
          <w:szCs w:val="20"/>
        </w:rPr>
      </w:pPr>
      <w:r w:rsidRPr="00973118">
        <w:rPr>
          <w:rFonts w:ascii="VIC" w:hAnsi="VIC"/>
          <w:sz w:val="20"/>
          <w:szCs w:val="20"/>
        </w:rPr>
        <w:t xml:space="preserve">interim targets aligned to the long-term target – for example, for 2025 and 2030. These targets are important given the urgency of GHG emission reduction required in the short term and the need to drive continuous improvement. </w:t>
      </w:r>
    </w:p>
    <w:p w14:paraId="2B302902" w14:textId="77777777" w:rsidR="00AD2F80" w:rsidRDefault="00AD2F80" w:rsidP="000B4826">
      <w:r>
        <w:t>Relevant indicators or targets that can help contribute to GHG emissions reductions targets include:</w:t>
      </w:r>
    </w:p>
    <w:p w14:paraId="71A1FAB4" w14:textId="77777777" w:rsidR="00AD2F80" w:rsidRPr="00973118" w:rsidRDefault="00AD2F80" w:rsidP="009940F2">
      <w:pPr>
        <w:pStyle w:val="ListBullet0"/>
        <w:rPr>
          <w:rFonts w:ascii="VIC" w:hAnsi="VIC"/>
          <w:sz w:val="20"/>
          <w:szCs w:val="20"/>
        </w:rPr>
      </w:pPr>
      <w:r w:rsidRPr="00973118">
        <w:rPr>
          <w:rFonts w:ascii="VIC" w:hAnsi="VIC"/>
          <w:sz w:val="20"/>
          <w:szCs w:val="20"/>
        </w:rPr>
        <w:t xml:space="preserve">percentage increase in renewable energy </w:t>
      </w:r>
    </w:p>
    <w:p w14:paraId="531A2FC5" w14:textId="2D156430" w:rsidR="003F5946" w:rsidRDefault="00AD2F80" w:rsidP="009940F2">
      <w:pPr>
        <w:pStyle w:val="ListBullet0"/>
        <w:rPr>
          <w:rFonts w:ascii="VIC" w:hAnsi="VIC"/>
          <w:sz w:val="20"/>
          <w:szCs w:val="20"/>
        </w:rPr>
      </w:pPr>
      <w:r w:rsidRPr="003F5946">
        <w:rPr>
          <w:rFonts w:ascii="VIC" w:hAnsi="VIC"/>
          <w:sz w:val="20"/>
          <w:szCs w:val="20"/>
        </w:rPr>
        <w:t xml:space="preserve">percentage reduction in </w:t>
      </w:r>
      <w:r w:rsidR="007D792C">
        <w:rPr>
          <w:rFonts w:ascii="VIC" w:hAnsi="VIC"/>
          <w:sz w:val="20"/>
          <w:szCs w:val="20"/>
        </w:rPr>
        <w:t>Scope 1</w:t>
      </w:r>
      <w:r w:rsidRPr="003F5946">
        <w:rPr>
          <w:rFonts w:ascii="VIC" w:hAnsi="VIC"/>
          <w:sz w:val="20"/>
          <w:szCs w:val="20"/>
        </w:rPr>
        <w:t xml:space="preserve">, </w:t>
      </w:r>
      <w:r w:rsidR="007D792C">
        <w:rPr>
          <w:rFonts w:ascii="VIC" w:hAnsi="VIC"/>
          <w:sz w:val="20"/>
          <w:szCs w:val="20"/>
        </w:rPr>
        <w:t>Scope 2</w:t>
      </w:r>
      <w:r w:rsidRPr="003F5946">
        <w:rPr>
          <w:rFonts w:ascii="VIC" w:hAnsi="VIC"/>
          <w:sz w:val="20"/>
          <w:szCs w:val="20"/>
        </w:rPr>
        <w:t xml:space="preserve">, and </w:t>
      </w:r>
      <w:r w:rsidR="007D792C">
        <w:rPr>
          <w:rFonts w:ascii="VIC" w:hAnsi="VIC"/>
          <w:sz w:val="20"/>
          <w:szCs w:val="20"/>
        </w:rPr>
        <w:t>Scope 3</w:t>
      </w:r>
      <w:r w:rsidRPr="003F5946">
        <w:rPr>
          <w:rFonts w:ascii="VIC" w:hAnsi="VIC"/>
          <w:sz w:val="20"/>
          <w:szCs w:val="20"/>
        </w:rPr>
        <w:t xml:space="preserve"> GHG emissions</w:t>
      </w:r>
    </w:p>
    <w:p w14:paraId="3AE59D66" w14:textId="77B47C6E" w:rsidR="00AD2F80" w:rsidRPr="003F5946" w:rsidRDefault="00AD2F80" w:rsidP="009940F2">
      <w:pPr>
        <w:pStyle w:val="ListBullet0"/>
        <w:rPr>
          <w:rFonts w:ascii="VIC" w:hAnsi="VIC"/>
          <w:sz w:val="20"/>
          <w:szCs w:val="20"/>
        </w:rPr>
      </w:pPr>
      <w:r w:rsidRPr="003F5946">
        <w:rPr>
          <w:rFonts w:ascii="VIC" w:hAnsi="VIC"/>
          <w:sz w:val="20"/>
          <w:szCs w:val="20"/>
        </w:rPr>
        <w:lastRenderedPageBreak/>
        <w:t xml:space="preserve">percentage improvement in </w:t>
      </w:r>
      <w:r w:rsidR="007D792C">
        <w:rPr>
          <w:rFonts w:ascii="VIC" w:hAnsi="VIC"/>
          <w:sz w:val="20"/>
          <w:szCs w:val="20"/>
        </w:rPr>
        <w:t>Scope 1</w:t>
      </w:r>
      <w:r w:rsidRPr="003F5946">
        <w:rPr>
          <w:rFonts w:ascii="VIC" w:hAnsi="VIC"/>
          <w:sz w:val="20"/>
          <w:szCs w:val="20"/>
        </w:rPr>
        <w:t xml:space="preserve">, </w:t>
      </w:r>
      <w:r w:rsidR="007D792C">
        <w:rPr>
          <w:rFonts w:ascii="VIC" w:hAnsi="VIC"/>
          <w:sz w:val="20"/>
          <w:szCs w:val="20"/>
        </w:rPr>
        <w:t>Scope 2</w:t>
      </w:r>
      <w:r w:rsidRPr="003F5946">
        <w:rPr>
          <w:rFonts w:ascii="VIC" w:hAnsi="VIC"/>
          <w:sz w:val="20"/>
          <w:szCs w:val="20"/>
        </w:rPr>
        <w:t xml:space="preserve">, and </w:t>
      </w:r>
      <w:r w:rsidR="007D792C">
        <w:rPr>
          <w:rFonts w:ascii="VIC" w:hAnsi="VIC"/>
          <w:sz w:val="20"/>
          <w:szCs w:val="20"/>
        </w:rPr>
        <w:t>Scope 3</w:t>
      </w:r>
      <w:r w:rsidRPr="003F5946">
        <w:rPr>
          <w:rFonts w:ascii="VIC" w:hAnsi="VIC"/>
          <w:sz w:val="20"/>
          <w:szCs w:val="20"/>
        </w:rPr>
        <w:t xml:space="preserve"> GHG emissions intensity</w:t>
      </w:r>
      <w:r w:rsidR="00290642">
        <w:rPr>
          <w:rStyle w:val="FootnoteReference"/>
          <w:rFonts w:ascii="VIC" w:hAnsi="VIC"/>
          <w:sz w:val="20"/>
          <w:szCs w:val="20"/>
        </w:rPr>
        <w:footnoteReference w:customMarkFollows="1" w:id="13"/>
        <w:t>13</w:t>
      </w:r>
      <w:r w:rsidRPr="003F5946">
        <w:rPr>
          <w:rFonts w:ascii="VIC" w:hAnsi="VIC"/>
          <w:sz w:val="20"/>
          <w:szCs w:val="20"/>
          <w:vertAlign w:val="superscript"/>
        </w:rPr>
        <w:t xml:space="preserve"> </w:t>
      </w:r>
    </w:p>
    <w:p w14:paraId="15D41FC2" w14:textId="77777777" w:rsidR="00AD2F80" w:rsidRPr="00973118" w:rsidRDefault="00AD2F80" w:rsidP="009940F2">
      <w:pPr>
        <w:pStyle w:val="ListBullet0"/>
        <w:rPr>
          <w:rFonts w:ascii="VIC" w:hAnsi="VIC"/>
          <w:sz w:val="20"/>
          <w:szCs w:val="20"/>
        </w:rPr>
      </w:pPr>
      <w:r w:rsidRPr="00973118">
        <w:rPr>
          <w:rFonts w:ascii="VIC" w:hAnsi="VIC"/>
          <w:sz w:val="20"/>
          <w:szCs w:val="20"/>
        </w:rPr>
        <w:t>shift to low GWP refrigerants</w:t>
      </w:r>
    </w:p>
    <w:p w14:paraId="05D316D1" w14:textId="77777777" w:rsidR="00AD2F80" w:rsidRPr="00973118" w:rsidRDefault="00AD2F80" w:rsidP="009940F2">
      <w:pPr>
        <w:pStyle w:val="ListBullet0"/>
        <w:rPr>
          <w:rFonts w:ascii="VIC" w:hAnsi="VIC"/>
          <w:sz w:val="20"/>
          <w:szCs w:val="20"/>
        </w:rPr>
      </w:pPr>
      <w:r w:rsidRPr="00973118">
        <w:rPr>
          <w:rFonts w:ascii="VIC" w:hAnsi="VIC"/>
          <w:sz w:val="20"/>
          <w:szCs w:val="20"/>
        </w:rPr>
        <w:t xml:space="preserve">percentage improvement in energy efficiency </w:t>
      </w:r>
    </w:p>
    <w:p w14:paraId="0E1F1264" w14:textId="77777777" w:rsidR="00AD2F80" w:rsidRPr="00973118" w:rsidRDefault="00AD2F80" w:rsidP="009940F2">
      <w:pPr>
        <w:pStyle w:val="ListBullet0"/>
        <w:rPr>
          <w:rFonts w:ascii="VIC" w:hAnsi="VIC"/>
          <w:sz w:val="20"/>
          <w:szCs w:val="20"/>
        </w:rPr>
      </w:pPr>
      <w:r w:rsidRPr="00973118">
        <w:rPr>
          <w:rFonts w:ascii="VIC" w:hAnsi="VIC"/>
          <w:sz w:val="20"/>
          <w:szCs w:val="20"/>
        </w:rPr>
        <w:t>percentage improvement in process efficiency</w:t>
      </w:r>
    </w:p>
    <w:p w14:paraId="59113E39" w14:textId="77777777" w:rsidR="00AD2F80" w:rsidRPr="00973118" w:rsidRDefault="00AD2F80" w:rsidP="009940F2">
      <w:pPr>
        <w:pStyle w:val="ListBullet0"/>
        <w:rPr>
          <w:rFonts w:ascii="VIC" w:hAnsi="VIC"/>
          <w:sz w:val="20"/>
          <w:szCs w:val="20"/>
        </w:rPr>
      </w:pPr>
      <w:r w:rsidRPr="00973118">
        <w:rPr>
          <w:rFonts w:ascii="VIC" w:hAnsi="VIC"/>
          <w:sz w:val="20"/>
          <w:szCs w:val="20"/>
        </w:rPr>
        <w:t>percentage reduction in flaring, venting, and fugitive GHG emissions</w:t>
      </w:r>
    </w:p>
    <w:p w14:paraId="058CFDE2" w14:textId="77777777" w:rsidR="00AD2F80" w:rsidRPr="00973118" w:rsidRDefault="00AD2F80" w:rsidP="009940F2">
      <w:pPr>
        <w:pStyle w:val="ListBullet0"/>
        <w:rPr>
          <w:rFonts w:ascii="VIC" w:eastAsia="Calibri" w:hAnsi="VIC"/>
          <w:sz w:val="20"/>
          <w:szCs w:val="20"/>
        </w:rPr>
      </w:pPr>
      <w:r w:rsidRPr="00973118">
        <w:rPr>
          <w:rFonts w:ascii="VIC" w:hAnsi="VIC"/>
          <w:sz w:val="20"/>
          <w:szCs w:val="20"/>
        </w:rPr>
        <w:t>percentage increase in the purchase of zero GHG emission vehicles.</w:t>
      </w:r>
    </w:p>
    <w:p w14:paraId="0CF46D2B" w14:textId="77777777" w:rsidR="00AD2F80" w:rsidRDefault="00AD2F80" w:rsidP="002170F6">
      <w:r>
        <w:t>EPA acknowledges that the use of net zero targets by businesses has risen based on the Paris Climate Agreement’s goal to reach net zero GHG emissions by mid-century. Achieving net zero targets often encompass the use of offsets for emissions yet to be reduced or that remain unfeasible to be eliminated. If you are using offsets to achieve net zero targets you still need to demonstrate how you are minimising the risk of harm from your GHG emissions so far as reasonably practicable for the purposes of meeting your GED.</w:t>
      </w:r>
    </w:p>
    <w:p w14:paraId="570C32C4" w14:textId="77777777" w:rsidR="00750B66" w:rsidRDefault="00750B66" w:rsidP="00F94955"/>
    <w:p w14:paraId="68636B9E" w14:textId="77777777" w:rsidR="00750B66" w:rsidRPr="00750B66" w:rsidRDefault="00750B66" w:rsidP="00750B66"/>
    <w:p w14:paraId="197DA9C4" w14:textId="77777777" w:rsidR="00750B66" w:rsidRPr="00750B66" w:rsidRDefault="00750B66" w:rsidP="00750B66"/>
    <w:p w14:paraId="1CE28DD6" w14:textId="77777777" w:rsidR="00750B66" w:rsidRPr="00750B66" w:rsidRDefault="00750B66" w:rsidP="00750B66"/>
    <w:p w14:paraId="44F4C078" w14:textId="77777777" w:rsidR="00750B66" w:rsidRPr="00750B66" w:rsidRDefault="00750B66" w:rsidP="00750B66"/>
    <w:p w14:paraId="1F77ADE3" w14:textId="77777777" w:rsidR="00750B66" w:rsidRPr="00750B66" w:rsidRDefault="00750B66" w:rsidP="00750B66"/>
    <w:p w14:paraId="0D7BF9CB" w14:textId="77777777" w:rsidR="00750B66" w:rsidRPr="00750B66" w:rsidRDefault="00750B66" w:rsidP="00750B66"/>
    <w:p w14:paraId="474280D3" w14:textId="77777777" w:rsidR="00750B66" w:rsidRPr="00750B66" w:rsidRDefault="00750B66" w:rsidP="00750B66"/>
    <w:p w14:paraId="1E861A31" w14:textId="77777777" w:rsidR="00750B66" w:rsidRPr="00750B66" w:rsidRDefault="00750B66" w:rsidP="00750B66"/>
    <w:p w14:paraId="4AD6CEF2" w14:textId="77777777" w:rsidR="00750B66" w:rsidRPr="00750B66" w:rsidRDefault="00750B66" w:rsidP="00750B66"/>
    <w:p w14:paraId="519CBE51" w14:textId="77777777" w:rsidR="00750B66" w:rsidRPr="00750B66" w:rsidRDefault="00750B66" w:rsidP="00750B66"/>
    <w:p w14:paraId="744F2DD0" w14:textId="77777777" w:rsidR="00750B66" w:rsidRDefault="00750B66" w:rsidP="00750B66"/>
    <w:p w14:paraId="6179CAD8" w14:textId="77777777" w:rsidR="00750B66" w:rsidRDefault="00750B66" w:rsidP="00750B66"/>
    <w:p w14:paraId="0B0CFF85" w14:textId="1C9D8165" w:rsidR="00750B66" w:rsidRPr="00750B66" w:rsidRDefault="00750B66" w:rsidP="00750B66">
      <w:pPr>
        <w:sectPr w:rsidR="00750B66" w:rsidRPr="00750B66" w:rsidSect="001225D3">
          <w:pgSz w:w="11900" w:h="16840"/>
          <w:pgMar w:top="1000" w:right="740" w:bottom="1934" w:left="987" w:header="283" w:footer="812" w:gutter="0"/>
          <w:cols w:space="720"/>
        </w:sectPr>
      </w:pPr>
    </w:p>
    <w:p w14:paraId="0AFB9524" w14:textId="77777777" w:rsidR="00C52D32" w:rsidRDefault="00C52D32" w:rsidP="00F94955"/>
    <w:p w14:paraId="56AF442F" w14:textId="3149E3B7" w:rsidR="005548C4" w:rsidRPr="00F747A6" w:rsidRDefault="005548C4" w:rsidP="009940F2">
      <w:pPr>
        <w:pStyle w:val="Heading1"/>
        <w:numPr>
          <w:ilvl w:val="0"/>
          <w:numId w:val="4"/>
        </w:numPr>
        <w:rPr>
          <w:b/>
          <w:bCs/>
        </w:rPr>
      </w:pPr>
      <w:bookmarkStart w:id="260" w:name="_Toc85802366"/>
      <w:bookmarkStart w:id="261" w:name="_Toc87612600"/>
      <w:bookmarkStart w:id="262" w:name="_Toc112341040"/>
      <w:bookmarkStart w:id="263" w:name="_Toc114045817"/>
      <w:bookmarkStart w:id="264" w:name="_Toc114566223"/>
      <w:r w:rsidRPr="00F747A6">
        <w:rPr>
          <w:b/>
          <w:bCs/>
        </w:rPr>
        <w:t>Risk management examples</w:t>
      </w:r>
      <w:bookmarkEnd w:id="260"/>
      <w:bookmarkEnd w:id="261"/>
      <w:bookmarkEnd w:id="262"/>
      <w:bookmarkEnd w:id="263"/>
      <w:bookmarkEnd w:id="264"/>
    </w:p>
    <w:p w14:paraId="1CD79D09" w14:textId="77777777" w:rsidR="005548C4" w:rsidRDefault="005548C4" w:rsidP="005548C4">
      <w:pPr>
        <w:pStyle w:val="BodyText"/>
        <w:rPr>
          <w:rFonts w:eastAsia="MS Mincho"/>
        </w:rPr>
      </w:pPr>
      <w:r>
        <w:t xml:space="preserve">The following examples show how to use the four-step risk process to </w:t>
      </w:r>
      <w:proofErr w:type="spellStart"/>
      <w:r>
        <w:t>minimise</w:t>
      </w:r>
      <w:proofErr w:type="spellEnd"/>
      <w:r>
        <w:t xml:space="preserve"> risks of harm from GHG emissions across a range of situations.</w:t>
      </w:r>
    </w:p>
    <w:p w14:paraId="16B03392" w14:textId="32FC551D" w:rsidR="005548C4" w:rsidRDefault="00CC779C" w:rsidP="005548C4">
      <w:pPr>
        <w:pStyle w:val="Heading2"/>
      </w:pPr>
      <w:bookmarkStart w:id="265" w:name="_Toc85802368"/>
      <w:bookmarkStart w:id="266" w:name="_Toc87612601"/>
      <w:bookmarkStart w:id="267" w:name="_Toc112341041"/>
      <w:bookmarkStart w:id="268" w:name="_Toc114045818"/>
      <w:bookmarkStart w:id="269" w:name="_Toc114566224"/>
      <w:r>
        <w:t>7.1</w:t>
      </w:r>
      <w:r>
        <w:tab/>
      </w:r>
      <w:r w:rsidR="005548C4">
        <w:t xml:space="preserve">Small </w:t>
      </w:r>
      <w:r w:rsidR="0083608D">
        <w:t>b</w:t>
      </w:r>
      <w:r w:rsidR="005548C4">
        <w:t>usiness</w:t>
      </w:r>
      <w:bookmarkEnd w:id="265"/>
      <w:bookmarkEnd w:id="266"/>
      <w:bookmarkEnd w:id="267"/>
      <w:bookmarkEnd w:id="268"/>
      <w:bookmarkEnd w:id="269"/>
    </w:p>
    <w:p w14:paraId="00B71E97" w14:textId="77777777" w:rsidR="005548C4" w:rsidRDefault="005548C4" w:rsidP="00304B9D">
      <w:r>
        <w:t xml:space="preserve">Mary owns a small restaurant. She looked at her supplier bills (including gas, energy, and waste) and inspected the restaurant with some of her staff to </w:t>
      </w:r>
      <w:r>
        <w:rPr>
          <w:b/>
          <w:bCs/>
        </w:rPr>
        <w:t>identify</w:t>
      </w:r>
      <w:r>
        <w:t xml:space="preserve"> the following sources of GHG emissions from operating the restaurant, which may give rise to risks of harm to human health and the environment:</w:t>
      </w:r>
    </w:p>
    <w:p w14:paraId="0C1D4353" w14:textId="3DAEB245" w:rsidR="005548C4" w:rsidRPr="00304B9D" w:rsidRDefault="007D792C" w:rsidP="009940F2">
      <w:pPr>
        <w:pStyle w:val="ListBullet0"/>
        <w:rPr>
          <w:rFonts w:ascii="VIC" w:hAnsi="VIC"/>
          <w:sz w:val="20"/>
          <w:szCs w:val="20"/>
        </w:rPr>
      </w:pPr>
      <w:bookmarkStart w:id="270" w:name="_Hlk86856329"/>
      <w:r>
        <w:rPr>
          <w:rFonts w:ascii="VIC" w:hAnsi="VIC"/>
          <w:sz w:val="20"/>
          <w:szCs w:val="20"/>
        </w:rPr>
        <w:t>Scope 1</w:t>
      </w:r>
      <w:r w:rsidR="005548C4" w:rsidRPr="00304B9D">
        <w:rPr>
          <w:rFonts w:ascii="VIC" w:hAnsi="VIC"/>
          <w:sz w:val="20"/>
          <w:szCs w:val="20"/>
        </w:rPr>
        <w:t xml:space="preserve"> GHG emissions – refrigerant gases from the air conditioner and refrigeration, gas used for cooking and water heating</w:t>
      </w:r>
    </w:p>
    <w:p w14:paraId="59AC9108" w14:textId="2A5FB998" w:rsidR="005548C4" w:rsidRPr="00304B9D" w:rsidRDefault="007D792C" w:rsidP="009940F2">
      <w:pPr>
        <w:pStyle w:val="ListBullet0"/>
        <w:rPr>
          <w:rFonts w:ascii="VIC" w:hAnsi="VIC"/>
          <w:sz w:val="20"/>
          <w:szCs w:val="20"/>
        </w:rPr>
      </w:pPr>
      <w:r>
        <w:rPr>
          <w:rFonts w:ascii="VIC" w:hAnsi="VIC"/>
          <w:sz w:val="20"/>
          <w:szCs w:val="20"/>
        </w:rPr>
        <w:t>Scope 2</w:t>
      </w:r>
      <w:r w:rsidR="005548C4" w:rsidRPr="00304B9D">
        <w:rPr>
          <w:rFonts w:ascii="VIC" w:hAnsi="VIC"/>
          <w:sz w:val="20"/>
          <w:szCs w:val="20"/>
        </w:rPr>
        <w:t xml:space="preserve"> GHG emissions – energy use for food preparation (for example, oven, dishwasher, rangehood and deep fryer), HVAC (including outdoor space heaters), lighting and refrigeration</w:t>
      </w:r>
    </w:p>
    <w:p w14:paraId="4C44C8FE" w14:textId="4CF6B08A" w:rsidR="005548C4" w:rsidRPr="00304B9D" w:rsidRDefault="007D792C" w:rsidP="009940F2">
      <w:pPr>
        <w:pStyle w:val="ListBullet0"/>
        <w:rPr>
          <w:rFonts w:ascii="VIC" w:hAnsi="VIC"/>
          <w:sz w:val="20"/>
          <w:szCs w:val="20"/>
        </w:rPr>
      </w:pPr>
      <w:r>
        <w:rPr>
          <w:rFonts w:ascii="VIC" w:hAnsi="VIC"/>
          <w:sz w:val="20"/>
          <w:szCs w:val="20"/>
        </w:rPr>
        <w:t>Scope 3</w:t>
      </w:r>
      <w:r w:rsidR="005548C4" w:rsidRPr="00304B9D">
        <w:rPr>
          <w:rFonts w:ascii="VIC" w:hAnsi="VIC"/>
          <w:sz w:val="20"/>
          <w:szCs w:val="20"/>
        </w:rPr>
        <w:t xml:space="preserve"> – food supply, food waste, and transportation.</w:t>
      </w:r>
    </w:p>
    <w:bookmarkEnd w:id="270"/>
    <w:p w14:paraId="05DF9BC8" w14:textId="77777777" w:rsidR="005548C4" w:rsidRDefault="005548C4" w:rsidP="00304B9D">
      <w:r>
        <w:t xml:space="preserve">Once Mary had identified her GHG emission sources she developed a simple GHG action plan that suited her needs. Mary looked for simple ways to </w:t>
      </w:r>
      <w:r>
        <w:rPr>
          <w:b/>
          <w:bCs/>
        </w:rPr>
        <w:t>assess</w:t>
      </w:r>
      <w:r>
        <w:t xml:space="preserve"> the restaurant’s GHG emission risk, including using her electricity bill which already calculates the business’s GHG emissions. She will also document her gas use from her gas bill and track this over time.</w:t>
      </w:r>
    </w:p>
    <w:p w14:paraId="6E680385" w14:textId="544B82DC" w:rsidR="005548C4" w:rsidRDefault="005548C4" w:rsidP="00304B9D">
      <w:r>
        <w:t>Mary looked at</w:t>
      </w:r>
      <w:r w:rsidR="00204679">
        <w:t xml:space="preserve"> Sustainability Victoria’s</w:t>
      </w:r>
      <w:r>
        <w:t xml:space="preserve"> </w:t>
      </w:r>
      <w:hyperlink r:id="rId74" w:history="1">
        <w:r w:rsidR="00204679">
          <w:rPr>
            <w:rStyle w:val="Hyperlink"/>
          </w:rPr>
          <w:t>energy efficiency information in hospitality</w:t>
        </w:r>
      </w:hyperlink>
      <w:r>
        <w:t xml:space="preserve"> to help her identify </w:t>
      </w:r>
      <w:r>
        <w:rPr>
          <w:b/>
          <w:bCs/>
        </w:rPr>
        <w:t>controls</w:t>
      </w:r>
      <w:r>
        <w:t xml:space="preserve"> and implemented some of these as part of the restaurant’s action plan to reduce GHG including:</w:t>
      </w:r>
    </w:p>
    <w:p w14:paraId="275C0A8A" w14:textId="77777777" w:rsidR="005548C4" w:rsidRPr="004F1BCC" w:rsidRDefault="005548C4" w:rsidP="009940F2">
      <w:pPr>
        <w:pStyle w:val="ListBullet0"/>
        <w:rPr>
          <w:rFonts w:ascii="VIC" w:hAnsi="VIC"/>
          <w:sz w:val="20"/>
          <w:szCs w:val="20"/>
        </w:rPr>
      </w:pPr>
      <w:r w:rsidRPr="004F1BCC">
        <w:rPr>
          <w:rFonts w:ascii="VIC" w:hAnsi="VIC"/>
          <w:sz w:val="20"/>
          <w:szCs w:val="20"/>
        </w:rPr>
        <w:t>installing solar by taking advantage of a government rebate for small business</w:t>
      </w:r>
    </w:p>
    <w:p w14:paraId="110D287A"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reducing food waste going to landfill by working with her suppliers to get smaller quantities of some fresh items with less wastage and providing excess food to a local charity </w:t>
      </w:r>
    </w:p>
    <w:p w14:paraId="40D689B7" w14:textId="77777777" w:rsidR="005548C4" w:rsidRPr="004F1BCC" w:rsidRDefault="005548C4" w:rsidP="009940F2">
      <w:pPr>
        <w:pStyle w:val="ListBullet0"/>
        <w:rPr>
          <w:rFonts w:ascii="VIC" w:hAnsi="VIC"/>
          <w:sz w:val="20"/>
          <w:szCs w:val="20"/>
        </w:rPr>
      </w:pPr>
      <w:r w:rsidRPr="004F1BCC">
        <w:rPr>
          <w:rFonts w:ascii="VIC" w:hAnsi="VIC"/>
          <w:sz w:val="20"/>
          <w:szCs w:val="20"/>
        </w:rPr>
        <w:t>ensuring paper, bottles and cans are being recycled instead of going to landfill</w:t>
      </w:r>
    </w:p>
    <w:p w14:paraId="016E1092"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regular maintenance of all cooking and kitchen appliances and HVAC (to reduce energy use) and fridges, </w:t>
      </w:r>
      <w:proofErr w:type="gramStart"/>
      <w:r w:rsidRPr="004F1BCC">
        <w:rPr>
          <w:rFonts w:ascii="VIC" w:hAnsi="VIC"/>
          <w:sz w:val="20"/>
          <w:szCs w:val="20"/>
        </w:rPr>
        <w:t>freezers</w:t>
      </w:r>
      <w:proofErr w:type="gramEnd"/>
      <w:r w:rsidRPr="004F1BCC">
        <w:rPr>
          <w:rFonts w:ascii="VIC" w:hAnsi="VIC"/>
          <w:sz w:val="20"/>
          <w:szCs w:val="20"/>
        </w:rPr>
        <w:t xml:space="preserve"> and air conditioners to ensure refrigerants are not leaking</w:t>
      </w:r>
    </w:p>
    <w:p w14:paraId="767E5168"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replacing existing lighting with LED lighting </w:t>
      </w:r>
    </w:p>
    <w:p w14:paraId="6705EE9A"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turning equipment off when not in use </w:t>
      </w:r>
    </w:p>
    <w:p w14:paraId="699F7E02" w14:textId="77777777" w:rsidR="005548C4" w:rsidRPr="004F1BCC" w:rsidRDefault="005548C4" w:rsidP="009940F2">
      <w:pPr>
        <w:pStyle w:val="ListBullet0"/>
        <w:rPr>
          <w:rFonts w:ascii="VIC" w:hAnsi="VIC"/>
          <w:sz w:val="20"/>
          <w:szCs w:val="20"/>
        </w:rPr>
      </w:pPr>
      <w:r w:rsidRPr="004F1BCC">
        <w:rPr>
          <w:rFonts w:ascii="VIC" w:hAnsi="VIC"/>
          <w:sz w:val="20"/>
          <w:szCs w:val="20"/>
        </w:rPr>
        <w:t>only turning on outdoor space heaters when customers are present.</w:t>
      </w:r>
    </w:p>
    <w:p w14:paraId="26B1FA6E" w14:textId="2EDF8791" w:rsidR="005548C4" w:rsidRDefault="005548C4" w:rsidP="005A2AA9">
      <w:r>
        <w:t>Mary has assessed that it is reasonably practicable to reduce the energy use from her appliances in the short</w:t>
      </w:r>
      <w:r w:rsidR="003E69B5">
        <w:t>-</w:t>
      </w:r>
      <w:r>
        <w:t xml:space="preserve">term by turning off equipment when not in use and undertaking regular maintenance. She will use Sustainability Victoria’s </w:t>
      </w:r>
      <w:hyperlink r:id="rId75" w:history="1">
        <w:r>
          <w:rPr>
            <w:rStyle w:val="Hyperlink"/>
          </w:rPr>
          <w:t>energy upgrades tool</w:t>
        </w:r>
      </w:hyperlink>
      <w:r>
        <w:t xml:space="preserve"> to get recommendations for what to upgrade next and take advantage of the </w:t>
      </w:r>
      <w:hyperlink r:id="rId76" w:history="1">
        <w:r w:rsidRPr="006643F9">
          <w:rPr>
            <w:rStyle w:val="Hyperlink"/>
          </w:rPr>
          <w:t>Victorian Energy Upgrades incentives</w:t>
        </w:r>
      </w:hyperlink>
      <w:r>
        <w:t xml:space="preserve"> where she can, and budget to replace her appliances with more efficient ones over several years.</w:t>
      </w:r>
    </w:p>
    <w:p w14:paraId="14E1106D" w14:textId="77777777" w:rsidR="005548C4" w:rsidRDefault="005548C4" w:rsidP="005A2AA9">
      <w:r>
        <w:t xml:space="preserve">Mary will keep </w:t>
      </w:r>
      <w:r>
        <w:rPr>
          <w:b/>
          <w:bCs/>
        </w:rPr>
        <w:t>checking</w:t>
      </w:r>
      <w:r>
        <w:t xml:space="preserve"> the GHG emissions from her restaurant’s electricity bill to ensure that the controls she has put in place are effective to minimise the risk of harm from GHG emissions. She will also look at calculating the GHG emissions from the restaurant’s gas usage in the future to check how they compare to GHG emissions from electricity consumption. Mary has also identified future control options she can implement:</w:t>
      </w:r>
    </w:p>
    <w:p w14:paraId="193FDD7F" w14:textId="77777777" w:rsidR="005548C4" w:rsidRPr="00D277AE" w:rsidRDefault="005548C4" w:rsidP="009940F2">
      <w:pPr>
        <w:pStyle w:val="ListBullet0"/>
        <w:rPr>
          <w:rFonts w:ascii="VIC" w:hAnsi="VIC"/>
          <w:sz w:val="20"/>
          <w:szCs w:val="20"/>
        </w:rPr>
      </w:pPr>
      <w:r w:rsidRPr="00D277AE">
        <w:rPr>
          <w:rFonts w:ascii="VIC" w:hAnsi="VIC"/>
          <w:sz w:val="20"/>
          <w:szCs w:val="20"/>
        </w:rPr>
        <w:t>exploring the use of a commercial organic waste collection service</w:t>
      </w:r>
    </w:p>
    <w:p w14:paraId="422117F2" w14:textId="77777777" w:rsidR="005548C4" w:rsidRPr="00D277AE" w:rsidRDefault="005548C4" w:rsidP="009940F2">
      <w:pPr>
        <w:pStyle w:val="ListBullet0"/>
        <w:rPr>
          <w:rFonts w:ascii="VIC" w:hAnsi="VIC"/>
          <w:sz w:val="20"/>
          <w:szCs w:val="20"/>
        </w:rPr>
      </w:pPr>
      <w:r w:rsidRPr="00D277AE">
        <w:rPr>
          <w:rFonts w:ascii="VIC" w:hAnsi="VIC"/>
          <w:sz w:val="20"/>
          <w:szCs w:val="20"/>
        </w:rPr>
        <w:t>working with transporters who have made their own GHG emission reduction commitments.</w:t>
      </w:r>
    </w:p>
    <w:p w14:paraId="0AA06B58" w14:textId="1D6B3240" w:rsidR="005548C4" w:rsidRDefault="00CC779C" w:rsidP="005548C4">
      <w:pPr>
        <w:pStyle w:val="Heading2"/>
      </w:pPr>
      <w:bookmarkStart w:id="271" w:name="_Toc85802369"/>
      <w:bookmarkStart w:id="272" w:name="_Toc87612602"/>
      <w:bookmarkStart w:id="273" w:name="_Toc112341042"/>
      <w:bookmarkStart w:id="274" w:name="_Toc114045819"/>
      <w:bookmarkStart w:id="275" w:name="_Toc114566225"/>
      <w:r>
        <w:lastRenderedPageBreak/>
        <w:t>7.2</w:t>
      </w:r>
      <w:r>
        <w:tab/>
      </w:r>
      <w:r w:rsidR="005548C4">
        <w:t>Office building</w:t>
      </w:r>
      <w:bookmarkEnd w:id="271"/>
      <w:bookmarkEnd w:id="272"/>
      <w:bookmarkEnd w:id="273"/>
      <w:bookmarkEnd w:id="274"/>
      <w:bookmarkEnd w:id="275"/>
      <w:r w:rsidR="005548C4">
        <w:t xml:space="preserve"> </w:t>
      </w:r>
    </w:p>
    <w:p w14:paraId="4742CCEF" w14:textId="77777777" w:rsidR="005548C4" w:rsidRDefault="005548C4" w:rsidP="005548C4">
      <w:pPr>
        <w:pStyle w:val="BodyText"/>
        <w:keepNext/>
      </w:pPr>
      <w:proofErr w:type="spellStart"/>
      <w:r>
        <w:t>Nitten</w:t>
      </w:r>
      <w:proofErr w:type="spellEnd"/>
      <w:r>
        <w:t xml:space="preserve"> operates a large business out of a refurbished office building. He has </w:t>
      </w:r>
      <w:r>
        <w:rPr>
          <w:b/>
          <w:bCs/>
        </w:rPr>
        <w:t>identified</w:t>
      </w:r>
      <w:r>
        <w:t xml:space="preserve"> the following sources of GHG emissions</w:t>
      </w:r>
      <w:r w:rsidRPr="00C8014C">
        <w:t xml:space="preserve"> which may give rise to risks of harm to human health and the environment</w:t>
      </w:r>
      <w:r>
        <w:t xml:space="preserve">: </w:t>
      </w:r>
    </w:p>
    <w:p w14:paraId="68BCCEFA" w14:textId="0DE43F3D" w:rsidR="005548C4" w:rsidRPr="00D277AE" w:rsidRDefault="007D792C" w:rsidP="009940F2">
      <w:pPr>
        <w:pStyle w:val="ListBullet0"/>
        <w:rPr>
          <w:rFonts w:ascii="VIC" w:hAnsi="VIC"/>
          <w:sz w:val="20"/>
          <w:szCs w:val="20"/>
        </w:rPr>
      </w:pPr>
      <w:r>
        <w:rPr>
          <w:rFonts w:ascii="VIC" w:hAnsi="VIC"/>
          <w:sz w:val="20"/>
          <w:szCs w:val="20"/>
        </w:rPr>
        <w:t>Scope 1</w:t>
      </w:r>
      <w:r w:rsidR="005548C4" w:rsidRPr="00D277AE">
        <w:rPr>
          <w:rFonts w:ascii="VIC" w:hAnsi="VIC"/>
          <w:sz w:val="20"/>
          <w:szCs w:val="20"/>
        </w:rPr>
        <w:t xml:space="preserve"> – gas consumption and refrigerant gases from air conditioners and refrigeration</w:t>
      </w:r>
    </w:p>
    <w:p w14:paraId="2E5D4B13" w14:textId="6BA6634D" w:rsidR="005548C4" w:rsidRPr="00D277AE" w:rsidRDefault="007D792C" w:rsidP="009940F2">
      <w:pPr>
        <w:pStyle w:val="ListBullet0"/>
        <w:rPr>
          <w:rFonts w:ascii="VIC" w:hAnsi="VIC"/>
          <w:sz w:val="20"/>
          <w:szCs w:val="20"/>
        </w:rPr>
      </w:pPr>
      <w:r>
        <w:rPr>
          <w:rFonts w:ascii="VIC" w:hAnsi="VIC"/>
          <w:sz w:val="20"/>
          <w:szCs w:val="20"/>
        </w:rPr>
        <w:t>Scope 2</w:t>
      </w:r>
      <w:r w:rsidR="005548C4" w:rsidRPr="00D277AE">
        <w:rPr>
          <w:rFonts w:ascii="VIC" w:hAnsi="VIC"/>
          <w:sz w:val="20"/>
          <w:szCs w:val="20"/>
        </w:rPr>
        <w:t xml:space="preserve"> – purchased electricity for HVAC, lighting, and refrigeration</w:t>
      </w:r>
    </w:p>
    <w:p w14:paraId="4C15F437" w14:textId="5EDAA45D" w:rsidR="005548C4" w:rsidRPr="00D277AE" w:rsidRDefault="007D792C" w:rsidP="009940F2">
      <w:pPr>
        <w:pStyle w:val="ListBullet0"/>
        <w:rPr>
          <w:rFonts w:ascii="VIC" w:hAnsi="VIC"/>
          <w:sz w:val="20"/>
          <w:szCs w:val="20"/>
        </w:rPr>
      </w:pPr>
      <w:r>
        <w:rPr>
          <w:rFonts w:ascii="VIC" w:hAnsi="VIC"/>
          <w:sz w:val="20"/>
          <w:szCs w:val="20"/>
        </w:rPr>
        <w:t>Scope 3</w:t>
      </w:r>
      <w:r w:rsidR="005548C4" w:rsidRPr="00D277AE">
        <w:rPr>
          <w:rFonts w:ascii="VIC" w:hAnsi="VIC"/>
          <w:sz w:val="20"/>
          <w:szCs w:val="20"/>
        </w:rPr>
        <w:t xml:space="preserve"> – business travel, employee commuting, waste, </w:t>
      </w:r>
      <w:proofErr w:type="gramStart"/>
      <w:r w:rsidR="005548C4" w:rsidRPr="00D277AE">
        <w:rPr>
          <w:rFonts w:ascii="VIC" w:hAnsi="VIC"/>
          <w:sz w:val="20"/>
          <w:szCs w:val="20"/>
        </w:rPr>
        <w:t>catering</w:t>
      </w:r>
      <w:proofErr w:type="gramEnd"/>
      <w:r w:rsidR="005548C4" w:rsidRPr="00D277AE">
        <w:rPr>
          <w:rFonts w:ascii="VIC" w:hAnsi="VIC"/>
          <w:sz w:val="20"/>
          <w:szCs w:val="20"/>
        </w:rPr>
        <w:t xml:space="preserve"> and courier services.</w:t>
      </w:r>
    </w:p>
    <w:p w14:paraId="0146B36F" w14:textId="0F8A1DBA" w:rsidR="005548C4" w:rsidRDefault="005548C4" w:rsidP="00D277AE">
      <w:proofErr w:type="spellStart"/>
      <w:r>
        <w:t>Nitten</w:t>
      </w:r>
      <w:proofErr w:type="spellEnd"/>
      <w:r>
        <w:t xml:space="preserve"> looked at his electricity bills which showed him the GHG emissions from the office’s electricity usage. He used the</w:t>
      </w:r>
      <w:r w:rsidR="00D0440B">
        <w:t xml:space="preserve"> NGER</w:t>
      </w:r>
      <w:r>
        <w:t xml:space="preserve"> </w:t>
      </w:r>
      <w:hyperlink r:id="rId77" w:anchor="Emissions-and-Energy-Threshold-Calculator-202021-and-user-guide" w:history="1">
        <w:r w:rsidR="00D0440B">
          <w:rPr>
            <w:rStyle w:val="Hyperlink"/>
            <w:rFonts w:eastAsia="Calibri"/>
          </w:rPr>
          <w:t>Emissions and Energy Threshold Calculator</w:t>
        </w:r>
      </w:hyperlink>
      <w:r>
        <w:t xml:space="preserve"> to understand the </w:t>
      </w:r>
      <w:r w:rsidR="007D792C">
        <w:t>Scope 1</w:t>
      </w:r>
      <w:r>
        <w:t xml:space="preserve"> and </w:t>
      </w:r>
      <w:r w:rsidR="007D792C">
        <w:t>Scope 2</w:t>
      </w:r>
      <w:r>
        <w:t xml:space="preserve"> emissions (noting that the calculator is provided for information only and is not to be used in place of professional advice). He also read about options to reduce energy use and impacts on the environment from his business on</w:t>
      </w:r>
      <w:r w:rsidR="006B72BC">
        <w:t xml:space="preserve"> Sustainability Victoria’s</w:t>
      </w:r>
      <w:hyperlink r:id="rId78" w:history="1">
        <w:r w:rsidR="006B72BC">
          <w:rPr>
            <w:rStyle w:val="Hyperlink"/>
            <w:rFonts w:eastAsia="Calibri"/>
          </w:rPr>
          <w:t xml:space="preserve"> website</w:t>
        </w:r>
      </w:hyperlink>
      <w:r>
        <w:t xml:space="preserve">.   </w:t>
      </w:r>
    </w:p>
    <w:p w14:paraId="105E4773" w14:textId="77777777" w:rsidR="005548C4" w:rsidRDefault="005548C4" w:rsidP="00D277AE">
      <w:proofErr w:type="spellStart"/>
      <w:r>
        <w:t>Nitten</w:t>
      </w:r>
      <w:proofErr w:type="spellEnd"/>
      <w:r>
        <w:t xml:space="preserve"> decided to</w:t>
      </w:r>
      <w:r w:rsidRPr="00CC2151">
        <w:rPr>
          <w:color w:val="1F4E79" w:themeColor="accent5" w:themeShade="80"/>
        </w:rPr>
        <w:t xml:space="preserve"> </w:t>
      </w:r>
      <w:hyperlink r:id="rId79" w:history="1">
        <w:r w:rsidRPr="00CC2151">
          <w:rPr>
            <w:rStyle w:val="Hyperlink"/>
            <w:rFonts w:eastAsia="Calibri"/>
            <w:color w:val="1F4E79" w:themeColor="accent5" w:themeShade="80"/>
          </w:rPr>
          <w:t>engage an energy auditor</w:t>
        </w:r>
      </w:hyperlink>
      <w:r>
        <w:t xml:space="preserve"> to do a detailed energy audit to better </w:t>
      </w:r>
      <w:r>
        <w:rPr>
          <w:b/>
          <w:bCs/>
        </w:rPr>
        <w:t>assess</w:t>
      </w:r>
      <w:r>
        <w:t xml:space="preserve"> the business’s energy use, patterns, and demand and therefore the risk of harm to human health and the environment from the business’s GHG emissions. </w:t>
      </w:r>
    </w:p>
    <w:p w14:paraId="0BE7BB02" w14:textId="5C8C1053" w:rsidR="005548C4" w:rsidRDefault="005548C4" w:rsidP="00D277AE">
      <w:r>
        <w:t>The information</w:t>
      </w:r>
      <w:r w:rsidR="006B72BC">
        <w:t xml:space="preserve"> he</w:t>
      </w:r>
      <w:r>
        <w:t xml:space="preserve"> received from the energy audit informed the development and implementation of a GHG emission management plan which sets out the </w:t>
      </w:r>
      <w:r>
        <w:rPr>
          <w:b/>
          <w:bCs/>
        </w:rPr>
        <w:t>controls</w:t>
      </w:r>
      <w:r>
        <w:t xml:space="preserve"> the business has and will implement for energy efficiency and GHG emissions reductions (including </w:t>
      </w:r>
      <w:r w:rsidR="007D792C">
        <w:t>Scope 1</w:t>
      </w:r>
      <w:r>
        <w:t xml:space="preserve"> GHG emissions) over four years.</w:t>
      </w:r>
    </w:p>
    <w:p w14:paraId="53FDEB7E" w14:textId="77777777" w:rsidR="005548C4" w:rsidRDefault="005548C4" w:rsidP="00D277AE">
      <w:r>
        <w:t xml:space="preserve">The GHG emission management plan includes changes related to the intelligent building management system to optimise heating and cooling. </w:t>
      </w:r>
      <w:proofErr w:type="spellStart"/>
      <w:r>
        <w:t>Nitten</w:t>
      </w:r>
      <w:proofErr w:type="spellEnd"/>
      <w:r>
        <w:t xml:space="preserve"> found that these little to no cost measures made a significant impact on the office’s GHG emissions. Controls put in place include:</w:t>
      </w:r>
    </w:p>
    <w:p w14:paraId="4F4025F7" w14:textId="48CA6648" w:rsidR="005548C4" w:rsidRPr="00CC2151" w:rsidRDefault="005548C4" w:rsidP="009940F2">
      <w:pPr>
        <w:pStyle w:val="ListBullet0"/>
        <w:rPr>
          <w:rFonts w:ascii="VIC" w:hAnsi="VIC"/>
          <w:sz w:val="20"/>
          <w:szCs w:val="20"/>
        </w:rPr>
      </w:pPr>
      <w:r w:rsidRPr="00CC2151">
        <w:rPr>
          <w:rFonts w:ascii="VIC" w:hAnsi="VIC"/>
          <w:sz w:val="20"/>
          <w:szCs w:val="20"/>
        </w:rPr>
        <w:t>altered temperature controls to cool if average temperatures were above 24</w:t>
      </w:r>
      <w:r w:rsidR="00BB7DB8" w:rsidRPr="001947CD">
        <w:rPr>
          <w:rFonts w:ascii="VIC" w:hAnsi="VIC"/>
          <w:sz w:val="20"/>
          <w:szCs w:val="20"/>
        </w:rPr>
        <w:t>°C</w:t>
      </w:r>
      <w:r w:rsidRPr="00CC2151">
        <w:rPr>
          <w:rFonts w:ascii="VIC" w:hAnsi="VIC"/>
          <w:sz w:val="20"/>
          <w:szCs w:val="20"/>
        </w:rPr>
        <w:t xml:space="preserve"> and heat if temperatures dropped below 20</w:t>
      </w:r>
      <w:r w:rsidR="00BB7DB8" w:rsidRPr="001947CD">
        <w:rPr>
          <w:rFonts w:ascii="VIC" w:hAnsi="VIC"/>
          <w:sz w:val="20"/>
          <w:szCs w:val="20"/>
        </w:rPr>
        <w:t>°C</w:t>
      </w:r>
      <w:r w:rsidRPr="00CC2151">
        <w:rPr>
          <w:rFonts w:ascii="VIC" w:hAnsi="VIC"/>
          <w:sz w:val="20"/>
          <w:szCs w:val="20"/>
        </w:rPr>
        <w:t xml:space="preserve"> – computer and server room temperatures were also adjusted</w:t>
      </w:r>
    </w:p>
    <w:p w14:paraId="6AFD4726" w14:textId="77777777" w:rsidR="005548C4" w:rsidRPr="00CC2151" w:rsidRDefault="005548C4" w:rsidP="009940F2">
      <w:pPr>
        <w:pStyle w:val="ListBullet0"/>
        <w:rPr>
          <w:rFonts w:ascii="VIC" w:hAnsi="VIC"/>
          <w:sz w:val="20"/>
          <w:szCs w:val="20"/>
        </w:rPr>
      </w:pPr>
      <w:r w:rsidRPr="00CC2151">
        <w:rPr>
          <w:rFonts w:ascii="VIC" w:hAnsi="VIC"/>
          <w:sz w:val="20"/>
          <w:szCs w:val="20"/>
        </w:rPr>
        <w:t>replaced fixed speed drives on heating and ventilation systems with variable drives to respond to demand rather than running at full speed all the time</w:t>
      </w:r>
    </w:p>
    <w:p w14:paraId="119F7584" w14:textId="77777777" w:rsidR="005548C4" w:rsidRPr="00CC2151" w:rsidRDefault="005548C4" w:rsidP="009940F2">
      <w:pPr>
        <w:pStyle w:val="ListBullet0"/>
        <w:rPr>
          <w:rFonts w:ascii="VIC" w:hAnsi="VIC"/>
          <w:sz w:val="20"/>
          <w:szCs w:val="20"/>
        </w:rPr>
      </w:pPr>
      <w:r w:rsidRPr="00CC2151">
        <w:rPr>
          <w:rFonts w:ascii="VIC" w:hAnsi="VIC"/>
          <w:sz w:val="20"/>
          <w:szCs w:val="20"/>
        </w:rPr>
        <w:t>installed sensors to only run air conditioning and lighting when meeting rooms were occupied</w:t>
      </w:r>
    </w:p>
    <w:p w14:paraId="2D6C1468" w14:textId="77777777" w:rsidR="005548C4" w:rsidRPr="00CC2151" w:rsidRDefault="005548C4" w:rsidP="009940F2">
      <w:pPr>
        <w:pStyle w:val="ListBullet0"/>
        <w:rPr>
          <w:rFonts w:ascii="VIC" w:hAnsi="VIC"/>
          <w:sz w:val="20"/>
          <w:szCs w:val="20"/>
        </w:rPr>
      </w:pPr>
      <w:r w:rsidRPr="00CC2151">
        <w:rPr>
          <w:rFonts w:ascii="VIC" w:hAnsi="VIC"/>
          <w:sz w:val="20"/>
          <w:szCs w:val="20"/>
        </w:rPr>
        <w:t>installed efficient boiler load optimisation control units to the gas-fired boilers (used for heating and hot water) to ensure maximum efficiency.</w:t>
      </w:r>
    </w:p>
    <w:p w14:paraId="2657B040" w14:textId="77777777" w:rsidR="005548C4" w:rsidRDefault="005548C4" w:rsidP="005548C4">
      <w:pPr>
        <w:pStyle w:val="BodyText"/>
        <w:keepNext/>
      </w:pPr>
      <w:r>
        <w:t>Other controls implemented as part of the GHG emission management plan included:</w:t>
      </w:r>
    </w:p>
    <w:p w14:paraId="0D115242" w14:textId="77777777" w:rsidR="005548C4" w:rsidRPr="00CC2151" w:rsidRDefault="005548C4" w:rsidP="009940F2">
      <w:pPr>
        <w:pStyle w:val="ListBullet0"/>
        <w:keepNext/>
        <w:rPr>
          <w:rFonts w:ascii="VIC" w:hAnsi="VIC"/>
          <w:sz w:val="20"/>
          <w:szCs w:val="20"/>
        </w:rPr>
      </w:pPr>
      <w:r w:rsidRPr="00CC2151">
        <w:rPr>
          <w:rFonts w:ascii="VIC" w:hAnsi="VIC"/>
          <w:sz w:val="20"/>
          <w:szCs w:val="20"/>
        </w:rPr>
        <w:t>installation of automatic switches and timers on lighting</w:t>
      </w:r>
    </w:p>
    <w:p w14:paraId="6C8D5AA2" w14:textId="77777777" w:rsidR="005548C4" w:rsidRPr="00CC2151" w:rsidRDefault="005548C4" w:rsidP="009940F2">
      <w:pPr>
        <w:pStyle w:val="ListBullet0"/>
        <w:rPr>
          <w:rFonts w:ascii="VIC" w:hAnsi="VIC"/>
          <w:sz w:val="20"/>
          <w:szCs w:val="20"/>
        </w:rPr>
      </w:pPr>
      <w:r w:rsidRPr="00CC2151">
        <w:rPr>
          <w:rFonts w:ascii="VIC" w:hAnsi="VIC"/>
          <w:sz w:val="20"/>
          <w:szCs w:val="20"/>
        </w:rPr>
        <w:t xml:space="preserve">reduction in the number of lights and installation of LED lights in non-office spaces in the building. </w:t>
      </w:r>
    </w:p>
    <w:p w14:paraId="05DADC96" w14:textId="77777777" w:rsidR="005548C4" w:rsidRDefault="005548C4" w:rsidP="00CC2151">
      <w:r>
        <w:t>The business took advantage of funding opportunities to help finance some of these projects.</w:t>
      </w:r>
    </w:p>
    <w:p w14:paraId="384D10FA" w14:textId="77777777" w:rsidR="005548C4" w:rsidRDefault="005548C4" w:rsidP="00CC2151">
      <w:proofErr w:type="spellStart"/>
      <w:r>
        <w:t>Nitten</w:t>
      </w:r>
      <w:proofErr w:type="spellEnd"/>
      <w:r>
        <w:t xml:space="preserve"> put </w:t>
      </w:r>
      <w:r>
        <w:rPr>
          <w:b/>
          <w:bCs/>
        </w:rPr>
        <w:t>checks</w:t>
      </w:r>
      <w:r>
        <w:t xml:space="preserve"> in place to ensure that the initial energy efficiency (which saved money) and energy conservation controls were maintained. The GHG emission management plan also includes actions to implement future controls, such as incorporating renewable energy options as part of the business’s energy profile. </w:t>
      </w:r>
    </w:p>
    <w:p w14:paraId="7F912048" w14:textId="1409A245" w:rsidR="005548C4" w:rsidRDefault="005548C4" w:rsidP="00CC2151">
      <w:r>
        <w:t xml:space="preserve">A key action in the plan is to better calculate all GHG emissions including </w:t>
      </w:r>
      <w:r w:rsidR="007D792C">
        <w:t>Scope 3</w:t>
      </w:r>
      <w:r>
        <w:t xml:space="preserve"> emissions arising from activities within Victoria. This will help develop future actions. </w:t>
      </w:r>
      <w:r w:rsidR="00D87E3F">
        <w:t xml:space="preserve">He </w:t>
      </w:r>
      <w:r>
        <w:t xml:space="preserve">also understands there are some relatively easy actions he can commence in the short-term to reduce </w:t>
      </w:r>
      <w:r w:rsidR="007D792C">
        <w:t>Scope 3</w:t>
      </w:r>
      <w:r>
        <w:t xml:space="preserve"> GHG emissions, such as working with their catering and courier suppliers to look for opportunities to reduce GHG emissions together. </w:t>
      </w:r>
    </w:p>
    <w:p w14:paraId="7D9065B6" w14:textId="49CBE4A8" w:rsidR="005548C4" w:rsidRDefault="005548C4" w:rsidP="00CC2151">
      <w:r>
        <w:t xml:space="preserve">Finally, </w:t>
      </w:r>
      <w:proofErr w:type="spellStart"/>
      <w:r>
        <w:t>Nitten</w:t>
      </w:r>
      <w:proofErr w:type="spellEnd"/>
      <w:r>
        <w:t xml:space="preserve"> looks to keep abreast of innovative technology solutions he could implement in the future to reduce GHG emissions. The plan </w:t>
      </w:r>
      <w:r w:rsidR="003279DC">
        <w:t xml:space="preserve">will be </w:t>
      </w:r>
      <w:r>
        <w:t xml:space="preserve">reviewed annually. </w:t>
      </w:r>
    </w:p>
    <w:p w14:paraId="279AE530" w14:textId="77777777" w:rsidR="005548C4" w:rsidRDefault="005548C4" w:rsidP="00CC2151">
      <w:r>
        <w:lastRenderedPageBreak/>
        <w:t xml:space="preserve">Based on reporting data the business has achieved a 60 per cent reduction in gas consumption and a 39 per cent reduction in electricity consumption over three years at the building, despite a significant increase in the number of staff over this time. </w:t>
      </w:r>
    </w:p>
    <w:p w14:paraId="7C5735D4" w14:textId="41902F95" w:rsidR="005548C4" w:rsidRDefault="00CC779C" w:rsidP="005548C4">
      <w:pPr>
        <w:pStyle w:val="Heading2"/>
      </w:pPr>
      <w:bookmarkStart w:id="276" w:name="_Toc85802370"/>
      <w:bookmarkStart w:id="277" w:name="_Toc87612603"/>
      <w:bookmarkStart w:id="278" w:name="_Toc112341043"/>
      <w:bookmarkStart w:id="279" w:name="_Toc114045820"/>
      <w:bookmarkStart w:id="280" w:name="_Toc114566226"/>
      <w:r>
        <w:t>7.3</w:t>
      </w:r>
      <w:r>
        <w:tab/>
      </w:r>
      <w:r w:rsidR="005548C4">
        <w:t>Medium-sized GHG-intensive factory/industry</w:t>
      </w:r>
      <w:bookmarkEnd w:id="276"/>
      <w:bookmarkEnd w:id="277"/>
      <w:bookmarkEnd w:id="278"/>
      <w:bookmarkEnd w:id="279"/>
      <w:bookmarkEnd w:id="280"/>
    </w:p>
    <w:p w14:paraId="38B90C96" w14:textId="77777777" w:rsidR="005548C4" w:rsidRDefault="005548C4" w:rsidP="00CC2151">
      <w:r>
        <w:t xml:space="preserve">Stephen works for a global manufacturer of home care and personal products and is responsible for the business’s climate strategy. </w:t>
      </w:r>
    </w:p>
    <w:p w14:paraId="2E24B906" w14:textId="77777777" w:rsidR="005548C4" w:rsidRDefault="005548C4" w:rsidP="00CC2151">
      <w:r>
        <w:t xml:space="preserve">The climate strategy </w:t>
      </w:r>
      <w:r>
        <w:rPr>
          <w:b/>
          <w:bCs/>
        </w:rPr>
        <w:t>identifies</w:t>
      </w:r>
      <w:r>
        <w:t xml:space="preserve"> the business’s GHG emissions sources </w:t>
      </w:r>
      <w:r w:rsidRPr="000C2B96">
        <w:t xml:space="preserve">which may give rise to risks of harm </w:t>
      </w:r>
      <w:r>
        <w:t xml:space="preserve">and </w:t>
      </w:r>
      <w:r>
        <w:rPr>
          <w:b/>
          <w:bCs/>
        </w:rPr>
        <w:t>assesses</w:t>
      </w:r>
      <w:r>
        <w:t xml:space="preserve"> the risk of harm that the emissions have to human health and the environment. The assessment found that the business’s major GHG emission risks come from:</w:t>
      </w:r>
    </w:p>
    <w:p w14:paraId="51DAEF8C" w14:textId="5F297222" w:rsidR="005548C4" w:rsidRPr="00CC2151" w:rsidRDefault="007D792C" w:rsidP="009940F2">
      <w:pPr>
        <w:pStyle w:val="ListBullet0"/>
        <w:rPr>
          <w:rFonts w:ascii="VIC" w:hAnsi="VIC"/>
          <w:sz w:val="20"/>
          <w:szCs w:val="20"/>
        </w:rPr>
      </w:pPr>
      <w:r>
        <w:rPr>
          <w:rFonts w:ascii="VIC" w:hAnsi="VIC"/>
          <w:sz w:val="20"/>
          <w:szCs w:val="20"/>
        </w:rPr>
        <w:t>Scope 3</w:t>
      </w:r>
      <w:r w:rsidR="005548C4" w:rsidRPr="00CC2151">
        <w:rPr>
          <w:rFonts w:ascii="VIC" w:hAnsi="VIC"/>
          <w:sz w:val="20"/>
          <w:szCs w:val="20"/>
        </w:rPr>
        <w:t xml:space="preserve"> – raw materials for ingredients and packaging</w:t>
      </w:r>
    </w:p>
    <w:p w14:paraId="5724BBEE" w14:textId="3C379426" w:rsidR="005548C4" w:rsidRPr="00CC2151" w:rsidRDefault="007D792C" w:rsidP="009940F2">
      <w:pPr>
        <w:pStyle w:val="ListBullet0"/>
        <w:rPr>
          <w:rFonts w:ascii="VIC" w:hAnsi="VIC"/>
          <w:sz w:val="20"/>
          <w:szCs w:val="20"/>
        </w:rPr>
      </w:pPr>
      <w:r>
        <w:rPr>
          <w:rFonts w:ascii="VIC" w:hAnsi="VIC"/>
          <w:sz w:val="20"/>
          <w:szCs w:val="20"/>
        </w:rPr>
        <w:t>Scope 1</w:t>
      </w:r>
      <w:r w:rsidR="005548C4" w:rsidRPr="00CC2151">
        <w:rPr>
          <w:rFonts w:ascii="VIC" w:hAnsi="VIC"/>
          <w:sz w:val="20"/>
          <w:szCs w:val="20"/>
        </w:rPr>
        <w:t xml:space="preserve">, 2 and 3 – manufacturing, </w:t>
      </w:r>
      <w:proofErr w:type="gramStart"/>
      <w:r w:rsidR="005548C4" w:rsidRPr="00CC2151">
        <w:rPr>
          <w:rFonts w:ascii="VIC" w:hAnsi="VIC"/>
          <w:sz w:val="20"/>
          <w:szCs w:val="20"/>
        </w:rPr>
        <w:t>distribution</w:t>
      </w:r>
      <w:proofErr w:type="gramEnd"/>
      <w:r w:rsidR="005548C4" w:rsidRPr="00CC2151">
        <w:rPr>
          <w:rFonts w:ascii="VIC" w:hAnsi="VIC"/>
          <w:sz w:val="20"/>
          <w:szCs w:val="20"/>
        </w:rPr>
        <w:t xml:space="preserve"> and retail </w:t>
      </w:r>
    </w:p>
    <w:p w14:paraId="374A6CC8" w14:textId="2068FD4C" w:rsidR="005548C4" w:rsidRPr="00CC2151" w:rsidRDefault="007D792C" w:rsidP="009940F2">
      <w:pPr>
        <w:pStyle w:val="ListBullet0"/>
        <w:rPr>
          <w:rFonts w:ascii="VIC" w:hAnsi="VIC"/>
          <w:sz w:val="20"/>
          <w:szCs w:val="20"/>
        </w:rPr>
      </w:pPr>
      <w:r>
        <w:rPr>
          <w:rFonts w:ascii="VIC" w:hAnsi="VIC"/>
          <w:sz w:val="20"/>
          <w:szCs w:val="20"/>
        </w:rPr>
        <w:t>Scope 3</w:t>
      </w:r>
      <w:r w:rsidR="005548C4" w:rsidRPr="00CC2151">
        <w:rPr>
          <w:rFonts w:ascii="VIC" w:hAnsi="VIC"/>
          <w:sz w:val="20"/>
          <w:szCs w:val="20"/>
        </w:rPr>
        <w:t xml:space="preserve"> – consumer use of the products (66 per cent of GHG emissions).</w:t>
      </w:r>
    </w:p>
    <w:p w14:paraId="3D3C0DE5" w14:textId="77777777" w:rsidR="005548C4" w:rsidRDefault="005548C4" w:rsidP="005548C4">
      <w:pPr>
        <w:pStyle w:val="BodyText"/>
      </w:pPr>
      <w:r>
        <w:t xml:space="preserve">In response to the identified GHG emission sources and risks, the business has committed to the following targets and </w:t>
      </w:r>
      <w:r>
        <w:rPr>
          <w:b/>
          <w:bCs/>
        </w:rPr>
        <w:t>controls</w:t>
      </w:r>
      <w:r>
        <w:t>:</w:t>
      </w:r>
    </w:p>
    <w:p w14:paraId="43EDF0D8" w14:textId="77777777" w:rsidR="005548C4" w:rsidRPr="00CC2151" w:rsidRDefault="005548C4" w:rsidP="009940F2">
      <w:pPr>
        <w:pStyle w:val="ListBullet0"/>
        <w:rPr>
          <w:rFonts w:ascii="VIC" w:hAnsi="VIC"/>
          <w:sz w:val="20"/>
          <w:szCs w:val="20"/>
        </w:rPr>
      </w:pPr>
      <w:r w:rsidRPr="00CC2151">
        <w:rPr>
          <w:rFonts w:ascii="VIC" w:hAnsi="VIC"/>
          <w:sz w:val="20"/>
          <w:szCs w:val="20"/>
        </w:rPr>
        <w:t>halving the GHG emissions impact from its products across the lifecycle by 2030, and it has:</w:t>
      </w:r>
    </w:p>
    <w:p w14:paraId="1A3D6277" w14:textId="6A2E35B3" w:rsidR="005548C4" w:rsidRPr="00CC2151" w:rsidRDefault="005548C4" w:rsidP="009940F2">
      <w:pPr>
        <w:pStyle w:val="ListBullet2"/>
        <w:rPr>
          <w:rFonts w:ascii="VIC" w:hAnsi="VIC"/>
          <w:sz w:val="20"/>
          <w:szCs w:val="20"/>
        </w:rPr>
      </w:pPr>
      <w:r w:rsidRPr="00CC2151">
        <w:rPr>
          <w:rFonts w:ascii="VIC" w:hAnsi="VIC"/>
          <w:sz w:val="20"/>
          <w:szCs w:val="20"/>
        </w:rPr>
        <w:t xml:space="preserve">redesigned laundry detergents to enable people to wash clothes in lower temperatures (reducing </w:t>
      </w:r>
      <w:r w:rsidR="007D792C">
        <w:rPr>
          <w:rFonts w:ascii="VIC" w:hAnsi="VIC"/>
          <w:sz w:val="20"/>
          <w:szCs w:val="20"/>
        </w:rPr>
        <w:t>Scope 3</w:t>
      </w:r>
      <w:r w:rsidRPr="00CC2151">
        <w:rPr>
          <w:rFonts w:ascii="VIC" w:hAnsi="VIC"/>
          <w:sz w:val="20"/>
          <w:szCs w:val="20"/>
        </w:rPr>
        <w:t xml:space="preserve"> GHG emissions by up to 50 per cent per load)</w:t>
      </w:r>
    </w:p>
    <w:p w14:paraId="3FF73A75" w14:textId="77777777" w:rsidR="005548C4" w:rsidRPr="00CC2151" w:rsidRDefault="005548C4" w:rsidP="009940F2">
      <w:pPr>
        <w:pStyle w:val="ListBullet2"/>
        <w:rPr>
          <w:rFonts w:ascii="VIC" w:hAnsi="VIC"/>
          <w:sz w:val="20"/>
          <w:szCs w:val="20"/>
        </w:rPr>
      </w:pPr>
      <w:r w:rsidRPr="00CC2151">
        <w:rPr>
          <w:rFonts w:ascii="VIC" w:hAnsi="VIC"/>
          <w:sz w:val="20"/>
          <w:szCs w:val="20"/>
        </w:rPr>
        <w:t>reformulated products to reduce the amount of GHG-intensive ingredients used</w:t>
      </w:r>
    </w:p>
    <w:p w14:paraId="0A8A826F" w14:textId="77777777" w:rsidR="005548C4" w:rsidRPr="00CC2151" w:rsidRDefault="005548C4" w:rsidP="009940F2">
      <w:pPr>
        <w:pStyle w:val="ListBullet2"/>
        <w:rPr>
          <w:rFonts w:ascii="VIC" w:hAnsi="VIC"/>
          <w:sz w:val="20"/>
          <w:szCs w:val="20"/>
        </w:rPr>
      </w:pPr>
      <w:r w:rsidRPr="00CC2151">
        <w:rPr>
          <w:rFonts w:ascii="VIC" w:hAnsi="VIC"/>
          <w:sz w:val="20"/>
          <w:szCs w:val="20"/>
        </w:rPr>
        <w:t>redesigned packaging with lighter and sturdier designs, using recycled and recyclable materials</w:t>
      </w:r>
    </w:p>
    <w:p w14:paraId="7EBA8D53" w14:textId="337D3AC5" w:rsidR="005548C4" w:rsidRPr="00CC2151" w:rsidRDefault="005548C4" w:rsidP="009940F2">
      <w:pPr>
        <w:pStyle w:val="ListBullet0"/>
        <w:rPr>
          <w:rFonts w:ascii="VIC" w:hAnsi="VIC"/>
          <w:sz w:val="20"/>
          <w:szCs w:val="20"/>
        </w:rPr>
      </w:pPr>
      <w:r w:rsidRPr="00CC2151">
        <w:rPr>
          <w:rFonts w:ascii="VIC" w:hAnsi="VIC"/>
          <w:sz w:val="20"/>
          <w:szCs w:val="20"/>
        </w:rPr>
        <w:t xml:space="preserve">reducing </w:t>
      </w:r>
      <w:r w:rsidR="007D792C">
        <w:rPr>
          <w:rFonts w:ascii="VIC" w:hAnsi="VIC"/>
          <w:sz w:val="20"/>
          <w:szCs w:val="20"/>
        </w:rPr>
        <w:t>Scope 1</w:t>
      </w:r>
      <w:r w:rsidRPr="00CC2151">
        <w:rPr>
          <w:rFonts w:ascii="VIC" w:hAnsi="VIC"/>
          <w:sz w:val="20"/>
          <w:szCs w:val="20"/>
        </w:rPr>
        <w:t xml:space="preserve"> and </w:t>
      </w:r>
      <w:r w:rsidR="007D792C">
        <w:rPr>
          <w:rFonts w:ascii="VIC" w:hAnsi="VIC"/>
          <w:sz w:val="20"/>
          <w:szCs w:val="20"/>
        </w:rPr>
        <w:t>Scope 2</w:t>
      </w:r>
      <w:r w:rsidRPr="00CC2151">
        <w:rPr>
          <w:rFonts w:ascii="VIC" w:hAnsi="VIC"/>
          <w:sz w:val="20"/>
          <w:szCs w:val="20"/>
        </w:rPr>
        <w:t xml:space="preserve"> GHG emissions by 80 per cent by 2030 from its own operations including:</w:t>
      </w:r>
    </w:p>
    <w:p w14:paraId="55CCA169" w14:textId="77777777" w:rsidR="005548C4" w:rsidRPr="00CC2151" w:rsidRDefault="005548C4" w:rsidP="009940F2">
      <w:pPr>
        <w:pStyle w:val="ListBullet2"/>
        <w:rPr>
          <w:rFonts w:ascii="VIC" w:hAnsi="VIC"/>
          <w:sz w:val="20"/>
          <w:szCs w:val="20"/>
        </w:rPr>
      </w:pPr>
      <w:r w:rsidRPr="00CC2151">
        <w:rPr>
          <w:rFonts w:ascii="VIC" w:hAnsi="VIC"/>
          <w:sz w:val="20"/>
          <w:szCs w:val="20"/>
        </w:rPr>
        <w:t>using energy efficiency to reduce GHG emissions from machinery</w:t>
      </w:r>
    </w:p>
    <w:p w14:paraId="26592784" w14:textId="77777777" w:rsidR="005548C4" w:rsidRPr="00CC2151" w:rsidRDefault="005548C4" w:rsidP="009940F2">
      <w:pPr>
        <w:pStyle w:val="ListBullet2"/>
        <w:rPr>
          <w:rFonts w:ascii="VIC" w:hAnsi="VIC"/>
          <w:sz w:val="20"/>
          <w:szCs w:val="20"/>
        </w:rPr>
      </w:pPr>
      <w:r w:rsidRPr="00CC2151">
        <w:rPr>
          <w:rFonts w:ascii="VIC" w:hAnsi="VIC"/>
          <w:sz w:val="20"/>
          <w:szCs w:val="20"/>
        </w:rPr>
        <w:t>converting energy sources to renewables</w:t>
      </w:r>
    </w:p>
    <w:p w14:paraId="454DBBC9" w14:textId="77777777" w:rsidR="005548C4" w:rsidRPr="00CC2151" w:rsidRDefault="005548C4" w:rsidP="009940F2">
      <w:pPr>
        <w:pStyle w:val="ListBullet2"/>
        <w:rPr>
          <w:rFonts w:ascii="VIC" w:hAnsi="VIC"/>
          <w:sz w:val="20"/>
          <w:szCs w:val="20"/>
        </w:rPr>
      </w:pPr>
      <w:r w:rsidRPr="00CC2151">
        <w:rPr>
          <w:rFonts w:ascii="VIC" w:hAnsi="VIC"/>
          <w:sz w:val="20"/>
          <w:szCs w:val="20"/>
        </w:rPr>
        <w:t>electrifying as much equipment as possible (including for hot water and steam)</w:t>
      </w:r>
    </w:p>
    <w:p w14:paraId="5229D6C6" w14:textId="77777777" w:rsidR="005548C4" w:rsidRPr="00CC2151" w:rsidRDefault="005548C4" w:rsidP="009940F2">
      <w:pPr>
        <w:pStyle w:val="ListBullet2"/>
        <w:rPr>
          <w:rFonts w:ascii="VIC" w:hAnsi="VIC"/>
          <w:sz w:val="20"/>
          <w:szCs w:val="20"/>
        </w:rPr>
      </w:pPr>
      <w:r w:rsidRPr="00CC2151">
        <w:rPr>
          <w:rFonts w:ascii="VIC" w:hAnsi="VIC"/>
          <w:sz w:val="20"/>
          <w:szCs w:val="20"/>
        </w:rPr>
        <w:t>starting to switch the sales fleet to electric vehicles.</w:t>
      </w:r>
    </w:p>
    <w:p w14:paraId="2A215215" w14:textId="0F5B93E6" w:rsidR="005548C4" w:rsidRDefault="005548C4" w:rsidP="00CC2151">
      <w:r>
        <w:t xml:space="preserve">These targets have been approved by the </w:t>
      </w:r>
      <w:hyperlink r:id="rId80" w:history="1">
        <w:r>
          <w:rPr>
            <w:rStyle w:val="Hyperlink"/>
          </w:rPr>
          <w:t>Science Based Targets Initiative</w:t>
        </w:r>
      </w:hyperlink>
      <w:r w:rsidR="00597EFD">
        <w:rPr>
          <w:rStyle w:val="Hyperlink"/>
        </w:rPr>
        <w:t>.</w:t>
      </w:r>
    </w:p>
    <w:p w14:paraId="5B56B589" w14:textId="77777777" w:rsidR="005548C4" w:rsidRDefault="005548C4" w:rsidP="00CC2151">
      <w:r>
        <w:t>Stephen has identified several options to reduce GHG emissions from distribution, such as filling their trucks to capacity, more efficient journeys, using alternative fuels and/or driver training on eco-efficient techniques. He will consider which of these are most suitable for the business’s circumstances and how effective the controls are compared to the cost to implement them.</w:t>
      </w:r>
    </w:p>
    <w:p w14:paraId="287F34AB" w14:textId="77777777" w:rsidR="005548C4" w:rsidRDefault="005548C4" w:rsidP="00CC2151">
      <w:r>
        <w:t xml:space="preserve">Stephen will revisit the business’s climate strategy annually and as part of that process he will seek to further develop the options to reduce GHG emissions from its distribution activities. Stephen also ensures that the controls currently implemented are </w:t>
      </w:r>
      <w:r>
        <w:rPr>
          <w:b/>
          <w:bCs/>
        </w:rPr>
        <w:t>checked</w:t>
      </w:r>
      <w:r>
        <w:t xml:space="preserve"> regularly to retain and build on the reductions already achieved. </w:t>
      </w:r>
    </w:p>
    <w:p w14:paraId="33144D2D" w14:textId="38CBBDFA" w:rsidR="005548C4" w:rsidRDefault="00CC779C" w:rsidP="005548C4">
      <w:pPr>
        <w:pStyle w:val="Heading2"/>
      </w:pPr>
      <w:bookmarkStart w:id="281" w:name="_Toc85802371"/>
      <w:bookmarkStart w:id="282" w:name="_Toc87612604"/>
      <w:bookmarkStart w:id="283" w:name="_Toc112341044"/>
      <w:bookmarkStart w:id="284" w:name="_Toc114045821"/>
      <w:bookmarkStart w:id="285" w:name="_Toc114566227"/>
      <w:r>
        <w:t>7.4</w:t>
      </w:r>
      <w:r>
        <w:tab/>
      </w:r>
      <w:r w:rsidR="005548C4">
        <w:t>EPA</w:t>
      </w:r>
      <w:r w:rsidR="005454EF">
        <w:t>-</w:t>
      </w:r>
      <w:r w:rsidR="005548C4">
        <w:t>licensed business</w:t>
      </w:r>
      <w:bookmarkEnd w:id="281"/>
      <w:bookmarkEnd w:id="282"/>
      <w:bookmarkEnd w:id="283"/>
      <w:bookmarkEnd w:id="284"/>
      <w:bookmarkEnd w:id="285"/>
    </w:p>
    <w:p w14:paraId="2CE19502" w14:textId="28ABA3DE" w:rsidR="005548C4" w:rsidRDefault="005548C4" w:rsidP="00CC2151">
      <w:r>
        <w:t xml:space="preserve">Binh manufactures widgets and holds an EPA licence which allows some discharges to air. EPA recently amended the licence to align it with the </w:t>
      </w:r>
      <w:r w:rsidR="005C65EC">
        <w:t xml:space="preserve">EP </w:t>
      </w:r>
      <w:r>
        <w:t xml:space="preserve">Act. One of the licence conditions requires Binh to develop and maintain a RMMP for her activities. </w:t>
      </w:r>
    </w:p>
    <w:p w14:paraId="651E4983" w14:textId="4AE4EB2F" w:rsidR="005548C4" w:rsidRDefault="005548C4" w:rsidP="00CC2151">
      <w:r>
        <w:t xml:space="preserve">Binh uses </w:t>
      </w:r>
      <w:hyperlink r:id="rId81" w:history="1">
        <w:r>
          <w:rPr>
            <w:rStyle w:val="Hyperlink"/>
          </w:rPr>
          <w:t>Implementing the general environmental duty: A guide for licence holders</w:t>
        </w:r>
      </w:hyperlink>
      <w:r>
        <w:t xml:space="preserve"> on the EPA website as a guide in developing the RMMP, </w:t>
      </w:r>
      <w:r>
        <w:rPr>
          <w:b/>
          <w:bCs/>
        </w:rPr>
        <w:t>identifying</w:t>
      </w:r>
      <w:r>
        <w:t xml:space="preserve"> and </w:t>
      </w:r>
      <w:r>
        <w:rPr>
          <w:b/>
          <w:bCs/>
        </w:rPr>
        <w:t>assessing</w:t>
      </w:r>
      <w:r>
        <w:t xml:space="preserve"> risks of harm from GHG emissions as part of the process. She already has a good understanding of the </w:t>
      </w:r>
      <w:r w:rsidR="007D792C">
        <w:t>Scope 1</w:t>
      </w:r>
      <w:r>
        <w:t xml:space="preserve"> and </w:t>
      </w:r>
      <w:r w:rsidR="007D792C">
        <w:t>Scope 2</w:t>
      </w:r>
      <w:r>
        <w:t xml:space="preserve"> GHG emissions as </w:t>
      </w:r>
      <w:r>
        <w:lastRenderedPageBreak/>
        <w:t>they are already calculated and reported annually to the National Greenhouse and Energy Reporting (NGER) scheme. GHG emissions include:</w:t>
      </w:r>
    </w:p>
    <w:p w14:paraId="55F713FC" w14:textId="316CAD2C" w:rsidR="005548C4" w:rsidRPr="00CC2151" w:rsidRDefault="007D792C" w:rsidP="009940F2">
      <w:pPr>
        <w:pStyle w:val="ListBullet0"/>
        <w:rPr>
          <w:rFonts w:ascii="VIC" w:hAnsi="VIC"/>
          <w:sz w:val="20"/>
          <w:szCs w:val="20"/>
        </w:rPr>
      </w:pPr>
      <w:r>
        <w:rPr>
          <w:rFonts w:ascii="VIC" w:hAnsi="VIC"/>
          <w:sz w:val="20"/>
          <w:szCs w:val="20"/>
        </w:rPr>
        <w:t>Scope 1</w:t>
      </w:r>
      <w:r w:rsidR="005548C4" w:rsidRPr="00CC2151">
        <w:rPr>
          <w:rFonts w:ascii="VIC" w:hAnsi="VIC"/>
          <w:sz w:val="20"/>
          <w:szCs w:val="20"/>
        </w:rPr>
        <w:t xml:space="preserve"> – fuel combustion and processes producing GHG as a by-product </w:t>
      </w:r>
    </w:p>
    <w:p w14:paraId="02C68BE2" w14:textId="1867DBB4" w:rsidR="005548C4" w:rsidRPr="00CC2151" w:rsidRDefault="007D792C" w:rsidP="009940F2">
      <w:pPr>
        <w:pStyle w:val="ListBullet0"/>
        <w:rPr>
          <w:rFonts w:ascii="VIC" w:hAnsi="VIC"/>
          <w:sz w:val="20"/>
          <w:szCs w:val="20"/>
        </w:rPr>
      </w:pPr>
      <w:r>
        <w:rPr>
          <w:rFonts w:ascii="VIC" w:hAnsi="VIC"/>
          <w:sz w:val="20"/>
          <w:szCs w:val="20"/>
        </w:rPr>
        <w:t>Scope 2</w:t>
      </w:r>
      <w:r w:rsidR="005548C4" w:rsidRPr="00CC2151">
        <w:rPr>
          <w:rFonts w:ascii="VIC" w:hAnsi="VIC"/>
          <w:sz w:val="20"/>
          <w:szCs w:val="20"/>
        </w:rPr>
        <w:t xml:space="preserve"> – related to electricity use.</w:t>
      </w:r>
    </w:p>
    <w:p w14:paraId="15F10EB5" w14:textId="77777777" w:rsidR="005548C4" w:rsidRDefault="005548C4" w:rsidP="005548C4">
      <w:pPr>
        <w:pStyle w:val="BodyText"/>
        <w:keepNext/>
      </w:pPr>
      <w:r>
        <w:t>The RMMP sets GHG emissions environmental performance objectives including:</w:t>
      </w:r>
    </w:p>
    <w:p w14:paraId="5BCDF2AC" w14:textId="68CF49C1" w:rsidR="005548C4" w:rsidRPr="00CC2151" w:rsidRDefault="005548C4" w:rsidP="009940F2">
      <w:pPr>
        <w:pStyle w:val="ListBullet0"/>
        <w:rPr>
          <w:rFonts w:ascii="VIC" w:hAnsi="VIC"/>
          <w:sz w:val="20"/>
          <w:szCs w:val="20"/>
        </w:rPr>
      </w:pPr>
      <w:r w:rsidRPr="00CC2151">
        <w:rPr>
          <w:rFonts w:ascii="VIC" w:hAnsi="VIC"/>
          <w:sz w:val="20"/>
          <w:szCs w:val="20"/>
        </w:rPr>
        <w:t xml:space="preserve">a 20 per cent reduction in </w:t>
      </w:r>
      <w:r w:rsidR="007D792C">
        <w:rPr>
          <w:rFonts w:ascii="VIC" w:hAnsi="VIC"/>
          <w:sz w:val="20"/>
          <w:szCs w:val="20"/>
        </w:rPr>
        <w:t>Scope 1</w:t>
      </w:r>
      <w:r w:rsidRPr="00CC2151">
        <w:rPr>
          <w:rFonts w:ascii="VIC" w:hAnsi="VIC"/>
          <w:sz w:val="20"/>
          <w:szCs w:val="20"/>
        </w:rPr>
        <w:t xml:space="preserve"> GHG emissions intensity by 2025 from a 2015 baseline</w:t>
      </w:r>
    </w:p>
    <w:p w14:paraId="06E394D1" w14:textId="77777777" w:rsidR="005548C4" w:rsidRPr="00CC2151" w:rsidRDefault="005548C4" w:rsidP="009940F2">
      <w:pPr>
        <w:pStyle w:val="ListBullet0"/>
        <w:rPr>
          <w:rFonts w:ascii="VIC" w:hAnsi="VIC"/>
          <w:sz w:val="20"/>
          <w:szCs w:val="20"/>
        </w:rPr>
      </w:pPr>
      <w:r w:rsidRPr="00CC2151">
        <w:rPr>
          <w:rFonts w:ascii="VIC" w:hAnsi="VIC"/>
          <w:sz w:val="20"/>
          <w:szCs w:val="20"/>
        </w:rPr>
        <w:t>a 40 per cent improvement in energy efficiency by 2030 from a 2015 baseline.</w:t>
      </w:r>
    </w:p>
    <w:p w14:paraId="63D0D1B7" w14:textId="05C4E6BF" w:rsidR="005548C4" w:rsidRDefault="009B014C" w:rsidP="00CC2151">
      <w:r>
        <w:t xml:space="preserve">She </w:t>
      </w:r>
      <w:r w:rsidR="005548C4">
        <w:t xml:space="preserve">used well-known </w:t>
      </w:r>
      <w:hyperlink r:id="rId82" w:history="1">
        <w:r w:rsidR="007D792C">
          <w:rPr>
            <w:rStyle w:val="Hyperlink"/>
          </w:rPr>
          <w:t>Scope 3</w:t>
        </w:r>
        <w:r w:rsidR="005548C4">
          <w:rPr>
            <w:rStyle w:val="Hyperlink"/>
          </w:rPr>
          <w:t xml:space="preserve"> Accounting and Reporting guidance</w:t>
        </w:r>
      </w:hyperlink>
      <w:r w:rsidR="005548C4" w:rsidRPr="00FC7C74">
        <w:rPr>
          <w:rStyle w:val="Hyperlink"/>
        </w:rPr>
        <w:t xml:space="preserve">, which is </w:t>
      </w:r>
      <w:r w:rsidR="005548C4" w:rsidRPr="00FC7C74">
        <w:t>part of the</w:t>
      </w:r>
      <w:r w:rsidR="005548C4">
        <w:rPr>
          <w:rStyle w:val="Hyperlink"/>
        </w:rPr>
        <w:t xml:space="preserve"> </w:t>
      </w:r>
      <w:hyperlink r:id="rId83" w:history="1">
        <w:r w:rsidR="005548C4">
          <w:rPr>
            <w:rStyle w:val="Hyperlink"/>
          </w:rPr>
          <w:t>Greenhouse Gas Protocol</w:t>
        </w:r>
      </w:hyperlink>
      <w:r w:rsidR="005548C4">
        <w:rPr>
          <w:rStyle w:val="Hyperlink"/>
        </w:rPr>
        <w:t>,</w:t>
      </w:r>
      <w:r w:rsidR="005548C4">
        <w:t xml:space="preserve"> to calculate the business’s </w:t>
      </w:r>
      <w:r w:rsidR="007D792C">
        <w:t>Scope 3</w:t>
      </w:r>
      <w:r w:rsidR="005548C4">
        <w:t xml:space="preserve"> GHG emissions and now reports these as part of the annual corporate reporting.</w:t>
      </w:r>
    </w:p>
    <w:p w14:paraId="5D0A57BC" w14:textId="00E391AE" w:rsidR="005548C4" w:rsidRDefault="005548C4" w:rsidP="00CC2151">
      <w:r>
        <w:t xml:space="preserve">The following </w:t>
      </w:r>
      <w:r>
        <w:rPr>
          <w:b/>
          <w:bCs/>
        </w:rPr>
        <w:t>controls</w:t>
      </w:r>
      <w:r>
        <w:t xml:space="preserve"> have reduced </w:t>
      </w:r>
      <w:r w:rsidR="007D792C">
        <w:t>Scope 1</w:t>
      </w:r>
      <w:r>
        <w:t xml:space="preserve"> and </w:t>
      </w:r>
      <w:r w:rsidR="007D792C">
        <w:t>Scope 2</w:t>
      </w:r>
      <w:r>
        <w:t xml:space="preserve"> GHG emissions:</w:t>
      </w:r>
    </w:p>
    <w:p w14:paraId="70D4A39B" w14:textId="77777777" w:rsidR="005548C4" w:rsidRPr="0001072A" w:rsidRDefault="005548C4" w:rsidP="009940F2">
      <w:pPr>
        <w:pStyle w:val="ListBullet0"/>
        <w:rPr>
          <w:rFonts w:ascii="VIC" w:hAnsi="VIC"/>
          <w:sz w:val="20"/>
          <w:szCs w:val="20"/>
        </w:rPr>
      </w:pPr>
      <w:r w:rsidRPr="0001072A">
        <w:rPr>
          <w:rFonts w:ascii="VIC" w:hAnsi="VIC"/>
          <w:sz w:val="20"/>
          <w:szCs w:val="20"/>
        </w:rPr>
        <w:t>electrifying processes for stationary sources used for heating and industrial processes (and using renewable energy)</w:t>
      </w:r>
    </w:p>
    <w:p w14:paraId="2895691F" w14:textId="77777777" w:rsidR="005548C4" w:rsidRPr="0001072A" w:rsidRDefault="005548C4" w:rsidP="009940F2">
      <w:pPr>
        <w:pStyle w:val="ListBullet0"/>
        <w:rPr>
          <w:rFonts w:ascii="VIC" w:hAnsi="VIC"/>
          <w:sz w:val="20"/>
          <w:szCs w:val="20"/>
        </w:rPr>
      </w:pPr>
      <w:r w:rsidRPr="0001072A">
        <w:rPr>
          <w:rFonts w:ascii="VIC" w:hAnsi="VIC"/>
          <w:sz w:val="20"/>
          <w:szCs w:val="20"/>
        </w:rPr>
        <w:t>using raw materials with lower emission intensity</w:t>
      </w:r>
    </w:p>
    <w:p w14:paraId="06EE8ED3" w14:textId="77777777" w:rsidR="005548C4" w:rsidRPr="0001072A" w:rsidRDefault="005548C4" w:rsidP="009940F2">
      <w:pPr>
        <w:pStyle w:val="ListBullet0"/>
        <w:rPr>
          <w:rFonts w:ascii="VIC" w:hAnsi="VIC"/>
          <w:sz w:val="20"/>
          <w:szCs w:val="20"/>
        </w:rPr>
      </w:pPr>
      <w:r w:rsidRPr="0001072A">
        <w:rPr>
          <w:rFonts w:ascii="VIC" w:hAnsi="VIC"/>
          <w:sz w:val="20"/>
          <w:szCs w:val="20"/>
        </w:rPr>
        <w:t>installing automated control systems and variable speed drives on pumps and other equipment</w:t>
      </w:r>
    </w:p>
    <w:p w14:paraId="08E9EFD9" w14:textId="77777777" w:rsidR="005548C4" w:rsidRPr="0001072A" w:rsidRDefault="005548C4" w:rsidP="009940F2">
      <w:pPr>
        <w:pStyle w:val="ListBullet0"/>
        <w:rPr>
          <w:rFonts w:ascii="VIC" w:hAnsi="VIC"/>
          <w:sz w:val="20"/>
          <w:szCs w:val="20"/>
        </w:rPr>
      </w:pPr>
      <w:r w:rsidRPr="0001072A">
        <w:rPr>
          <w:rFonts w:ascii="VIC" w:hAnsi="VIC"/>
          <w:sz w:val="20"/>
          <w:szCs w:val="20"/>
        </w:rPr>
        <w:t>installing control systems on HVAC systems to optimise performance.</w:t>
      </w:r>
    </w:p>
    <w:p w14:paraId="11A31E58" w14:textId="77777777" w:rsidR="005548C4" w:rsidRDefault="005548C4" w:rsidP="0001072A">
      <w:r>
        <w:t xml:space="preserve">Binh also has staff regularly </w:t>
      </w:r>
      <w:r>
        <w:rPr>
          <w:b/>
          <w:bCs/>
        </w:rPr>
        <w:t>check</w:t>
      </w:r>
      <w:r>
        <w:t xml:space="preserve"> the controls to ensure the emissions reductions are maintained.</w:t>
      </w:r>
    </w:p>
    <w:p w14:paraId="39CFC686" w14:textId="1C42CEBE" w:rsidR="005548C4" w:rsidRDefault="005548C4" w:rsidP="0001072A">
      <w:r>
        <w:t xml:space="preserve">Binh is aware that this industry sector faces technical challenges in reducing some of its </w:t>
      </w:r>
      <w:r w:rsidR="007D792C">
        <w:t>Scope 1</w:t>
      </w:r>
      <w:r>
        <w:t xml:space="preserve"> and </w:t>
      </w:r>
      <w:r w:rsidR="007D792C">
        <w:t>Scope 3</w:t>
      </w:r>
      <w:r>
        <w:t xml:space="preserve"> GHG emissions and that there is currently a lack of available controls to eliminate or reduce risks from some of these sources (one of the matters relevant to what is </w:t>
      </w:r>
      <w:hyperlink r:id="rId84" w:history="1">
        <w:r>
          <w:rPr>
            <w:rStyle w:val="Hyperlink"/>
          </w:rPr>
          <w:t>reasonably practicable</w:t>
        </w:r>
      </w:hyperlink>
      <w:r>
        <w:rPr>
          <w:rStyle w:val="Hyperlink"/>
        </w:rPr>
        <w:t>)</w:t>
      </w:r>
      <w:r>
        <w:t xml:space="preserve">. However, Binh understands that she is still required to monitor the business’s GHG emissions and minimise the risks from those sources so far as </w:t>
      </w:r>
      <w:r w:rsidRPr="00027F24">
        <w:t>reasonably practicable</w:t>
      </w:r>
      <w:r>
        <w:t>. Therefore, in the short term the company will focus on energy and resource efficiency and move towards renewable energy.</w:t>
      </w:r>
    </w:p>
    <w:p w14:paraId="72FFD120" w14:textId="08D86A7A" w:rsidR="005548C4" w:rsidRDefault="005548C4" w:rsidP="0001072A">
      <w:r>
        <w:t>In the medium</w:t>
      </w:r>
      <w:r w:rsidR="006568C2">
        <w:t>-</w:t>
      </w:r>
      <w:r>
        <w:t>to</w:t>
      </w:r>
      <w:r w:rsidR="006568C2">
        <w:t>-</w:t>
      </w:r>
      <w:r>
        <w:t>long term</w:t>
      </w:r>
      <w:r w:rsidR="006568C2">
        <w:t>,</w:t>
      </w:r>
      <w:r>
        <w:t xml:space="preserve"> Binh will:</w:t>
      </w:r>
    </w:p>
    <w:p w14:paraId="5B06BFA5" w14:textId="77777777" w:rsidR="005548C4" w:rsidRPr="0001072A" w:rsidRDefault="005548C4" w:rsidP="009940F2">
      <w:pPr>
        <w:pStyle w:val="ListBullet0"/>
        <w:rPr>
          <w:rFonts w:ascii="VIC" w:hAnsi="VIC"/>
          <w:sz w:val="20"/>
          <w:szCs w:val="20"/>
        </w:rPr>
      </w:pPr>
      <w:r w:rsidRPr="0001072A">
        <w:rPr>
          <w:rFonts w:ascii="VIC" w:hAnsi="VIC"/>
          <w:sz w:val="20"/>
          <w:szCs w:val="20"/>
        </w:rPr>
        <w:t xml:space="preserve">look at adopting circular economy principles for the raw materials   </w:t>
      </w:r>
    </w:p>
    <w:p w14:paraId="2CF30312" w14:textId="77777777" w:rsidR="005548C4" w:rsidRPr="0001072A" w:rsidRDefault="005548C4" w:rsidP="009940F2">
      <w:pPr>
        <w:pStyle w:val="ListBullet0"/>
        <w:rPr>
          <w:rFonts w:ascii="VIC" w:hAnsi="VIC"/>
          <w:sz w:val="20"/>
          <w:szCs w:val="20"/>
        </w:rPr>
      </w:pPr>
      <w:r w:rsidRPr="0001072A">
        <w:rPr>
          <w:rFonts w:ascii="VIC" w:hAnsi="VIC"/>
          <w:sz w:val="20"/>
          <w:szCs w:val="20"/>
        </w:rPr>
        <w:t>form new alliances with her supply chain</w:t>
      </w:r>
    </w:p>
    <w:p w14:paraId="01C9931F" w14:textId="77777777" w:rsidR="005548C4" w:rsidRPr="0001072A" w:rsidRDefault="005548C4" w:rsidP="009940F2">
      <w:pPr>
        <w:pStyle w:val="ListBullet0"/>
        <w:rPr>
          <w:rFonts w:ascii="VIC" w:hAnsi="VIC"/>
          <w:sz w:val="20"/>
          <w:szCs w:val="20"/>
        </w:rPr>
      </w:pPr>
      <w:r w:rsidRPr="0001072A">
        <w:rPr>
          <w:rFonts w:ascii="VIC" w:hAnsi="VIC"/>
          <w:sz w:val="20"/>
          <w:szCs w:val="20"/>
        </w:rPr>
        <w:t xml:space="preserve">keep an eye on relevant sources of information for her sector, such as the </w:t>
      </w:r>
      <w:hyperlink r:id="rId85">
        <w:r w:rsidRPr="0001072A">
          <w:rPr>
            <w:rStyle w:val="Hyperlink"/>
            <w:rFonts w:ascii="VIC" w:hAnsi="VIC"/>
            <w:szCs w:val="20"/>
          </w:rPr>
          <w:t>Australian Industry Energy Transitions Initiative</w:t>
        </w:r>
      </w:hyperlink>
      <w:r w:rsidRPr="0001072A">
        <w:rPr>
          <w:rFonts w:ascii="VIC" w:hAnsi="VIC"/>
          <w:sz w:val="20"/>
          <w:szCs w:val="20"/>
        </w:rPr>
        <w:t xml:space="preserve">, to help her build her knowledge of emerging technology solutions </w:t>
      </w:r>
    </w:p>
    <w:p w14:paraId="2D1DCDFA" w14:textId="77777777" w:rsidR="005548C4" w:rsidRDefault="005548C4" w:rsidP="009940F2">
      <w:pPr>
        <w:pStyle w:val="ListBullet0"/>
        <w:rPr>
          <w:rFonts w:ascii="VIC" w:hAnsi="VIC"/>
          <w:sz w:val="20"/>
          <w:szCs w:val="20"/>
        </w:rPr>
      </w:pPr>
      <w:r w:rsidRPr="0001072A">
        <w:rPr>
          <w:rFonts w:ascii="VIC" w:hAnsi="VIC"/>
          <w:sz w:val="20"/>
          <w:szCs w:val="20"/>
        </w:rPr>
        <w:t>adopt new technologies when it is reasonably practicable to do so.</w:t>
      </w:r>
    </w:p>
    <w:p w14:paraId="0383F2DF" w14:textId="77777777" w:rsidR="0062643F" w:rsidRDefault="0062643F" w:rsidP="0001072A">
      <w:pPr>
        <w:pStyle w:val="ListBullet0"/>
        <w:numPr>
          <w:ilvl w:val="0"/>
          <w:numId w:val="0"/>
        </w:numPr>
        <w:ind w:left="425"/>
        <w:rPr>
          <w:rFonts w:ascii="VIC" w:hAnsi="VIC"/>
          <w:sz w:val="20"/>
          <w:szCs w:val="20"/>
        </w:rPr>
        <w:sectPr w:rsidR="0062643F" w:rsidSect="001225D3">
          <w:pgSz w:w="11900" w:h="16840"/>
          <w:pgMar w:top="1000" w:right="740" w:bottom="1934" w:left="987" w:header="283" w:footer="812" w:gutter="0"/>
          <w:cols w:space="720"/>
        </w:sectPr>
      </w:pPr>
    </w:p>
    <w:p w14:paraId="080C6707" w14:textId="3DA347DC" w:rsidR="002343A6" w:rsidRPr="00840BD8" w:rsidRDefault="002343A6" w:rsidP="009940F2">
      <w:pPr>
        <w:pStyle w:val="Heading1"/>
        <w:numPr>
          <w:ilvl w:val="0"/>
          <w:numId w:val="4"/>
        </w:numPr>
        <w:rPr>
          <w:b/>
          <w:bCs/>
        </w:rPr>
      </w:pPr>
      <w:bookmarkStart w:id="286" w:name="_Toc85802372"/>
      <w:bookmarkStart w:id="287" w:name="_Toc87612605"/>
      <w:bookmarkStart w:id="288" w:name="_Toc112341045"/>
      <w:bookmarkStart w:id="289" w:name="_Toc114045822"/>
      <w:bookmarkStart w:id="290" w:name="_Toc114566228"/>
      <w:r w:rsidRPr="00840BD8">
        <w:rPr>
          <w:b/>
          <w:bCs/>
        </w:rPr>
        <w:lastRenderedPageBreak/>
        <w:t>EPA guidance relevant to GHG emissions and climate change</w:t>
      </w:r>
      <w:bookmarkStart w:id="291" w:name="_Toc85802373"/>
      <w:bookmarkEnd w:id="286"/>
      <w:bookmarkEnd w:id="287"/>
      <w:bookmarkEnd w:id="288"/>
      <w:bookmarkEnd w:id="289"/>
      <w:bookmarkEnd w:id="290"/>
      <w:bookmarkEnd w:id="291"/>
    </w:p>
    <w:p w14:paraId="5D92EBA1" w14:textId="77777777" w:rsidR="0001072A" w:rsidRPr="0001072A" w:rsidRDefault="0001072A" w:rsidP="0001072A">
      <w:pPr>
        <w:pStyle w:val="ListBullet0"/>
        <w:numPr>
          <w:ilvl w:val="0"/>
          <w:numId w:val="0"/>
        </w:numPr>
        <w:ind w:left="425"/>
        <w:rPr>
          <w:rFonts w:ascii="VIC" w:hAnsi="VIC"/>
          <w:sz w:val="20"/>
          <w:szCs w:val="20"/>
        </w:rPr>
      </w:pPr>
    </w:p>
    <w:p w14:paraId="0D0A1B92" w14:textId="74EB4227" w:rsidR="0071683A" w:rsidRPr="005B70C8" w:rsidRDefault="00A04D78" w:rsidP="009940F2">
      <w:pPr>
        <w:pStyle w:val="ListBullet0"/>
        <w:rPr>
          <w:rFonts w:ascii="VIC" w:hAnsi="VIC"/>
          <w:sz w:val="20"/>
          <w:szCs w:val="20"/>
        </w:rPr>
      </w:pPr>
      <w:hyperlink r:id="rId86">
        <w:r w:rsidR="0071683A" w:rsidRPr="005B70C8">
          <w:rPr>
            <w:rStyle w:val="Hyperlink"/>
            <w:rFonts w:ascii="VIC" w:hAnsi="VIC"/>
            <w:szCs w:val="20"/>
          </w:rPr>
          <w:t>Assessing and controlling risk: a guide for business</w:t>
        </w:r>
      </w:hyperlink>
      <w:r w:rsidR="0071683A" w:rsidRPr="005B70C8">
        <w:rPr>
          <w:rFonts w:ascii="VIC" w:hAnsi="VIC"/>
          <w:sz w:val="20"/>
          <w:szCs w:val="20"/>
        </w:rPr>
        <w:t xml:space="preserve"> (publication 1695</w:t>
      </w:r>
      <w:r w:rsidR="00F07440">
        <w:rPr>
          <w:rFonts w:ascii="VIC" w:hAnsi="VIC"/>
          <w:sz w:val="20"/>
          <w:szCs w:val="20"/>
        </w:rPr>
        <w:t>-1</w:t>
      </w:r>
      <w:r w:rsidR="0071683A" w:rsidRPr="005B70C8">
        <w:rPr>
          <w:rFonts w:ascii="VIC" w:hAnsi="VIC"/>
          <w:sz w:val="20"/>
          <w:szCs w:val="20"/>
        </w:rPr>
        <w:t xml:space="preserve">) – how to manage risks, using a four-step process. </w:t>
      </w:r>
    </w:p>
    <w:p w14:paraId="57D05CC5" w14:textId="77777777" w:rsidR="0071683A" w:rsidRPr="005B70C8" w:rsidRDefault="00A04D78" w:rsidP="009940F2">
      <w:pPr>
        <w:pStyle w:val="ListBullet0"/>
        <w:rPr>
          <w:rFonts w:ascii="VIC" w:hAnsi="VIC"/>
          <w:sz w:val="20"/>
          <w:szCs w:val="20"/>
        </w:rPr>
      </w:pPr>
      <w:hyperlink r:id="rId87">
        <w:r w:rsidR="0071683A" w:rsidRPr="005B70C8">
          <w:rPr>
            <w:rStyle w:val="Hyperlink"/>
            <w:rFonts w:ascii="VIC" w:hAnsi="VIC"/>
            <w:szCs w:val="20"/>
          </w:rPr>
          <w:t>Industry guidance: supporting you to comply with the general environmental duty</w:t>
        </w:r>
      </w:hyperlink>
      <w:r w:rsidR="0071683A" w:rsidRPr="005B70C8">
        <w:rPr>
          <w:rFonts w:ascii="VIC" w:hAnsi="VIC"/>
          <w:sz w:val="20"/>
          <w:szCs w:val="20"/>
        </w:rPr>
        <w:t xml:space="preserve"> (publication 1741).</w:t>
      </w:r>
    </w:p>
    <w:p w14:paraId="6F83DC43" w14:textId="77777777" w:rsidR="0071683A" w:rsidRPr="005B70C8" w:rsidRDefault="00A04D78" w:rsidP="009940F2">
      <w:pPr>
        <w:pStyle w:val="ListBullet0"/>
        <w:rPr>
          <w:rFonts w:ascii="VIC" w:hAnsi="VIC"/>
          <w:sz w:val="20"/>
          <w:szCs w:val="20"/>
          <w:u w:val="single"/>
        </w:rPr>
      </w:pPr>
      <w:hyperlink r:id="rId88" w:history="1">
        <w:r w:rsidR="0071683A" w:rsidRPr="005B70C8">
          <w:rPr>
            <w:rStyle w:val="Hyperlink"/>
            <w:rFonts w:ascii="VIC" w:hAnsi="VIC"/>
            <w:color w:val="1F4E79" w:themeColor="accent5" w:themeShade="80"/>
            <w:szCs w:val="20"/>
          </w:rPr>
          <w:t>State of knowledge and industry guidance</w:t>
        </w:r>
      </w:hyperlink>
      <w:r w:rsidR="0071683A" w:rsidRPr="005B70C8">
        <w:rPr>
          <w:rFonts w:ascii="VIC" w:hAnsi="VIC"/>
          <w:sz w:val="20"/>
          <w:szCs w:val="20"/>
        </w:rPr>
        <w:t>.</w:t>
      </w:r>
    </w:p>
    <w:p w14:paraId="30A5E95B" w14:textId="77777777" w:rsidR="0071683A" w:rsidRPr="005B70C8" w:rsidRDefault="00A04D78" w:rsidP="009940F2">
      <w:pPr>
        <w:pStyle w:val="ListBullet0"/>
        <w:rPr>
          <w:rFonts w:ascii="VIC" w:hAnsi="VIC"/>
          <w:sz w:val="20"/>
          <w:szCs w:val="20"/>
        </w:rPr>
      </w:pPr>
      <w:hyperlink r:id="rId89">
        <w:r w:rsidR="0071683A" w:rsidRPr="005B70C8">
          <w:rPr>
            <w:rStyle w:val="Hyperlink"/>
            <w:rFonts w:ascii="VIC" w:hAnsi="VIC"/>
            <w:szCs w:val="20"/>
          </w:rPr>
          <w:t>Reasonably practicable</w:t>
        </w:r>
      </w:hyperlink>
      <w:r w:rsidR="0071683A" w:rsidRPr="005B70C8">
        <w:rPr>
          <w:rFonts w:ascii="VIC" w:hAnsi="VIC"/>
          <w:sz w:val="20"/>
          <w:szCs w:val="20"/>
        </w:rPr>
        <w:t xml:space="preserve"> (publication 1856).</w:t>
      </w:r>
    </w:p>
    <w:p w14:paraId="67F61B01" w14:textId="77777777" w:rsidR="0071683A" w:rsidRPr="005B70C8" w:rsidRDefault="00A04D78" w:rsidP="009940F2">
      <w:pPr>
        <w:pStyle w:val="ListBullet0"/>
        <w:rPr>
          <w:rFonts w:ascii="VIC" w:hAnsi="VIC"/>
          <w:sz w:val="20"/>
          <w:szCs w:val="20"/>
        </w:rPr>
      </w:pPr>
      <w:hyperlink r:id="rId90">
        <w:r w:rsidR="0071683A" w:rsidRPr="005B70C8">
          <w:rPr>
            <w:rStyle w:val="Hyperlink"/>
            <w:rFonts w:ascii="VIC" w:hAnsi="VIC"/>
            <w:szCs w:val="20"/>
          </w:rPr>
          <w:t>Fact sheet: Engaging consultants</w:t>
        </w:r>
      </w:hyperlink>
      <w:r w:rsidR="0071683A" w:rsidRPr="005B70C8">
        <w:rPr>
          <w:rFonts w:ascii="VIC" w:hAnsi="VIC"/>
          <w:color w:val="0563C1"/>
          <w:sz w:val="20"/>
          <w:szCs w:val="20"/>
          <w:u w:val="single"/>
        </w:rPr>
        <w:t xml:space="preserve"> </w:t>
      </w:r>
      <w:r w:rsidR="0071683A" w:rsidRPr="005B70C8">
        <w:rPr>
          <w:rFonts w:ascii="VIC" w:hAnsi="VIC"/>
          <w:sz w:val="20"/>
          <w:szCs w:val="20"/>
        </w:rPr>
        <w:t xml:space="preserve">(publication 1702). </w:t>
      </w:r>
    </w:p>
    <w:p w14:paraId="6776D21F" w14:textId="77777777" w:rsidR="0071683A" w:rsidRPr="005B70C8" w:rsidRDefault="00A04D78" w:rsidP="009940F2">
      <w:pPr>
        <w:pStyle w:val="ListBullet0"/>
        <w:rPr>
          <w:rFonts w:ascii="VIC" w:hAnsi="VIC"/>
          <w:sz w:val="20"/>
          <w:szCs w:val="20"/>
        </w:rPr>
      </w:pPr>
      <w:hyperlink r:id="rId91" w:history="1">
        <w:r w:rsidR="0071683A" w:rsidRPr="005B70C8">
          <w:rPr>
            <w:rStyle w:val="Hyperlink"/>
            <w:rFonts w:ascii="VIC" w:hAnsi="VIC"/>
            <w:szCs w:val="20"/>
          </w:rPr>
          <w:t>Development licence application guidance</w:t>
        </w:r>
      </w:hyperlink>
      <w:r w:rsidR="0071683A" w:rsidRPr="005B70C8">
        <w:rPr>
          <w:rFonts w:ascii="VIC" w:hAnsi="VIC"/>
          <w:color w:val="0563C1"/>
          <w:sz w:val="20"/>
          <w:szCs w:val="20"/>
          <w:u w:val="single"/>
        </w:rPr>
        <w:t xml:space="preserve"> </w:t>
      </w:r>
      <w:r w:rsidR="0071683A" w:rsidRPr="005B70C8">
        <w:rPr>
          <w:rFonts w:ascii="VIC" w:hAnsi="VIC"/>
          <w:sz w:val="20"/>
          <w:szCs w:val="20"/>
        </w:rPr>
        <w:t>(publication 2011).</w:t>
      </w:r>
    </w:p>
    <w:p w14:paraId="5467EA85" w14:textId="2C0DC025" w:rsidR="0071683A" w:rsidRPr="005B70C8" w:rsidRDefault="00A04D78" w:rsidP="009940F2">
      <w:pPr>
        <w:pStyle w:val="ListBullet0"/>
        <w:rPr>
          <w:rFonts w:ascii="VIC" w:hAnsi="VIC"/>
          <w:sz w:val="20"/>
          <w:szCs w:val="20"/>
        </w:rPr>
      </w:pPr>
      <w:hyperlink r:id="rId92">
        <w:r w:rsidR="0071683A" w:rsidRPr="005B70C8">
          <w:rPr>
            <w:rStyle w:val="Hyperlink"/>
            <w:rFonts w:ascii="VIC" w:hAnsi="VIC"/>
            <w:szCs w:val="20"/>
          </w:rPr>
          <w:t>Guidance for operating licences</w:t>
        </w:r>
      </w:hyperlink>
      <w:r w:rsidR="0071683A" w:rsidRPr="005B70C8">
        <w:rPr>
          <w:rFonts w:ascii="VIC" w:hAnsi="VIC"/>
          <w:sz w:val="20"/>
          <w:szCs w:val="20"/>
        </w:rPr>
        <w:t xml:space="preserve"> (publication 1850) </w:t>
      </w:r>
    </w:p>
    <w:p w14:paraId="319CC270" w14:textId="77777777" w:rsidR="0071683A" w:rsidRPr="005B70C8" w:rsidRDefault="00A04D78" w:rsidP="009940F2">
      <w:pPr>
        <w:pStyle w:val="ListBullet0"/>
        <w:rPr>
          <w:rFonts w:ascii="VIC" w:hAnsi="VIC"/>
          <w:sz w:val="20"/>
          <w:szCs w:val="20"/>
        </w:rPr>
      </w:pPr>
      <w:hyperlink r:id="rId93">
        <w:r w:rsidR="0071683A" w:rsidRPr="005B70C8">
          <w:rPr>
            <w:rStyle w:val="Hyperlink"/>
            <w:rFonts w:ascii="VIC" w:hAnsi="VIC"/>
            <w:szCs w:val="20"/>
          </w:rPr>
          <w:t>Implementing the general environmental duty: a guide for licence holders</w:t>
        </w:r>
      </w:hyperlink>
      <w:r w:rsidR="0071683A" w:rsidRPr="005B70C8">
        <w:rPr>
          <w:rFonts w:ascii="VIC" w:hAnsi="VIC"/>
          <w:sz w:val="20"/>
          <w:szCs w:val="20"/>
        </w:rPr>
        <w:t xml:space="preserve"> (publication 1851)</w:t>
      </w:r>
    </w:p>
    <w:p w14:paraId="65DC1F86" w14:textId="6D89899A" w:rsidR="0071683A" w:rsidRPr="005B70C8" w:rsidRDefault="00A04D78" w:rsidP="009940F2">
      <w:pPr>
        <w:pStyle w:val="ListBullet0"/>
        <w:rPr>
          <w:rFonts w:ascii="VIC" w:hAnsi="VIC"/>
          <w:sz w:val="20"/>
          <w:szCs w:val="20"/>
        </w:rPr>
      </w:pPr>
      <w:hyperlink r:id="rId94">
        <w:r w:rsidR="0071683A" w:rsidRPr="005B70C8">
          <w:rPr>
            <w:rStyle w:val="Hyperlink"/>
            <w:rFonts w:ascii="VIC" w:hAnsi="VIC"/>
            <w:szCs w:val="20"/>
          </w:rPr>
          <w:t>Self-assessment tool for small business</w:t>
        </w:r>
      </w:hyperlink>
      <w:r w:rsidR="0071683A" w:rsidRPr="005B70C8">
        <w:rPr>
          <w:rFonts w:ascii="VIC" w:hAnsi="VIC"/>
          <w:sz w:val="20"/>
          <w:szCs w:val="20"/>
        </w:rPr>
        <w:t xml:space="preserve"> (publication 1812) </w:t>
      </w:r>
    </w:p>
    <w:p w14:paraId="48B2338B" w14:textId="0BF72F90" w:rsidR="0071683A" w:rsidRPr="005B70C8" w:rsidRDefault="00A04D78" w:rsidP="009940F2">
      <w:pPr>
        <w:pStyle w:val="ListBullet0"/>
        <w:rPr>
          <w:rFonts w:ascii="VIC" w:hAnsi="VIC"/>
          <w:sz w:val="20"/>
          <w:szCs w:val="20"/>
        </w:rPr>
      </w:pPr>
      <w:hyperlink r:id="rId95">
        <w:r w:rsidR="0071683A" w:rsidRPr="005B70C8">
          <w:rPr>
            <w:rStyle w:val="Hyperlink"/>
            <w:rFonts w:ascii="VIC" w:hAnsi="VIC"/>
            <w:szCs w:val="20"/>
          </w:rPr>
          <w:t>Auto recyclers guideline</w:t>
        </w:r>
      </w:hyperlink>
      <w:r w:rsidR="0071683A" w:rsidRPr="005B70C8">
        <w:rPr>
          <w:rFonts w:ascii="VIC" w:hAnsi="VIC"/>
          <w:sz w:val="20"/>
          <w:szCs w:val="20"/>
        </w:rPr>
        <w:t xml:space="preserve"> (publication 1810) </w:t>
      </w:r>
    </w:p>
    <w:p w14:paraId="7770297E" w14:textId="45142417" w:rsidR="0071683A" w:rsidRPr="005B70C8" w:rsidRDefault="00A04D78" w:rsidP="009940F2">
      <w:pPr>
        <w:pStyle w:val="ListBullet0"/>
        <w:rPr>
          <w:rFonts w:ascii="VIC" w:hAnsi="VIC"/>
          <w:sz w:val="20"/>
          <w:szCs w:val="20"/>
        </w:rPr>
      </w:pPr>
      <w:hyperlink r:id="rId96">
        <w:r w:rsidR="0071683A" w:rsidRPr="005B70C8">
          <w:rPr>
            <w:rStyle w:val="Hyperlink"/>
            <w:rFonts w:ascii="VIC" w:hAnsi="VIC"/>
            <w:szCs w:val="20"/>
          </w:rPr>
          <w:t>Agriculture - guide to preventing harm to people and the environment</w:t>
        </w:r>
      </w:hyperlink>
      <w:r w:rsidR="0071683A" w:rsidRPr="005B70C8">
        <w:rPr>
          <w:rFonts w:ascii="VIC" w:hAnsi="VIC"/>
          <w:sz w:val="20"/>
          <w:szCs w:val="20"/>
        </w:rPr>
        <w:t xml:space="preserve"> (publication 1819) </w:t>
      </w:r>
    </w:p>
    <w:bookmarkStart w:id="292" w:name="_Hlk103962644"/>
    <w:p w14:paraId="24F4CA59" w14:textId="6755CA40" w:rsidR="0071683A" w:rsidRPr="005B70C8" w:rsidRDefault="0071683A" w:rsidP="009940F2">
      <w:pPr>
        <w:pStyle w:val="ListBullet0"/>
        <w:rPr>
          <w:rFonts w:ascii="VIC" w:hAnsi="VIC"/>
          <w:sz w:val="20"/>
          <w:szCs w:val="20"/>
        </w:rPr>
      </w:pPr>
      <w:r w:rsidRPr="005B70C8">
        <w:rPr>
          <w:rFonts w:ascii="VIC" w:hAnsi="VIC"/>
          <w:sz w:val="20"/>
          <w:szCs w:val="20"/>
        </w:rPr>
        <w:fldChar w:fldCharType="begin"/>
      </w:r>
      <w:r w:rsidRPr="005B70C8">
        <w:rPr>
          <w:rFonts w:ascii="VIC" w:hAnsi="VIC"/>
          <w:sz w:val="20"/>
          <w:szCs w:val="20"/>
        </w:rPr>
        <w:instrText xml:space="preserve"> HYPERLINK "https://www.epa.vic.gov.au/about-epa/publications/1820" </w:instrText>
      </w:r>
      <w:r w:rsidRPr="005B70C8">
        <w:rPr>
          <w:rFonts w:ascii="VIC" w:hAnsi="VIC"/>
          <w:sz w:val="20"/>
          <w:szCs w:val="20"/>
        </w:rPr>
        <w:fldChar w:fldCharType="separate"/>
      </w:r>
      <w:r w:rsidRPr="005B70C8">
        <w:rPr>
          <w:rStyle w:val="Hyperlink"/>
          <w:rFonts w:ascii="VIC" w:hAnsi="VIC"/>
          <w:szCs w:val="20"/>
        </w:rPr>
        <w:t>Construction – guide to preventing harm to people and the environment</w:t>
      </w:r>
      <w:r w:rsidRPr="005B70C8">
        <w:rPr>
          <w:rFonts w:ascii="VIC" w:hAnsi="VIC"/>
          <w:sz w:val="20"/>
          <w:szCs w:val="20"/>
        </w:rPr>
        <w:fldChar w:fldCharType="end"/>
      </w:r>
      <w:r w:rsidRPr="005B70C8">
        <w:rPr>
          <w:rFonts w:ascii="VIC" w:hAnsi="VIC"/>
          <w:sz w:val="20"/>
          <w:szCs w:val="20"/>
        </w:rPr>
        <w:t xml:space="preserve"> (publication 1820) </w:t>
      </w:r>
    </w:p>
    <w:bookmarkEnd w:id="292"/>
    <w:p w14:paraId="5E0390AC" w14:textId="38A3BBEE" w:rsidR="0071683A" w:rsidRPr="005B70C8" w:rsidRDefault="0071683A" w:rsidP="009940F2">
      <w:pPr>
        <w:pStyle w:val="ListBullet0"/>
        <w:rPr>
          <w:rFonts w:ascii="VIC" w:hAnsi="VIC"/>
          <w:sz w:val="20"/>
          <w:szCs w:val="20"/>
        </w:rPr>
      </w:pPr>
      <w:r w:rsidRPr="005B70C8">
        <w:rPr>
          <w:rFonts w:ascii="VIC" w:hAnsi="VIC"/>
          <w:sz w:val="20"/>
          <w:szCs w:val="20"/>
        </w:rPr>
        <w:fldChar w:fldCharType="begin"/>
      </w:r>
      <w:r w:rsidRPr="005B70C8">
        <w:rPr>
          <w:rFonts w:ascii="VIC" w:hAnsi="VIC"/>
          <w:sz w:val="20"/>
          <w:szCs w:val="20"/>
        </w:rPr>
        <w:instrText xml:space="preserve"> HYPERLINK "https://www.epa.vic.gov.au/about-epa/publications/1821" </w:instrText>
      </w:r>
      <w:r w:rsidRPr="005B70C8">
        <w:rPr>
          <w:rFonts w:ascii="VIC" w:hAnsi="VIC"/>
          <w:sz w:val="20"/>
          <w:szCs w:val="20"/>
        </w:rPr>
        <w:fldChar w:fldCharType="separate"/>
      </w:r>
      <w:r w:rsidRPr="005B70C8">
        <w:rPr>
          <w:rStyle w:val="Hyperlink"/>
          <w:rFonts w:ascii="VIC" w:hAnsi="VIC"/>
          <w:szCs w:val="20"/>
        </w:rPr>
        <w:t>Local government – guide to preventing harm to people and the environment</w:t>
      </w:r>
      <w:r w:rsidRPr="005B70C8">
        <w:rPr>
          <w:rFonts w:ascii="VIC" w:hAnsi="VIC"/>
          <w:sz w:val="20"/>
          <w:szCs w:val="20"/>
        </w:rPr>
        <w:fldChar w:fldCharType="end"/>
      </w:r>
      <w:r w:rsidRPr="005B70C8">
        <w:rPr>
          <w:rStyle w:val="Hyperlink"/>
          <w:rFonts w:ascii="VIC" w:hAnsi="VIC"/>
          <w:szCs w:val="20"/>
        </w:rPr>
        <w:t xml:space="preserve"> </w:t>
      </w:r>
      <w:r w:rsidRPr="005B70C8">
        <w:rPr>
          <w:rFonts w:ascii="VIC" w:hAnsi="VIC"/>
          <w:sz w:val="20"/>
          <w:szCs w:val="20"/>
        </w:rPr>
        <w:t xml:space="preserve">(publication 1821) </w:t>
      </w:r>
    </w:p>
    <w:p w14:paraId="49D1F63E" w14:textId="2E69A65C" w:rsidR="0071683A" w:rsidRPr="005B70C8" w:rsidRDefault="00A04D78" w:rsidP="009940F2">
      <w:pPr>
        <w:pStyle w:val="ListBullet0"/>
        <w:rPr>
          <w:rFonts w:ascii="VIC" w:hAnsi="VIC"/>
          <w:sz w:val="20"/>
          <w:szCs w:val="20"/>
        </w:rPr>
      </w:pPr>
      <w:hyperlink r:id="rId97">
        <w:r w:rsidR="0071683A" w:rsidRPr="005B70C8">
          <w:rPr>
            <w:rStyle w:val="Hyperlink"/>
            <w:rFonts w:ascii="VIC" w:hAnsi="VIC"/>
            <w:szCs w:val="20"/>
          </w:rPr>
          <w:t>Manufacturing – guide to preventing harm to people and the environment</w:t>
        </w:r>
      </w:hyperlink>
      <w:r w:rsidR="0071683A" w:rsidRPr="005B70C8">
        <w:rPr>
          <w:rStyle w:val="Hyperlink"/>
          <w:rFonts w:ascii="VIC" w:hAnsi="VIC"/>
          <w:szCs w:val="20"/>
        </w:rPr>
        <w:t xml:space="preserve"> </w:t>
      </w:r>
      <w:r w:rsidR="0071683A" w:rsidRPr="005B70C8">
        <w:rPr>
          <w:rFonts w:ascii="VIC" w:hAnsi="VIC"/>
          <w:sz w:val="20"/>
          <w:szCs w:val="20"/>
        </w:rPr>
        <w:t xml:space="preserve">(publication 1822) </w:t>
      </w:r>
    </w:p>
    <w:p w14:paraId="16E0879C" w14:textId="72AC08C1" w:rsidR="0071683A" w:rsidRPr="005B70C8" w:rsidRDefault="00A04D78" w:rsidP="009940F2">
      <w:pPr>
        <w:pStyle w:val="ListBullet0"/>
        <w:rPr>
          <w:rFonts w:ascii="VIC" w:hAnsi="VIC"/>
          <w:sz w:val="20"/>
          <w:szCs w:val="20"/>
        </w:rPr>
      </w:pPr>
      <w:hyperlink r:id="rId98">
        <w:r w:rsidR="0071683A" w:rsidRPr="005B70C8">
          <w:rPr>
            <w:rStyle w:val="Hyperlink"/>
            <w:rFonts w:ascii="VIC" w:hAnsi="VIC"/>
            <w:szCs w:val="20"/>
          </w:rPr>
          <w:t>Mining and quarrying – guide to preventing harm to people and the environment</w:t>
        </w:r>
      </w:hyperlink>
      <w:r w:rsidR="0071683A" w:rsidRPr="005B70C8">
        <w:rPr>
          <w:rFonts w:ascii="VIC" w:hAnsi="VIC"/>
          <w:sz w:val="20"/>
          <w:szCs w:val="20"/>
        </w:rPr>
        <w:t xml:space="preserve"> (publication 1823) </w:t>
      </w:r>
    </w:p>
    <w:p w14:paraId="3EBF3268" w14:textId="5279469F" w:rsidR="0071683A" w:rsidRPr="005B70C8" w:rsidRDefault="00A04D78" w:rsidP="009940F2">
      <w:pPr>
        <w:pStyle w:val="ListBullet0"/>
        <w:rPr>
          <w:rFonts w:ascii="VIC" w:hAnsi="VIC"/>
          <w:sz w:val="20"/>
          <w:szCs w:val="20"/>
        </w:rPr>
      </w:pPr>
      <w:hyperlink r:id="rId99">
        <w:r w:rsidR="0071683A" w:rsidRPr="005B70C8">
          <w:rPr>
            <w:rStyle w:val="Hyperlink"/>
            <w:rFonts w:ascii="VIC" w:hAnsi="VIC"/>
            <w:szCs w:val="20"/>
          </w:rPr>
          <w:t>Retail – guide to preventing harm to people and the environment</w:t>
        </w:r>
      </w:hyperlink>
      <w:r w:rsidR="0071683A" w:rsidRPr="005B70C8">
        <w:rPr>
          <w:rFonts w:ascii="VIC" w:hAnsi="VIC"/>
          <w:sz w:val="20"/>
          <w:szCs w:val="20"/>
        </w:rPr>
        <w:t xml:space="preserve"> (publication 1824) </w:t>
      </w:r>
    </w:p>
    <w:p w14:paraId="1391C14B" w14:textId="3477B734" w:rsidR="00285198" w:rsidRPr="005B70C8" w:rsidRDefault="00A04D78" w:rsidP="009940F2">
      <w:pPr>
        <w:pStyle w:val="ListBullet0"/>
        <w:rPr>
          <w:rFonts w:ascii="VIC" w:hAnsi="VIC"/>
          <w:sz w:val="20"/>
          <w:szCs w:val="20"/>
        </w:rPr>
        <w:sectPr w:rsidR="00285198" w:rsidRPr="005B70C8" w:rsidSect="001225D3">
          <w:pgSz w:w="11900" w:h="16840"/>
          <w:pgMar w:top="1000" w:right="740" w:bottom="1934" w:left="987" w:header="283" w:footer="812" w:gutter="0"/>
          <w:cols w:space="720"/>
        </w:sectPr>
      </w:pPr>
      <w:hyperlink r:id="rId100">
        <w:r w:rsidR="0071683A" w:rsidRPr="005B70C8">
          <w:rPr>
            <w:rStyle w:val="Hyperlink"/>
            <w:rFonts w:ascii="VIC" w:hAnsi="VIC"/>
            <w:szCs w:val="20"/>
          </w:rPr>
          <w:t>Waste and recycling – guide to preventing harm to people and the environment</w:t>
        </w:r>
      </w:hyperlink>
      <w:r w:rsidR="0071683A" w:rsidRPr="005B70C8">
        <w:rPr>
          <w:rStyle w:val="Hyperlink"/>
          <w:rFonts w:ascii="VIC" w:hAnsi="VIC"/>
          <w:szCs w:val="20"/>
        </w:rPr>
        <w:t xml:space="preserve"> </w:t>
      </w:r>
      <w:r w:rsidR="0071683A" w:rsidRPr="005B70C8">
        <w:rPr>
          <w:rFonts w:ascii="VIC" w:hAnsi="VIC"/>
          <w:sz w:val="20"/>
          <w:szCs w:val="20"/>
        </w:rPr>
        <w:t xml:space="preserve">(publication 1825) </w:t>
      </w:r>
    </w:p>
    <w:p w14:paraId="40B40AE4" w14:textId="1FE17C45" w:rsidR="0075487C" w:rsidRPr="00840BD8" w:rsidRDefault="0075487C" w:rsidP="009940F2">
      <w:pPr>
        <w:pStyle w:val="Heading1"/>
        <w:numPr>
          <w:ilvl w:val="0"/>
          <w:numId w:val="4"/>
        </w:numPr>
        <w:rPr>
          <w:rFonts w:eastAsia="Calibri" w:cs="Arial"/>
          <w:b/>
          <w:bCs/>
        </w:rPr>
      </w:pPr>
      <w:bookmarkStart w:id="293" w:name="_Toc85802374"/>
      <w:bookmarkStart w:id="294" w:name="_Toc87612606"/>
      <w:bookmarkStart w:id="295" w:name="_Toc112341046"/>
      <w:bookmarkStart w:id="296" w:name="_Toc114045823"/>
      <w:bookmarkStart w:id="297" w:name="_Toc114566229"/>
      <w:r w:rsidRPr="00840BD8">
        <w:rPr>
          <w:b/>
          <w:bCs/>
        </w:rPr>
        <w:lastRenderedPageBreak/>
        <w:t>Further reading and references</w:t>
      </w:r>
      <w:bookmarkStart w:id="298" w:name="_Toc85802375"/>
      <w:bookmarkEnd w:id="293"/>
      <w:bookmarkEnd w:id="294"/>
      <w:bookmarkEnd w:id="295"/>
      <w:bookmarkEnd w:id="296"/>
      <w:bookmarkEnd w:id="297"/>
      <w:bookmarkEnd w:id="298"/>
    </w:p>
    <w:p w14:paraId="5612A697" w14:textId="6D3073C8" w:rsidR="0075487C" w:rsidRDefault="0075487C" w:rsidP="0008292D">
      <w:pPr>
        <w:rPr>
          <w:rFonts w:eastAsia="MS Mincho" w:cs="Times New Roman"/>
        </w:rPr>
      </w:pPr>
      <w:r>
        <w:t>This list of references includes many of the resources EPA drew from to develop this guide</w:t>
      </w:r>
      <w:r w:rsidR="00C67109">
        <w:t>line</w:t>
      </w:r>
      <w:r>
        <w:t>:</w:t>
      </w:r>
    </w:p>
    <w:p w14:paraId="248DDFED" w14:textId="77777777" w:rsidR="0075487C" w:rsidRDefault="0075487C" w:rsidP="0008292D">
      <w:pPr>
        <w:rPr>
          <w:rStyle w:val="Hyperlink"/>
          <w:rFonts w:ascii="VIC" w:hAnsi="VIC"/>
          <w:i/>
          <w:color w:val="0563C1"/>
        </w:rPr>
      </w:pPr>
      <w:r>
        <w:rPr>
          <w:b/>
          <w:bCs/>
        </w:rPr>
        <w:t>Australian Government</w:t>
      </w:r>
      <w:r>
        <w:t xml:space="preserve"> Department of Agriculture, Water and the Environment, Access online:   </w:t>
      </w:r>
      <w:hyperlink r:id="rId101" w:anchor=":~:text=Enhanced%20greenhouse%20effect,to%20warming%20of%20the%20Earth." w:history="1">
        <w:r>
          <w:rPr>
            <w:rStyle w:val="Hyperlink"/>
            <w:i/>
          </w:rPr>
          <w:t xml:space="preserve"> </w:t>
        </w:r>
        <w:r>
          <w:rPr>
            <w:rStyle w:val="Hyperlink"/>
          </w:rPr>
          <w:t>https://www.environment.gov.au/climate-change/climate-science-data/climate-science/understanding-climate-change</w:t>
        </w:r>
        <w:r>
          <w:rPr>
            <w:rStyle w:val="Hyperlink"/>
            <w:i/>
            <w:color w:val="0563C1"/>
          </w:rPr>
          <w:t>.</w:t>
        </w:r>
      </w:hyperlink>
    </w:p>
    <w:p w14:paraId="1A528CA6" w14:textId="3207D10F" w:rsidR="0008292D" w:rsidRPr="0008292D" w:rsidRDefault="001D13A6" w:rsidP="0008292D">
      <w:pPr>
        <w:rPr>
          <w:iCs/>
        </w:rPr>
      </w:pPr>
      <w:r>
        <w:rPr>
          <w:noProof/>
        </w:rPr>
        <mc:AlternateContent>
          <mc:Choice Requires="wps">
            <w:drawing>
              <wp:inline distT="0" distB="0" distL="0" distR="0" wp14:anchorId="70EBEAA3" wp14:editId="206883FF">
                <wp:extent cx="6120130" cy="1295400"/>
                <wp:effectExtent l="0" t="0" r="13970" b="19050"/>
                <wp:docPr id="3" name="Text Box 13" descr="The text box includes links to relevant programs and legislation that the Commonwealth Government administ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95400"/>
                        </a:xfrm>
                        <a:prstGeom prst="rect">
                          <a:avLst/>
                        </a:prstGeom>
                        <a:solidFill>
                          <a:srgbClr val="FFFFFF"/>
                        </a:solidFill>
                        <a:ln w="9525">
                          <a:solidFill>
                            <a:srgbClr val="000000"/>
                          </a:solidFill>
                          <a:miter lim="800000"/>
                          <a:headEnd/>
                          <a:tailEnd/>
                        </a:ln>
                      </wps:spPr>
                      <wps:txbx>
                        <w:txbxContent>
                          <w:p w14:paraId="06FE1C24" w14:textId="7E46A81C" w:rsidR="001D13A6" w:rsidRPr="00052294" w:rsidRDefault="001D13A6" w:rsidP="00052294">
                            <w:pPr>
                              <w:pStyle w:val="TableText"/>
                              <w:rPr>
                                <w:rFonts w:ascii="VIC" w:hAnsi="VIC"/>
                                <w:sz w:val="20"/>
                                <w:szCs w:val="20"/>
                              </w:rPr>
                            </w:pPr>
                            <w:r w:rsidRPr="00052294">
                              <w:rPr>
                                <w:rFonts w:ascii="VIC" w:hAnsi="VIC"/>
                                <w:sz w:val="20"/>
                                <w:szCs w:val="20"/>
                              </w:rPr>
                              <w:t>Australian Government administers</w:t>
                            </w:r>
                            <w:r w:rsidR="002F2338">
                              <w:rPr>
                                <w:rFonts w:ascii="VIC" w:hAnsi="VIC"/>
                                <w:sz w:val="20"/>
                                <w:szCs w:val="20"/>
                              </w:rPr>
                              <w:t>:</w:t>
                            </w:r>
                            <w:r w:rsidRPr="00052294">
                              <w:rPr>
                                <w:rFonts w:ascii="VIC" w:hAnsi="VIC"/>
                                <w:sz w:val="20"/>
                                <w:szCs w:val="20"/>
                              </w:rPr>
                              <w:t xml:space="preserve"> </w:t>
                            </w:r>
                          </w:p>
                          <w:p w14:paraId="5D8A44DB" w14:textId="02F4DE4D" w:rsidR="001D13A6" w:rsidRPr="00052294" w:rsidRDefault="00A04D78" w:rsidP="009940F2">
                            <w:pPr>
                              <w:pStyle w:val="TableBullet"/>
                              <w:rPr>
                                <w:rFonts w:ascii="VIC" w:hAnsi="VIC"/>
                                <w:sz w:val="20"/>
                                <w:szCs w:val="20"/>
                              </w:rPr>
                            </w:pPr>
                            <w:hyperlink r:id="rId102" w:history="1">
                              <w:r w:rsidR="001D13A6" w:rsidRPr="002F2338">
                                <w:rPr>
                                  <w:rStyle w:val="Hyperlink"/>
                                  <w:rFonts w:ascii="VIC" w:hAnsi="VIC"/>
                                  <w:szCs w:val="20"/>
                                </w:rPr>
                                <w:t>Emissions Reduction Fund via the Clean Energy Regulator</w:t>
                              </w:r>
                            </w:hyperlink>
                          </w:p>
                          <w:p w14:paraId="047EFA38" w14:textId="1965FFF5" w:rsidR="001D13A6" w:rsidRPr="00052294" w:rsidRDefault="00A04D78" w:rsidP="009940F2">
                            <w:pPr>
                              <w:pStyle w:val="TableBullet"/>
                              <w:rPr>
                                <w:rFonts w:ascii="VIC" w:hAnsi="VIC"/>
                                <w:sz w:val="20"/>
                                <w:szCs w:val="20"/>
                              </w:rPr>
                            </w:pPr>
                            <w:hyperlink r:id="rId103" w:history="1">
                              <w:r w:rsidR="001D13A6" w:rsidRPr="002F2338">
                                <w:rPr>
                                  <w:rStyle w:val="Hyperlink"/>
                                  <w:rFonts w:ascii="VIC" w:hAnsi="VIC"/>
                                  <w:szCs w:val="20"/>
                                </w:rPr>
                                <w:t>National Greenhouse and Energy Reporting (NGER) scheme</w:t>
                              </w:r>
                            </w:hyperlink>
                            <w:r w:rsidR="002F2338" w:rsidRPr="00052294" w:rsidDel="002F2338">
                              <w:rPr>
                                <w:rFonts w:ascii="VIC" w:hAnsi="VIC"/>
                                <w:sz w:val="20"/>
                                <w:szCs w:val="20"/>
                              </w:rPr>
                              <w:t xml:space="preserve"> </w:t>
                            </w:r>
                          </w:p>
                          <w:p w14:paraId="1651DE6F" w14:textId="59E67C38" w:rsidR="001D13A6" w:rsidRPr="00052294" w:rsidRDefault="00A04D78" w:rsidP="009940F2">
                            <w:pPr>
                              <w:pStyle w:val="TableBullet"/>
                              <w:rPr>
                                <w:rFonts w:ascii="VIC" w:hAnsi="VIC"/>
                                <w:sz w:val="20"/>
                                <w:szCs w:val="20"/>
                              </w:rPr>
                            </w:pPr>
                            <w:hyperlink r:id="rId104" w:history="1">
                              <w:r w:rsidR="001D13A6" w:rsidRPr="002F2338">
                                <w:rPr>
                                  <w:rStyle w:val="Hyperlink"/>
                                  <w:rFonts w:ascii="VIC" w:hAnsi="VIC"/>
                                  <w:szCs w:val="20"/>
                                </w:rPr>
                                <w:t>NGER Emissions and Energy Threshold Calculator</w:t>
                              </w:r>
                            </w:hyperlink>
                          </w:p>
                          <w:p w14:paraId="5DCF029E" w14:textId="613FF9D2" w:rsidR="001D13A6" w:rsidRPr="00052294" w:rsidRDefault="00A04D78" w:rsidP="009940F2">
                            <w:pPr>
                              <w:pStyle w:val="TableBullet"/>
                              <w:rPr>
                                <w:rFonts w:ascii="VIC" w:hAnsi="VIC"/>
                                <w:sz w:val="20"/>
                                <w:szCs w:val="20"/>
                              </w:rPr>
                            </w:pPr>
                            <w:hyperlink r:id="rId105" w:history="1">
                              <w:r w:rsidR="001D13A6" w:rsidRPr="00035FFF">
                                <w:rPr>
                                  <w:rStyle w:val="Hyperlink"/>
                                  <w:rFonts w:ascii="VIC" w:hAnsi="VIC"/>
                                  <w:i/>
                                  <w:iCs/>
                                  <w:szCs w:val="20"/>
                                </w:rPr>
                                <w:t>Ozone Protection and Synthetic Greenhouse Gas Management Act 1989 and regulations</w:t>
                              </w:r>
                            </w:hyperlink>
                            <w:r w:rsidR="001D13A6" w:rsidRPr="00052294">
                              <w:rPr>
                                <w:rFonts w:ascii="VIC" w:hAnsi="VIC"/>
                                <w:sz w:val="20"/>
                                <w:szCs w:val="20"/>
                              </w:rPr>
                              <w:t xml:space="preserve"> </w:t>
                            </w:r>
                          </w:p>
                          <w:p w14:paraId="69A44D60" w14:textId="595E712C" w:rsidR="001D13A6" w:rsidRPr="00052294" w:rsidRDefault="001D13A6" w:rsidP="001650EE">
                            <w:pPr>
                              <w:pStyle w:val="TableBullet"/>
                              <w:numPr>
                                <w:ilvl w:val="0"/>
                                <w:numId w:val="0"/>
                              </w:numPr>
                              <w:ind w:left="113"/>
                              <w:rPr>
                                <w:rFonts w:ascii="VIC" w:hAnsi="VIC"/>
                                <w:sz w:val="20"/>
                                <w:szCs w:val="20"/>
                              </w:rPr>
                            </w:pPr>
                          </w:p>
                        </w:txbxContent>
                      </wps:txbx>
                      <wps:bodyPr rot="0" vert="horz" wrap="square" lIns="0" tIns="36000" rIns="0" bIns="36000" anchor="t" anchorCtr="0" upright="1">
                        <a:noAutofit/>
                      </wps:bodyPr>
                    </wps:wsp>
                  </a:graphicData>
                </a:graphic>
              </wp:inline>
            </w:drawing>
          </mc:Choice>
          <mc:Fallback>
            <w:pict>
              <v:shape w14:anchorId="70EBEAA3" id="Text Box 13" o:spid="_x0000_s1029" type="#_x0000_t202" alt="The text box includes links to relevant programs and legislation that the Commonwealth Government administers." style="width:481.9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">
                <v:textbox inset="0,1mm,0,1mm">
                  <w:txbxContent>
                    <w:p w14:paraId="06FE1C24" w14:textId="7E46A81C" w:rsidR="001D13A6" w:rsidRPr="00052294" w:rsidRDefault="001D13A6" w:rsidP="00052294">
                      <w:pPr>
                        <w:pStyle w:val="TableText"/>
                        <w:rPr>
                          <w:rFonts w:ascii="VIC" w:hAnsi="VIC"/>
                          <w:sz w:val="20"/>
                          <w:szCs w:val="20"/>
                        </w:rPr>
                      </w:pPr>
                      <w:r w:rsidRPr="00052294">
                        <w:rPr>
                          <w:rFonts w:ascii="VIC" w:hAnsi="VIC"/>
                          <w:sz w:val="20"/>
                          <w:szCs w:val="20"/>
                        </w:rPr>
                        <w:t>Australian Government administers</w:t>
                      </w:r>
                      <w:r w:rsidR="002F2338">
                        <w:rPr>
                          <w:rFonts w:ascii="VIC" w:hAnsi="VIC"/>
                          <w:sz w:val="20"/>
                          <w:szCs w:val="20"/>
                        </w:rPr>
                        <w:t>:</w:t>
                      </w:r>
                      <w:r w:rsidRPr="00052294">
                        <w:rPr>
                          <w:rFonts w:ascii="VIC" w:hAnsi="VIC"/>
                          <w:sz w:val="20"/>
                          <w:szCs w:val="20"/>
                        </w:rPr>
                        <w:t xml:space="preserve"> </w:t>
                      </w:r>
                    </w:p>
                    <w:p w14:paraId="5D8A44DB" w14:textId="02F4DE4D" w:rsidR="001D13A6" w:rsidRPr="00052294" w:rsidRDefault="00A04D78" w:rsidP="009940F2">
                      <w:pPr>
                        <w:pStyle w:val="TableBullet"/>
                        <w:rPr>
                          <w:rFonts w:ascii="VIC" w:hAnsi="VIC"/>
                          <w:sz w:val="20"/>
                          <w:szCs w:val="20"/>
                        </w:rPr>
                      </w:pPr>
                      <w:hyperlink r:id="rId106" w:history="1">
                        <w:r w:rsidR="001D13A6" w:rsidRPr="002F2338">
                          <w:rPr>
                            <w:rStyle w:val="Hyperlink"/>
                            <w:rFonts w:ascii="VIC" w:hAnsi="VIC"/>
                            <w:szCs w:val="20"/>
                          </w:rPr>
                          <w:t>Emissions Reduction Fund via the Clean Energy Regulator</w:t>
                        </w:r>
                      </w:hyperlink>
                    </w:p>
                    <w:p w14:paraId="047EFA38" w14:textId="1965FFF5" w:rsidR="001D13A6" w:rsidRPr="00052294" w:rsidRDefault="00A04D78" w:rsidP="009940F2">
                      <w:pPr>
                        <w:pStyle w:val="TableBullet"/>
                        <w:rPr>
                          <w:rFonts w:ascii="VIC" w:hAnsi="VIC"/>
                          <w:sz w:val="20"/>
                          <w:szCs w:val="20"/>
                        </w:rPr>
                      </w:pPr>
                      <w:hyperlink r:id="rId107" w:history="1">
                        <w:r w:rsidR="001D13A6" w:rsidRPr="002F2338">
                          <w:rPr>
                            <w:rStyle w:val="Hyperlink"/>
                            <w:rFonts w:ascii="VIC" w:hAnsi="VIC"/>
                            <w:szCs w:val="20"/>
                          </w:rPr>
                          <w:t>National Greenhouse and Energy Reporting (NGER) scheme</w:t>
                        </w:r>
                      </w:hyperlink>
                      <w:r w:rsidR="002F2338" w:rsidRPr="00052294" w:rsidDel="002F2338">
                        <w:rPr>
                          <w:rFonts w:ascii="VIC" w:hAnsi="VIC"/>
                          <w:sz w:val="20"/>
                          <w:szCs w:val="20"/>
                        </w:rPr>
                        <w:t xml:space="preserve"> </w:t>
                      </w:r>
                    </w:p>
                    <w:p w14:paraId="1651DE6F" w14:textId="59E67C38" w:rsidR="001D13A6" w:rsidRPr="00052294" w:rsidRDefault="00A04D78" w:rsidP="009940F2">
                      <w:pPr>
                        <w:pStyle w:val="TableBullet"/>
                        <w:rPr>
                          <w:rFonts w:ascii="VIC" w:hAnsi="VIC"/>
                          <w:sz w:val="20"/>
                          <w:szCs w:val="20"/>
                        </w:rPr>
                      </w:pPr>
                      <w:hyperlink r:id="rId108" w:history="1">
                        <w:r w:rsidR="001D13A6" w:rsidRPr="002F2338">
                          <w:rPr>
                            <w:rStyle w:val="Hyperlink"/>
                            <w:rFonts w:ascii="VIC" w:hAnsi="VIC"/>
                            <w:szCs w:val="20"/>
                          </w:rPr>
                          <w:t>NGER Emissions and Energy Threshold Calculator</w:t>
                        </w:r>
                      </w:hyperlink>
                    </w:p>
                    <w:p w14:paraId="5DCF029E" w14:textId="613FF9D2" w:rsidR="001D13A6" w:rsidRPr="00052294" w:rsidRDefault="00A04D78" w:rsidP="009940F2">
                      <w:pPr>
                        <w:pStyle w:val="TableBullet"/>
                        <w:rPr>
                          <w:rFonts w:ascii="VIC" w:hAnsi="VIC"/>
                          <w:sz w:val="20"/>
                          <w:szCs w:val="20"/>
                        </w:rPr>
                      </w:pPr>
                      <w:hyperlink r:id="rId109" w:history="1">
                        <w:r w:rsidR="001D13A6" w:rsidRPr="00035FFF">
                          <w:rPr>
                            <w:rStyle w:val="Hyperlink"/>
                            <w:rFonts w:ascii="VIC" w:hAnsi="VIC"/>
                            <w:i/>
                            <w:iCs/>
                            <w:szCs w:val="20"/>
                          </w:rPr>
                          <w:t>Ozone Protection and Synthetic Greenhouse Gas Management Act 1989 and regulations</w:t>
                        </w:r>
                      </w:hyperlink>
                      <w:r w:rsidR="001D13A6" w:rsidRPr="00052294">
                        <w:rPr>
                          <w:rFonts w:ascii="VIC" w:hAnsi="VIC"/>
                          <w:sz w:val="20"/>
                          <w:szCs w:val="20"/>
                        </w:rPr>
                        <w:t xml:space="preserve"> </w:t>
                      </w:r>
                    </w:p>
                    <w:p w14:paraId="69A44D60" w14:textId="595E712C" w:rsidR="001D13A6" w:rsidRPr="00052294" w:rsidRDefault="001D13A6" w:rsidP="001650EE">
                      <w:pPr>
                        <w:pStyle w:val="TableBullet"/>
                        <w:numPr>
                          <w:ilvl w:val="0"/>
                          <w:numId w:val="0"/>
                        </w:numPr>
                        <w:ind w:left="113"/>
                        <w:rPr>
                          <w:rFonts w:ascii="VIC" w:hAnsi="VIC"/>
                          <w:sz w:val="20"/>
                          <w:szCs w:val="20"/>
                        </w:rPr>
                      </w:pPr>
                    </w:p>
                  </w:txbxContent>
                </v:textbox>
                <w10:anchorlock/>
              </v:shape>
            </w:pict>
          </mc:Fallback>
        </mc:AlternateContent>
      </w:r>
    </w:p>
    <w:p w14:paraId="2F2CFB7D" w14:textId="317957C2" w:rsidR="00AD6786" w:rsidRPr="005E6751" w:rsidRDefault="00AD6786" w:rsidP="005E6751">
      <w:pPr>
        <w:rPr>
          <w:rStyle w:val="Hyperlink"/>
          <w:rFonts w:ascii="VIC" w:hAnsi="VIC"/>
        </w:rPr>
      </w:pPr>
      <w:r w:rsidRPr="005E6751">
        <w:rPr>
          <w:b/>
          <w:bCs/>
        </w:rPr>
        <w:t>Australian Government</w:t>
      </w:r>
      <w:r w:rsidR="00455E51" w:rsidRPr="002E271D">
        <w:t>:</w:t>
      </w:r>
      <w:r w:rsidRPr="005E6751">
        <w:rPr>
          <w:b/>
          <w:bCs/>
        </w:rPr>
        <w:t xml:space="preserve"> </w:t>
      </w:r>
      <w:r w:rsidRPr="005E6751">
        <w:t xml:space="preserve">information for business including energy, Access online: </w:t>
      </w:r>
      <w:hyperlink r:id="rId110" w:history="1">
        <w:r w:rsidRPr="005E6751">
          <w:rPr>
            <w:rStyle w:val="Hyperlink"/>
            <w:rFonts w:ascii="VIC" w:hAnsi="VIC"/>
          </w:rPr>
          <w:t>https://www.energy.gov.au/business</w:t>
        </w:r>
      </w:hyperlink>
    </w:p>
    <w:p w14:paraId="6BB8B197" w14:textId="67A6C17D" w:rsidR="00AD6786" w:rsidRPr="005E6751" w:rsidRDefault="00AD6786" w:rsidP="005E6751">
      <w:pPr>
        <w:rPr>
          <w:rStyle w:val="Hyperlink"/>
          <w:rFonts w:ascii="VIC" w:hAnsi="VIC"/>
        </w:rPr>
      </w:pPr>
      <w:r w:rsidRPr="005E6751">
        <w:rPr>
          <w:b/>
          <w:bCs/>
        </w:rPr>
        <w:t>Australian Government</w:t>
      </w:r>
      <w:r w:rsidR="001C4719" w:rsidRPr="002E271D">
        <w:t>:</w:t>
      </w:r>
      <w:r w:rsidR="001C4719">
        <w:rPr>
          <w:b/>
          <w:bCs/>
        </w:rPr>
        <w:t xml:space="preserve"> </w:t>
      </w:r>
      <w:r w:rsidRPr="005E6751">
        <w:t>energy management for business – building owners and tenants. Access online:</w:t>
      </w:r>
      <w:r w:rsidRPr="005E6751">
        <w:rPr>
          <w:rStyle w:val="Hyperlink"/>
          <w:rFonts w:ascii="VIC" w:hAnsi="VIC"/>
        </w:rPr>
        <w:t xml:space="preserve"> </w:t>
      </w:r>
      <w:hyperlink r:id="rId111" w:history="1">
        <w:r w:rsidRPr="005E6751">
          <w:rPr>
            <w:rStyle w:val="Hyperlink"/>
            <w:rFonts w:ascii="VIC" w:hAnsi="VIC"/>
          </w:rPr>
          <w:t>https://www.energy.gov.au/business/industry-sector-guides/building-owners-and-tenants</w:t>
        </w:r>
      </w:hyperlink>
    </w:p>
    <w:p w14:paraId="2781DD20" w14:textId="141CA971" w:rsidR="00AD6786" w:rsidRPr="005E6751" w:rsidRDefault="00AD6786" w:rsidP="005E6751">
      <w:pPr>
        <w:rPr>
          <w:rStyle w:val="Hyperlink"/>
          <w:rFonts w:ascii="VIC" w:hAnsi="VIC"/>
        </w:rPr>
      </w:pPr>
      <w:r w:rsidRPr="005E6751">
        <w:rPr>
          <w:b/>
          <w:bCs/>
        </w:rPr>
        <w:t>Australian Government</w:t>
      </w:r>
      <w:r w:rsidR="001C4719" w:rsidRPr="002E271D">
        <w:t>:</w:t>
      </w:r>
      <w:r w:rsidR="001C4719">
        <w:rPr>
          <w:b/>
          <w:bCs/>
        </w:rPr>
        <w:t xml:space="preserve"> </w:t>
      </w:r>
      <w:r w:rsidRPr="005E6751">
        <w:t>Climate Active Carbon Neutral Standard for Organisations. Access online:</w:t>
      </w:r>
      <w:r w:rsidRPr="005E6751">
        <w:rPr>
          <w:rStyle w:val="Hyperlink"/>
          <w:rFonts w:ascii="VIC" w:hAnsi="VIC"/>
        </w:rPr>
        <w:t xml:space="preserve"> </w:t>
      </w:r>
      <w:hyperlink r:id="rId112" w:history="1">
        <w:r w:rsidRPr="005E6751">
          <w:rPr>
            <w:rStyle w:val="Hyperlink"/>
            <w:rFonts w:ascii="VIC" w:hAnsi="VIC"/>
          </w:rPr>
          <w:t>https://www.industry.gov.au/data-and-publications/climate-active-carbon-neutral-standard-for-organisations</w:t>
        </w:r>
      </w:hyperlink>
    </w:p>
    <w:p w14:paraId="3C0CE46D" w14:textId="0C50C400" w:rsidR="00AD6786" w:rsidRPr="005E6751" w:rsidRDefault="00AD6786" w:rsidP="005E6751">
      <w:pPr>
        <w:rPr>
          <w:rStyle w:val="Hyperlink"/>
          <w:rFonts w:ascii="VIC" w:hAnsi="VIC"/>
        </w:rPr>
      </w:pPr>
      <w:r w:rsidRPr="005E6751">
        <w:rPr>
          <w:b/>
          <w:bCs/>
        </w:rPr>
        <w:t>Australian Pork</w:t>
      </w:r>
      <w:r w:rsidR="001C4719">
        <w:t xml:space="preserve">: </w:t>
      </w:r>
      <w:r w:rsidRPr="005E6751">
        <w:t xml:space="preserve">information on GHG emissions and reduction opportunities in pork production, Access online: </w:t>
      </w:r>
      <w:hyperlink r:id="rId113" w:history="1">
        <w:r w:rsidRPr="005E6751">
          <w:rPr>
            <w:rStyle w:val="Hyperlink"/>
            <w:rFonts w:ascii="VIC" w:hAnsi="VIC"/>
          </w:rPr>
          <w:t>https://www.australianpork.com.au/environmental-practices/greenhouse-gases</w:t>
        </w:r>
      </w:hyperlink>
    </w:p>
    <w:p w14:paraId="55A3EE3B" w14:textId="76072FFE" w:rsidR="00AD6786" w:rsidRPr="005E6751" w:rsidRDefault="00AD6786" w:rsidP="005E6751">
      <w:r w:rsidRPr="005E6751">
        <w:rPr>
          <w:b/>
          <w:bCs/>
        </w:rPr>
        <w:t>Australian Prudential Regulation Authority</w:t>
      </w:r>
      <w:r w:rsidR="001C4719">
        <w:t xml:space="preserve">: </w:t>
      </w:r>
      <w:r w:rsidRPr="005E6751">
        <w:t xml:space="preserve">draft Prudential Practice Guide CPG 229 Climate Change Financial Risks (CPG 229), Access online: </w:t>
      </w:r>
      <w:hyperlink r:id="rId114" w:history="1">
        <w:r w:rsidRPr="005E6751">
          <w:rPr>
            <w:rStyle w:val="Hyperlink"/>
            <w:rFonts w:ascii="VIC" w:hAnsi="VIC"/>
          </w:rPr>
          <w:t>https://www.apra.gov.au/consultation-on-draft-prudential-practice-guide-on-climate-change-financial-risks</w:t>
        </w:r>
      </w:hyperlink>
      <w:r w:rsidRPr="005E6751">
        <w:t xml:space="preserve"> </w:t>
      </w:r>
    </w:p>
    <w:p w14:paraId="0CF735F6" w14:textId="3D407228" w:rsidR="00AD6786" w:rsidRPr="005E6751" w:rsidRDefault="00AD6786" w:rsidP="005E6751">
      <w:r w:rsidRPr="005E6751">
        <w:rPr>
          <w:b/>
          <w:bCs/>
        </w:rPr>
        <w:t>Australian Securities and Investments Commission</w:t>
      </w:r>
      <w:r w:rsidR="001C4719">
        <w:t xml:space="preserve">: </w:t>
      </w:r>
      <w:r w:rsidRPr="005E6751">
        <w:rPr>
          <w:i/>
          <w:iCs/>
        </w:rPr>
        <w:t>19-208MR ASIC updates guidance on climate change related disclosure,</w:t>
      </w:r>
      <w:r w:rsidRPr="005E6751">
        <w:t xml:space="preserve"> Access online: </w:t>
      </w:r>
      <w:hyperlink r:id="rId115" w:history="1">
        <w:r w:rsidRPr="005E6751">
          <w:rPr>
            <w:rStyle w:val="Hyperlink"/>
            <w:rFonts w:ascii="VIC" w:hAnsi="VIC"/>
          </w:rPr>
          <w:t>https://asic.gov.au/about-asic/news-centre/find-a-media-release/2019-releases/19-208mr-asic-updates-guidance-on-climate-change-related-disclosure/</w:t>
        </w:r>
      </w:hyperlink>
    </w:p>
    <w:p w14:paraId="02DDE0C2" w14:textId="339DCD37" w:rsidR="00AD6786" w:rsidRPr="005E6751" w:rsidRDefault="00AD6786" w:rsidP="005E6751">
      <w:r w:rsidRPr="005E6751">
        <w:rPr>
          <w:b/>
          <w:bCs/>
        </w:rPr>
        <w:t>Beyond Zero Emissions</w:t>
      </w:r>
      <w:r w:rsidR="001C4719" w:rsidRPr="002E271D">
        <w:t>:</w:t>
      </w:r>
      <w:r w:rsidR="001C4719">
        <w:rPr>
          <w:b/>
          <w:bCs/>
        </w:rPr>
        <w:t xml:space="preserve"> </w:t>
      </w:r>
      <w:r w:rsidRPr="005E6751">
        <w:t xml:space="preserve">an independent, solutions-focused think tank. Access online: </w:t>
      </w:r>
      <w:hyperlink r:id="rId116" w:history="1">
        <w:r w:rsidRPr="005E6751">
          <w:rPr>
            <w:rStyle w:val="Hyperlink"/>
            <w:rFonts w:ascii="VIC" w:hAnsi="VIC"/>
          </w:rPr>
          <w:t>https://bze.org.au/</w:t>
        </w:r>
      </w:hyperlink>
    </w:p>
    <w:p w14:paraId="15042368" w14:textId="108FEBEF" w:rsidR="00AD6786" w:rsidRPr="005E6751" w:rsidRDefault="00AD6786" w:rsidP="005E6751">
      <w:r w:rsidRPr="005E6751">
        <w:rPr>
          <w:b/>
          <w:bCs/>
        </w:rPr>
        <w:t>Business Victoria</w:t>
      </w:r>
      <w:r w:rsidR="001C4719" w:rsidRPr="002E271D">
        <w:t>:</w:t>
      </w:r>
      <w:r w:rsidR="001C4719">
        <w:rPr>
          <w:b/>
          <w:bCs/>
        </w:rPr>
        <w:t xml:space="preserve"> </w:t>
      </w:r>
      <w:r w:rsidRPr="005E6751">
        <w:t>Optimise performance of your commercial refrigeration and cooling equipment. Access online:</w:t>
      </w:r>
      <w:r w:rsidRPr="005E6751">
        <w:rPr>
          <w:b/>
          <w:bCs/>
        </w:rPr>
        <w:t xml:space="preserve"> </w:t>
      </w:r>
      <w:hyperlink r:id="rId117" w:history="1">
        <w:r w:rsidRPr="005E6751">
          <w:rPr>
            <w:rStyle w:val="Hyperlink"/>
            <w:rFonts w:ascii="VIC" w:hAnsi="VIC"/>
          </w:rPr>
          <w:t>https://business.vic.gov.au/business-information/sustainability/cut-energy-costs</w:t>
        </w:r>
      </w:hyperlink>
    </w:p>
    <w:p w14:paraId="5ACF17B6" w14:textId="2B4C0BEC" w:rsidR="00AD6786" w:rsidRPr="005E6751" w:rsidRDefault="00AD6786" w:rsidP="005E6751">
      <w:r w:rsidRPr="005E6751">
        <w:rPr>
          <w:b/>
          <w:bCs/>
        </w:rPr>
        <w:t>CDP</w:t>
      </w:r>
      <w:r w:rsidR="001C4719">
        <w:t xml:space="preserve">: </w:t>
      </w:r>
      <w:r w:rsidRPr="005E6751">
        <w:t xml:space="preserve">Putting a price on carbon, The state of internal carbon pricing by corporates globally. Access online: </w:t>
      </w:r>
      <w:hyperlink r:id="rId118" w:history="1">
        <w:r w:rsidRPr="005E6751">
          <w:rPr>
            <w:rStyle w:val="Hyperlink"/>
            <w:rFonts w:ascii="VIC" w:hAnsi="VIC"/>
          </w:rPr>
          <w:t>https://www.cdp.net/en/research/global-reports/putting-a-price-on-carbon</w:t>
        </w:r>
      </w:hyperlink>
    </w:p>
    <w:p w14:paraId="55CD842C" w14:textId="1D24AA07" w:rsidR="00AD6786" w:rsidRPr="005E6751" w:rsidRDefault="00AD6786" w:rsidP="005E6751">
      <w:r w:rsidRPr="005E6751">
        <w:rPr>
          <w:b/>
          <w:bCs/>
        </w:rPr>
        <w:t>CDP</w:t>
      </w:r>
      <w:r w:rsidR="001C4719">
        <w:t xml:space="preserve">: </w:t>
      </w:r>
      <w:r w:rsidRPr="005E6751">
        <w:t>Engaging the Chain: Driving Speed and Scale,</w:t>
      </w:r>
      <w:r w:rsidRPr="005E6751">
        <w:rPr>
          <w:b/>
          <w:bCs/>
        </w:rPr>
        <w:t xml:space="preserve"> </w:t>
      </w:r>
      <w:r w:rsidRPr="005E6751">
        <w:t xml:space="preserve">Global Supply Chain Report 2021. Access online: </w:t>
      </w:r>
      <w:hyperlink r:id="rId119" w:history="1">
        <w:r w:rsidRPr="005E6751">
          <w:rPr>
            <w:rStyle w:val="Hyperlink"/>
            <w:rFonts w:ascii="VIC" w:hAnsi="VIC"/>
          </w:rPr>
          <w:t>https://www.cdp.net/en/research/global-reports/engaging-the-chain</w:t>
        </w:r>
      </w:hyperlink>
    </w:p>
    <w:p w14:paraId="48546AC5" w14:textId="4A2301D8" w:rsidR="00AD6786" w:rsidRPr="005E6751" w:rsidRDefault="00AD6786" w:rsidP="005E6751">
      <w:r w:rsidRPr="005E6751">
        <w:rPr>
          <w:b/>
          <w:bCs/>
        </w:rPr>
        <w:t>Carbon Trust</w:t>
      </w:r>
      <w:r w:rsidR="001C4719">
        <w:t xml:space="preserve">: </w:t>
      </w:r>
      <w:r w:rsidRPr="005E6751">
        <w:t xml:space="preserve">Access online: </w:t>
      </w:r>
      <w:hyperlink r:id="rId120" w:history="1">
        <w:r w:rsidRPr="005E6751">
          <w:rPr>
            <w:rStyle w:val="Hyperlink"/>
            <w:rFonts w:ascii="VIC" w:hAnsi="VIC"/>
          </w:rPr>
          <w:t>https://www.carbontrust.com/resources/briefing-what-are-scope-3-emissions</w:t>
        </w:r>
      </w:hyperlink>
    </w:p>
    <w:p w14:paraId="6990D8C9" w14:textId="72ACD8B7" w:rsidR="00AD6786" w:rsidRPr="005E6751" w:rsidRDefault="00AD6786" w:rsidP="005E6751">
      <w:r w:rsidRPr="005E6751">
        <w:rPr>
          <w:b/>
          <w:bCs/>
        </w:rPr>
        <w:t>Centre for Climate and Energy Solutions</w:t>
      </w:r>
      <w:r w:rsidR="001C4719" w:rsidRPr="00FA386A">
        <w:t>:</w:t>
      </w:r>
      <w:r w:rsidR="001C4719">
        <w:rPr>
          <w:b/>
          <w:bCs/>
        </w:rPr>
        <w:t xml:space="preserve"> </w:t>
      </w:r>
      <w:r w:rsidRPr="005E6751">
        <w:t xml:space="preserve">The business of pricing carbon, how companies are pricing carbon to mitigate risks and prepare for a low-carbon future. Access online: </w:t>
      </w:r>
      <w:hyperlink r:id="rId121" w:history="1">
        <w:r w:rsidRPr="005E6751">
          <w:rPr>
            <w:rStyle w:val="Hyperlink"/>
            <w:rFonts w:ascii="VIC" w:hAnsi="VIC"/>
          </w:rPr>
          <w:t>https://www.c2es.org/wp-content/uploads/2017/09/business-pricing-carbon.pdf</w:t>
        </w:r>
      </w:hyperlink>
    </w:p>
    <w:p w14:paraId="74D99353" w14:textId="51BED882" w:rsidR="00AD6786" w:rsidRPr="005E6751" w:rsidRDefault="00AD6786" w:rsidP="005E6751">
      <w:r w:rsidRPr="005E6751">
        <w:rPr>
          <w:b/>
          <w:bCs/>
        </w:rPr>
        <w:lastRenderedPageBreak/>
        <w:t>Centre for Policy Development</w:t>
      </w:r>
      <w:r w:rsidR="001C4719">
        <w:t xml:space="preserve">: </w:t>
      </w:r>
      <w:r w:rsidRPr="005E6751">
        <w:t xml:space="preserve">Updated Hutley opinion on directors’ duties and climate risk. Access online:  </w:t>
      </w:r>
      <w:hyperlink r:id="rId122" w:history="1">
        <w:r w:rsidRPr="005E6751">
          <w:rPr>
            <w:rStyle w:val="Hyperlink"/>
            <w:rFonts w:ascii="VIC" w:hAnsi="VIC"/>
          </w:rPr>
          <w:t>https://cpd.org.au/2019/03/directors-duties-2019/</w:t>
        </w:r>
      </w:hyperlink>
    </w:p>
    <w:p w14:paraId="59F5BE1A" w14:textId="0920FCFF" w:rsidR="00AD6786" w:rsidRPr="005E6751" w:rsidRDefault="00AD6786" w:rsidP="005E6751">
      <w:r w:rsidRPr="005E6751">
        <w:rPr>
          <w:b/>
          <w:bCs/>
        </w:rPr>
        <w:t>City of Melbourne</w:t>
      </w:r>
      <w:r w:rsidR="002E271D" w:rsidRPr="002E271D">
        <w:t>:</w:t>
      </w:r>
      <w:r w:rsidR="001C4719">
        <w:rPr>
          <w:i/>
          <w:iCs/>
        </w:rPr>
        <w:t xml:space="preserve"> </w:t>
      </w:r>
      <w:r w:rsidRPr="005E6751">
        <w:t>Renewable Energy Procurement, A guide to buying off-site renewable electricity</w:t>
      </w:r>
      <w:r w:rsidRPr="005E6751">
        <w:rPr>
          <w:i/>
          <w:iCs/>
        </w:rPr>
        <w:t xml:space="preserve">. </w:t>
      </w:r>
      <w:r w:rsidRPr="005E6751">
        <w:t>Access online:</w:t>
      </w:r>
      <w:r w:rsidRPr="005E6751">
        <w:rPr>
          <w:i/>
          <w:iCs/>
        </w:rPr>
        <w:t xml:space="preserve"> </w:t>
      </w:r>
      <w:hyperlink r:id="rId123" w:history="1">
        <w:r w:rsidRPr="005E6751">
          <w:rPr>
            <w:rStyle w:val="Hyperlink"/>
            <w:rFonts w:ascii="VIC" w:hAnsi="VIC"/>
          </w:rPr>
          <w:t>https://www.melbourne.vic.gov.au/business/sustainable-business/mrep/Pages/renewable-energy-procurement-guide.aspx</w:t>
        </w:r>
      </w:hyperlink>
    </w:p>
    <w:p w14:paraId="438ADB77" w14:textId="370B9E28" w:rsidR="00AD6786" w:rsidRPr="005E6751" w:rsidRDefault="00AD6786" w:rsidP="005E6751">
      <w:r w:rsidRPr="005E6751">
        <w:rPr>
          <w:b/>
          <w:bCs/>
        </w:rPr>
        <w:t>Climate Active</w:t>
      </w:r>
      <w:r w:rsidR="001C4719">
        <w:t xml:space="preserve">: </w:t>
      </w:r>
      <w:r w:rsidRPr="005E6751">
        <w:t xml:space="preserve">Climate Active certification is awarded to businesses and organisations that have reached carbon neutrality. Access online: </w:t>
      </w:r>
      <w:hyperlink r:id="rId124" w:history="1">
        <w:r w:rsidRPr="005E6751">
          <w:rPr>
            <w:rStyle w:val="Hyperlink"/>
            <w:rFonts w:ascii="VIC" w:hAnsi="VIC"/>
          </w:rPr>
          <w:t>https://www.climateactive.org.au/</w:t>
        </w:r>
      </w:hyperlink>
    </w:p>
    <w:p w14:paraId="41122CE9" w14:textId="5527F0AD" w:rsidR="00AD6786" w:rsidRPr="005E6751" w:rsidRDefault="00AD6786" w:rsidP="005E6751">
      <w:proofErr w:type="spellStart"/>
      <w:r w:rsidRPr="005E6751">
        <w:rPr>
          <w:b/>
          <w:bCs/>
        </w:rPr>
        <w:t>ClimateWorks</w:t>
      </w:r>
      <w:proofErr w:type="spellEnd"/>
      <w:r w:rsidR="001C4719">
        <w:t xml:space="preserve">: </w:t>
      </w:r>
      <w:r w:rsidRPr="005E6751">
        <w:t xml:space="preserve">Decarbonisation Futures, provides a guide for Australian Government and business decision makers on priority technologies, deployment pathways and benchmarks for achieving net zero emissions. Access online:  </w:t>
      </w:r>
      <w:hyperlink r:id="rId125" w:history="1">
        <w:r w:rsidRPr="005E6751">
          <w:rPr>
            <w:rStyle w:val="Hyperlink"/>
            <w:rFonts w:ascii="VIC" w:hAnsi="VIC"/>
          </w:rPr>
          <w:t>https://www.climateworksaustralia.org/project/decarbonisation-futures/</w:t>
        </w:r>
      </w:hyperlink>
      <w:r w:rsidRPr="005E6751">
        <w:t xml:space="preserve">  </w:t>
      </w:r>
    </w:p>
    <w:p w14:paraId="7151C7D3" w14:textId="3159F20B" w:rsidR="00AD6786" w:rsidRPr="005E6751" w:rsidRDefault="00AD6786" w:rsidP="005E6751">
      <w:proofErr w:type="spellStart"/>
      <w:r w:rsidRPr="005E6751">
        <w:rPr>
          <w:b/>
          <w:bCs/>
        </w:rPr>
        <w:t>ClimateWorks</w:t>
      </w:r>
      <w:proofErr w:type="spellEnd"/>
      <w:r w:rsidR="001C4719">
        <w:t xml:space="preserve">: </w:t>
      </w:r>
      <w:r w:rsidRPr="005E6751">
        <w:t xml:space="preserve">Australian industry energy transitions initiative. Access online: </w:t>
      </w:r>
      <w:hyperlink r:id="rId126" w:history="1">
        <w:r w:rsidRPr="005E6751">
          <w:rPr>
            <w:rStyle w:val="Hyperlink"/>
            <w:rFonts w:ascii="VIC" w:hAnsi="VIC"/>
          </w:rPr>
          <w:t>https://www.climateworkscentre.org/project/australian-industry-energy-transitions-initiative/</w:t>
        </w:r>
      </w:hyperlink>
    </w:p>
    <w:p w14:paraId="696BDA0B" w14:textId="7EA3D9D2" w:rsidR="00AD6786" w:rsidRPr="005E6751" w:rsidRDefault="00AD6786" w:rsidP="005E6751">
      <w:proofErr w:type="spellStart"/>
      <w:r w:rsidRPr="005E6751">
        <w:rPr>
          <w:b/>
          <w:bCs/>
        </w:rPr>
        <w:t>ClimateWorks</w:t>
      </w:r>
      <w:proofErr w:type="spellEnd"/>
      <w:r w:rsidR="001C4719" w:rsidRPr="00455E51">
        <w:t>:</w:t>
      </w:r>
      <w:r w:rsidR="001C4719">
        <w:rPr>
          <w:b/>
          <w:bCs/>
        </w:rPr>
        <w:t xml:space="preserve"> </w:t>
      </w:r>
      <w:r w:rsidRPr="005E6751">
        <w:t xml:space="preserve">Net Zero Momentum Tracker, tracks business and government emission reduction pledges across the Australian economy. Access online: </w:t>
      </w:r>
      <w:hyperlink r:id="rId127" w:history="1">
        <w:r w:rsidRPr="005E6751">
          <w:rPr>
            <w:rStyle w:val="Hyperlink"/>
            <w:rFonts w:ascii="VIC" w:hAnsi="VIC"/>
          </w:rPr>
          <w:t>https://www.climateworksaustralia.org/</w:t>
        </w:r>
      </w:hyperlink>
      <w:r w:rsidRPr="005E6751">
        <w:t xml:space="preserve"> </w:t>
      </w:r>
    </w:p>
    <w:p w14:paraId="6998C384" w14:textId="4F0DF479" w:rsidR="00AD6786" w:rsidRPr="005E6751" w:rsidRDefault="00AD6786" w:rsidP="005E6751">
      <w:r w:rsidRPr="005E6751">
        <w:rPr>
          <w:b/>
          <w:bCs/>
        </w:rPr>
        <w:t>Climate-KIC Australia 2020</w:t>
      </w:r>
      <w:r w:rsidR="001C4719" w:rsidRPr="00455E51">
        <w:t>:</w:t>
      </w:r>
      <w:r w:rsidR="001C4719">
        <w:rPr>
          <w:b/>
          <w:bCs/>
        </w:rPr>
        <w:t xml:space="preserve"> </w:t>
      </w:r>
      <w:r w:rsidRPr="005E6751">
        <w:t>Climate Measurement Standards Initiative.</w:t>
      </w:r>
      <w:r w:rsidRPr="005E6751">
        <w:rPr>
          <w:i/>
          <w:iCs/>
        </w:rPr>
        <w:t xml:space="preserve"> </w:t>
      </w:r>
      <w:r w:rsidRPr="005E6751">
        <w:t xml:space="preserve">Access Online: </w:t>
      </w:r>
      <w:hyperlink r:id="rId128" w:history="1">
        <w:r w:rsidRPr="005E6751">
          <w:rPr>
            <w:rStyle w:val="Hyperlink"/>
            <w:rFonts w:ascii="VIC" w:hAnsi="VIC"/>
          </w:rPr>
          <w:t>https://www.cmsi.org.au/</w:t>
        </w:r>
      </w:hyperlink>
    </w:p>
    <w:p w14:paraId="249191E5" w14:textId="68D15762" w:rsidR="00AD6786" w:rsidRPr="005E6751" w:rsidRDefault="00AD6786" w:rsidP="005E6751">
      <w:pPr>
        <w:rPr>
          <w:b/>
          <w:bCs/>
        </w:rPr>
      </w:pPr>
      <w:r w:rsidRPr="005E6751">
        <w:rPr>
          <w:b/>
          <w:bCs/>
        </w:rPr>
        <w:t>Compare</w:t>
      </w:r>
      <w:r w:rsidR="001C4719" w:rsidRPr="008E5350">
        <w:t>:</w:t>
      </w:r>
      <w:r w:rsidR="001C4719">
        <w:rPr>
          <w:b/>
          <w:bCs/>
        </w:rPr>
        <w:t xml:space="preserve"> </w:t>
      </w:r>
      <w:r w:rsidRPr="005E6751">
        <w:t xml:space="preserve">an independent Victorian Government energy price comparison site including solar. Access online: </w:t>
      </w:r>
      <w:hyperlink r:id="rId129" w:history="1">
        <w:r w:rsidRPr="005E6751">
          <w:rPr>
            <w:rStyle w:val="Hyperlink"/>
            <w:rFonts w:ascii="VIC" w:hAnsi="VIC"/>
          </w:rPr>
          <w:t>https://compare.energy.vic.gov.au/</w:t>
        </w:r>
      </w:hyperlink>
    </w:p>
    <w:p w14:paraId="7F96CA17" w14:textId="7742DFF5" w:rsidR="00AD6786" w:rsidRPr="005E6751" w:rsidRDefault="00AD6786" w:rsidP="005E6751">
      <w:r w:rsidRPr="005E6751">
        <w:rPr>
          <w:b/>
          <w:bCs/>
        </w:rPr>
        <w:t>CSIRO</w:t>
      </w:r>
      <w:r w:rsidR="001C4719" w:rsidRPr="008E5350">
        <w:t>:</w:t>
      </w:r>
      <w:r w:rsidR="001C4719">
        <w:rPr>
          <w:b/>
          <w:bCs/>
        </w:rPr>
        <w:t xml:space="preserve"> </w:t>
      </w:r>
      <w:r w:rsidRPr="005E6751">
        <w:t xml:space="preserve">State of the Climate, biennial State of the Climate report series draws on the latest climate research, encompassing observations, </w:t>
      </w:r>
      <w:proofErr w:type="gramStart"/>
      <w:r w:rsidRPr="005E6751">
        <w:t>analyses</w:t>
      </w:r>
      <w:proofErr w:type="gramEnd"/>
      <w:r w:rsidRPr="005E6751">
        <w:t xml:space="preserve"> and projections to describe year-to-year variability and longer-term changes in Australia’s climate. Access online: </w:t>
      </w:r>
      <w:hyperlink r:id="rId130" w:history="1">
        <w:r w:rsidRPr="005E6751">
          <w:rPr>
            <w:rStyle w:val="Hyperlink"/>
            <w:rFonts w:ascii="VIC" w:hAnsi="VIC"/>
          </w:rPr>
          <w:t>https://www.csiro.au/en/research/environmental-impacts/climate-change/state-of-the-climate</w:t>
        </w:r>
      </w:hyperlink>
    </w:p>
    <w:p w14:paraId="56D3D4A2" w14:textId="648229D4" w:rsidR="00AD6786" w:rsidRPr="005E6751" w:rsidRDefault="00AD6786" w:rsidP="005E6751">
      <w:r w:rsidRPr="005E6751">
        <w:rPr>
          <w:b/>
          <w:bCs/>
        </w:rPr>
        <w:t xml:space="preserve">Dairy Australia, </w:t>
      </w:r>
      <w:proofErr w:type="spellStart"/>
      <w:r w:rsidRPr="005E6751">
        <w:rPr>
          <w:b/>
          <w:bCs/>
        </w:rPr>
        <w:t>WestVic</w:t>
      </w:r>
      <w:proofErr w:type="spellEnd"/>
      <w:r w:rsidRPr="005E6751">
        <w:rPr>
          <w:b/>
          <w:bCs/>
        </w:rPr>
        <w:t xml:space="preserve"> Dairy</w:t>
      </w:r>
      <w:r w:rsidR="001C4719" w:rsidRPr="008E5350">
        <w:t>:</w:t>
      </w:r>
      <w:r w:rsidR="001C4719">
        <w:rPr>
          <w:b/>
          <w:bCs/>
        </w:rPr>
        <w:t xml:space="preserve"> </w:t>
      </w:r>
      <w:r w:rsidRPr="005E6751">
        <w:t>climate change and energy resources for dairy including</w:t>
      </w:r>
      <w:r w:rsidRPr="005E6751">
        <w:rPr>
          <w:b/>
          <w:bCs/>
        </w:rPr>
        <w:t xml:space="preserve"> ‘</w:t>
      </w:r>
      <w:r w:rsidRPr="005E6751">
        <w:t xml:space="preserve">Saving energy on dairy </w:t>
      </w:r>
      <w:proofErr w:type="gramStart"/>
      <w:r w:rsidRPr="005E6751">
        <w:t>farms’</w:t>
      </w:r>
      <w:proofErr w:type="gramEnd"/>
      <w:r w:rsidRPr="005E6751">
        <w:t xml:space="preserve">. Access online: </w:t>
      </w:r>
      <w:hyperlink r:id="rId131" w:history="1">
        <w:r w:rsidRPr="005E6751">
          <w:rPr>
            <w:rStyle w:val="Hyperlink"/>
            <w:rFonts w:ascii="VIC" w:hAnsi="VIC"/>
          </w:rPr>
          <w:t>https://www.dairyaustralia.com.au/land-water-and-climate</w:t>
        </w:r>
      </w:hyperlink>
    </w:p>
    <w:p w14:paraId="1791237F" w14:textId="67812BC9" w:rsidR="00AD6786" w:rsidRPr="005E6751" w:rsidRDefault="00AD6786" w:rsidP="005E6751">
      <w:pPr>
        <w:rPr>
          <w:rStyle w:val="Hyperlink"/>
          <w:rFonts w:ascii="VIC" w:hAnsi="VIC"/>
        </w:rPr>
      </w:pPr>
      <w:r w:rsidRPr="005E6751">
        <w:rPr>
          <w:b/>
          <w:bCs/>
        </w:rPr>
        <w:t>Ellen MacArthur Foundation</w:t>
      </w:r>
      <w:r w:rsidR="001C4719">
        <w:t xml:space="preserve">: </w:t>
      </w:r>
      <w:r w:rsidRPr="005E6751">
        <w:t xml:space="preserve">Completing the Picture: How the Circular Economy Tackles Climate Change. Access online: </w:t>
      </w:r>
      <w:hyperlink r:id="rId132" w:history="1">
        <w:r w:rsidRPr="005E6751">
          <w:rPr>
            <w:rStyle w:val="Hyperlink"/>
            <w:rFonts w:ascii="VIC" w:hAnsi="VIC"/>
          </w:rPr>
          <w:t>https://circulareconomy.europa.eu/platform/sites/default/files/emf_completing_the_picture.pdf</w:t>
        </w:r>
      </w:hyperlink>
    </w:p>
    <w:p w14:paraId="360B6E0B" w14:textId="2879ED63" w:rsidR="00AD6786" w:rsidRPr="005E6751" w:rsidRDefault="00AD6786" w:rsidP="005E6751">
      <w:r w:rsidRPr="005E6751">
        <w:rPr>
          <w:b/>
          <w:bCs/>
        </w:rPr>
        <w:t>ENCORD (European Network of Construction Companies for Research and Development)</w:t>
      </w:r>
      <w:r w:rsidR="001C4719" w:rsidRPr="008E5350">
        <w:t>:</w:t>
      </w:r>
      <w:r w:rsidR="001C4719">
        <w:rPr>
          <w:b/>
          <w:bCs/>
        </w:rPr>
        <w:t xml:space="preserve"> </w:t>
      </w:r>
      <w:r w:rsidRPr="005E6751">
        <w:t xml:space="preserve">Construction CO2 e Measurement Protocol. A Guide to reporting against the Green House Gas Protocol for construction companies. Access online: </w:t>
      </w:r>
      <w:hyperlink r:id="rId133" w:history="1">
        <w:r w:rsidRPr="005E6751">
          <w:rPr>
            <w:rStyle w:val="Hyperlink"/>
            <w:rFonts w:ascii="VIC" w:hAnsi="VIC"/>
          </w:rPr>
          <w:t>https://ghgprotocol.org/sites/default/files/ENCORD-Construction-CO2-Measurement-Protocol-Lo-Res_FINAL_0.pdf</w:t>
        </w:r>
      </w:hyperlink>
    </w:p>
    <w:p w14:paraId="6F896A98" w14:textId="2E0A31E7" w:rsidR="00AD6786" w:rsidRPr="005E6751" w:rsidRDefault="00AD6786" w:rsidP="005E6751">
      <w:pPr>
        <w:rPr>
          <w:rStyle w:val="Hyperlink"/>
          <w:rFonts w:ascii="VIC" w:hAnsi="VIC"/>
        </w:rPr>
      </w:pPr>
      <w:r w:rsidRPr="005E6751">
        <w:rPr>
          <w:b/>
          <w:bCs/>
        </w:rPr>
        <w:t>IPCC</w:t>
      </w:r>
      <w:r w:rsidR="001C4719">
        <w:t xml:space="preserve">: </w:t>
      </w:r>
      <w:r w:rsidRPr="005E6751">
        <w:rPr>
          <w:i/>
          <w:iCs/>
        </w:rPr>
        <w:t>Climate Change 2014: Synthesis Report</w:t>
      </w:r>
      <w:r w:rsidRPr="005E6751">
        <w:t xml:space="preserve">. Contribution of Working Groups I, II and III to the Fifth Assessment Report of the Intergovernmental Panel on Climate Change [Core Writing Team, R.K. </w:t>
      </w:r>
      <w:proofErr w:type="gramStart"/>
      <w:r w:rsidRPr="005E6751">
        <w:t>Pachauri</w:t>
      </w:r>
      <w:proofErr w:type="gramEnd"/>
      <w:r w:rsidRPr="005E6751">
        <w:t xml:space="preserve"> and L.A. Meyer (eds.)]. IPCC, Geneva, Switzerland, 151 pp. Access online: </w:t>
      </w:r>
      <w:hyperlink r:id="rId134" w:history="1">
        <w:r w:rsidRPr="005E6751">
          <w:rPr>
            <w:rStyle w:val="Hyperlink"/>
            <w:rFonts w:ascii="VIC" w:hAnsi="VIC"/>
          </w:rPr>
          <w:t>https://www.ipcc.ch/site/assets/uploads/2018/05/SYR_AR5_FINAL_full_wcover.pdf</w:t>
        </w:r>
      </w:hyperlink>
    </w:p>
    <w:p w14:paraId="05CB37D1" w14:textId="29E5276D" w:rsidR="00AD6786" w:rsidRPr="005E6751" w:rsidRDefault="00AD6786" w:rsidP="005E6751">
      <w:r w:rsidRPr="005E6751">
        <w:rPr>
          <w:b/>
          <w:bCs/>
        </w:rPr>
        <w:t>IPCC</w:t>
      </w:r>
      <w:r w:rsidR="001C4719">
        <w:t xml:space="preserve">: </w:t>
      </w:r>
      <w:r w:rsidRPr="005E6751">
        <w:t xml:space="preserve">Summary for Policymakers. In: Climate Change 2021: The Physical Science Basis. Contribution of Working Group I to the Sixth Assessment Report of the Intergovernmental Panel on Climate Change [Masson-Delmotte, V., P. Zhai, A. Pirani, S. L. Connors, C. </w:t>
      </w:r>
      <w:proofErr w:type="spellStart"/>
      <w:r w:rsidRPr="005E6751">
        <w:t>Péan</w:t>
      </w:r>
      <w:proofErr w:type="spellEnd"/>
      <w:r w:rsidRPr="005E6751">
        <w:t xml:space="preserve">, S. Berger, N. </w:t>
      </w:r>
      <w:proofErr w:type="spellStart"/>
      <w:r w:rsidRPr="005E6751">
        <w:t>Caud</w:t>
      </w:r>
      <w:proofErr w:type="spellEnd"/>
      <w:r w:rsidRPr="005E6751">
        <w:t xml:space="preserve">, Y. Chen, L. Goldfarb, M. I. Gomis, M. Huang, K. Leitzell, E. </w:t>
      </w:r>
      <w:proofErr w:type="spellStart"/>
      <w:r w:rsidRPr="005E6751">
        <w:t>Lonnoy</w:t>
      </w:r>
      <w:proofErr w:type="spellEnd"/>
      <w:r w:rsidRPr="005E6751">
        <w:t xml:space="preserve">, J.B.R. Matthews, T. K. Maycock, T. Waterfield, O. Yelekçi, R. Yu and B. Zhou (eds.)]. Cambridge University Press. In Press. Access online: </w:t>
      </w:r>
      <w:hyperlink r:id="rId135" w:history="1">
        <w:r w:rsidRPr="005E6751">
          <w:rPr>
            <w:rStyle w:val="Hyperlink"/>
            <w:rFonts w:ascii="VIC" w:hAnsi="VIC"/>
          </w:rPr>
          <w:t>https://www.ipcc.ch/report/ar6/wg1/downloads/report/IPCC_AR6_WGI_SPM_final.pdf</w:t>
        </w:r>
      </w:hyperlink>
    </w:p>
    <w:p w14:paraId="6029044C" w14:textId="77777777" w:rsidR="00AD6786" w:rsidRPr="005E6751" w:rsidRDefault="00AD6786" w:rsidP="005E6751">
      <w:pPr>
        <w:rPr>
          <w:b/>
          <w:bCs/>
        </w:rPr>
      </w:pPr>
      <w:r w:rsidRPr="005E6751">
        <w:rPr>
          <w:b/>
          <w:bCs/>
        </w:rPr>
        <w:lastRenderedPageBreak/>
        <w:t>NSW Government</w:t>
      </w:r>
      <w:r w:rsidRPr="00211F90">
        <w:t>:</w:t>
      </w:r>
      <w:r w:rsidRPr="005E6751">
        <w:rPr>
          <w:b/>
          <w:bCs/>
        </w:rPr>
        <w:t xml:space="preserve"> </w:t>
      </w:r>
      <w:r w:rsidRPr="005E6751">
        <w:rPr>
          <w:i/>
          <w:iCs/>
        </w:rPr>
        <w:t>Electricity metering and monitoring guide</w:t>
      </w:r>
      <w:r w:rsidRPr="005E6751">
        <w:t xml:space="preserve">. Access online: </w:t>
      </w:r>
      <w:hyperlink r:id="rId136" w:history="1">
        <w:r w:rsidRPr="005E6751">
          <w:rPr>
            <w:rStyle w:val="Hyperlink"/>
            <w:rFonts w:ascii="VIC" w:hAnsi="VIC"/>
          </w:rPr>
          <w:t>https://www.energysaver.nsw.gov.au/get-energy-smart/find-technology-guide-your-equipment/electricity-metering-and-monitoring-guide</w:t>
        </w:r>
      </w:hyperlink>
    </w:p>
    <w:p w14:paraId="2096BA5E" w14:textId="38DC3C32" w:rsidR="00AD6786" w:rsidRPr="005E6751" w:rsidRDefault="00AD6786" w:rsidP="005E6751">
      <w:pPr>
        <w:rPr>
          <w:color w:val="0070C0"/>
        </w:rPr>
      </w:pPr>
      <w:r w:rsidRPr="005E6751">
        <w:rPr>
          <w:b/>
          <w:bCs/>
        </w:rPr>
        <w:t>RE100</w:t>
      </w:r>
      <w:r w:rsidR="001C4719">
        <w:t>:</w:t>
      </w:r>
      <w:r w:rsidR="001C4719" w:rsidRPr="005E6751">
        <w:rPr>
          <w:b/>
          <w:bCs/>
        </w:rPr>
        <w:t xml:space="preserve"> </w:t>
      </w:r>
      <w:r w:rsidRPr="005E6751">
        <w:t xml:space="preserve">a global initiative bringing together the world’s most influential businesses driving the transition to 100 per cent renewable electricity. Access online: </w:t>
      </w:r>
      <w:hyperlink r:id="rId137" w:history="1">
        <w:r w:rsidRPr="005E6751">
          <w:rPr>
            <w:rStyle w:val="Hyperlink"/>
            <w:rFonts w:ascii="VIC" w:hAnsi="VIC"/>
          </w:rPr>
          <w:t>https://www.there100.org/</w:t>
        </w:r>
      </w:hyperlink>
    </w:p>
    <w:p w14:paraId="51786B0F" w14:textId="0380762A" w:rsidR="00AD6786" w:rsidRPr="005E6751" w:rsidRDefault="00AD6786" w:rsidP="005E6751">
      <w:r w:rsidRPr="005E6751">
        <w:rPr>
          <w:b/>
          <w:bCs/>
        </w:rPr>
        <w:t>Science Based Targets initiative</w:t>
      </w:r>
      <w:r w:rsidR="001C4719">
        <w:t>:</w:t>
      </w:r>
      <w:r w:rsidR="00211F90">
        <w:t xml:space="preserve"> </w:t>
      </w:r>
      <w:r w:rsidRPr="005E6751">
        <w:t xml:space="preserve">2018 </w:t>
      </w:r>
      <w:r w:rsidRPr="005E6751">
        <w:rPr>
          <w:i/>
          <w:iCs/>
        </w:rPr>
        <w:t xml:space="preserve">Value Change in the Value Chain: Best Practices in </w:t>
      </w:r>
      <w:r w:rsidR="007D792C">
        <w:rPr>
          <w:i/>
          <w:iCs/>
        </w:rPr>
        <w:t>Scope 3</w:t>
      </w:r>
      <w:r w:rsidRPr="005E6751">
        <w:rPr>
          <w:i/>
          <w:iCs/>
        </w:rPr>
        <w:t xml:space="preserve"> greenhouse gas management</w:t>
      </w:r>
      <w:r w:rsidRPr="005E6751">
        <w:t xml:space="preserve">. Access online: </w:t>
      </w:r>
      <w:hyperlink r:id="rId138" w:history="1">
        <w:r w:rsidRPr="005E6751">
          <w:rPr>
            <w:rStyle w:val="Hyperlink"/>
            <w:rFonts w:ascii="VIC" w:hAnsi="VIC"/>
          </w:rPr>
          <w:t>https://sciencebasedtargets.org/resources/files/SBT_Value_Chain_Report-1.pdf</w:t>
        </w:r>
      </w:hyperlink>
    </w:p>
    <w:p w14:paraId="13B00029" w14:textId="3D93FBE7" w:rsidR="00AD6786" w:rsidRPr="005E6751" w:rsidRDefault="00AD6786" w:rsidP="005E6751">
      <w:r w:rsidRPr="005E6751">
        <w:rPr>
          <w:b/>
          <w:bCs/>
        </w:rPr>
        <w:t>Science Based Targets initiative</w:t>
      </w:r>
      <w:r w:rsidR="001C4719">
        <w:t>:</w:t>
      </w:r>
      <w:r w:rsidRPr="005E6751">
        <w:t xml:space="preserve"> 2020 </w:t>
      </w:r>
      <w:r w:rsidRPr="005E6751">
        <w:rPr>
          <w:i/>
          <w:iCs/>
        </w:rPr>
        <w:t>Foundations for science-based net-zero target setting in the corporate sector</w:t>
      </w:r>
      <w:r w:rsidRPr="005E6751">
        <w:t xml:space="preserve">. Access online: </w:t>
      </w:r>
      <w:hyperlink r:id="rId139" w:history="1">
        <w:r w:rsidRPr="005E6751">
          <w:rPr>
            <w:rStyle w:val="Hyperlink"/>
            <w:rFonts w:ascii="VIC" w:hAnsi="VIC"/>
          </w:rPr>
          <w:t>https://sciencebasedtargets.org/resources/legacy/2020/09/foundations-for-net-zero-executive-summary.pdf</w:t>
        </w:r>
      </w:hyperlink>
    </w:p>
    <w:p w14:paraId="6202D2F9" w14:textId="0C3F0051" w:rsidR="00AD6786" w:rsidRPr="005E6751" w:rsidRDefault="00AD6786" w:rsidP="005E6751">
      <w:r w:rsidRPr="005E6751">
        <w:rPr>
          <w:b/>
          <w:bCs/>
        </w:rPr>
        <w:t>State Government of Victoria</w:t>
      </w:r>
      <w:r w:rsidR="001C4719">
        <w:t>:</w:t>
      </w:r>
      <w:r w:rsidRPr="005E6751">
        <w:t xml:space="preserve"> Agriculture Victoria. Free, practical tools and resources to inform and educate the agriculture industry about weather and climate patterns, carbon emissions, and energy use on farms. Access online: </w:t>
      </w:r>
      <w:hyperlink r:id="rId140" w:history="1">
        <w:r w:rsidRPr="005E6751">
          <w:rPr>
            <w:rStyle w:val="Hyperlink"/>
            <w:rFonts w:ascii="VIC" w:hAnsi="VIC"/>
          </w:rPr>
          <w:t>https://agriculture.vic.gov.au/climate-and-weather/understanding-carbon-and-emissions</w:t>
        </w:r>
      </w:hyperlink>
    </w:p>
    <w:p w14:paraId="21648F7F" w14:textId="602C33AD" w:rsidR="00AD6786" w:rsidRPr="005E6751" w:rsidRDefault="00AD6786" w:rsidP="005E6751">
      <w:pPr>
        <w:rPr>
          <w:color w:val="0070C0"/>
        </w:rPr>
      </w:pPr>
      <w:r w:rsidRPr="005E6751">
        <w:rPr>
          <w:b/>
          <w:bCs/>
        </w:rPr>
        <w:t>State Government of Victoria</w:t>
      </w:r>
      <w:r w:rsidR="001C4719">
        <w:t>:</w:t>
      </w:r>
      <w:r w:rsidRPr="005E6751">
        <w:t xml:space="preserve"> Agriculture Victoria. </w:t>
      </w:r>
      <w:r w:rsidRPr="005E6751">
        <w:rPr>
          <w:color w:val="000000"/>
          <w:shd w:val="clear" w:color="auto" w:fill="FFFFFF"/>
        </w:rPr>
        <w:t>The Victorian Government has commenced the On-Farm Action Plan Pilot as part of its commitment under the</w:t>
      </w:r>
      <w:r w:rsidRPr="005E6751">
        <w:rPr>
          <w:rFonts w:ascii="Cambria" w:hAnsi="Cambria" w:cs="Cambria"/>
          <w:color w:val="000000"/>
          <w:shd w:val="clear" w:color="auto" w:fill="FFFFFF"/>
        </w:rPr>
        <w:t> </w:t>
      </w:r>
      <w:hyperlink r:id="rId141" w:history="1">
        <w:r w:rsidRPr="005E6751">
          <w:rPr>
            <w:rStyle w:val="Hyperlink"/>
            <w:rFonts w:ascii="VIC" w:hAnsi="VIC"/>
          </w:rPr>
          <w:t>Agriculture Sector Emissions Reduction Pledge</w:t>
        </w:r>
      </w:hyperlink>
      <w:r w:rsidRPr="005E6751">
        <w:rPr>
          <w:rFonts w:ascii="Cambria" w:hAnsi="Cambria" w:cs="Cambria"/>
          <w:color w:val="000000"/>
          <w:shd w:val="clear" w:color="auto" w:fill="FFFFFF"/>
        </w:rPr>
        <w:t> </w:t>
      </w:r>
      <w:r w:rsidRPr="005E6751">
        <w:rPr>
          <w:color w:val="000000"/>
          <w:shd w:val="clear" w:color="auto" w:fill="FFFFFF"/>
        </w:rPr>
        <w:t>to provide practical information, tools and services to support farmers to understand and reduce emissions.</w:t>
      </w:r>
      <w:r w:rsidRPr="005E6751">
        <w:rPr>
          <w:color w:val="0070C0"/>
        </w:rPr>
        <w:t xml:space="preserve"> </w:t>
      </w:r>
      <w:r w:rsidRPr="005E6751">
        <w:t xml:space="preserve">Access online: </w:t>
      </w:r>
      <w:hyperlink r:id="rId142" w:history="1">
        <w:r w:rsidRPr="005E6751">
          <w:rPr>
            <w:rStyle w:val="Hyperlink"/>
            <w:rFonts w:ascii="VIC" w:hAnsi="VIC"/>
          </w:rPr>
          <w:t>https://agriculture.vic.gov.au/climate-and-weather/policy-programs-action/on-farm-action-plan-pilot-program</w:t>
        </w:r>
      </w:hyperlink>
    </w:p>
    <w:p w14:paraId="29E1CA56" w14:textId="1A97F3E6" w:rsidR="00AD6786" w:rsidRPr="005E6751" w:rsidRDefault="00AD6786" w:rsidP="005E6751">
      <w:pPr>
        <w:rPr>
          <w:rStyle w:val="Hyperlink"/>
          <w:rFonts w:ascii="VIC" w:hAnsi="VIC"/>
        </w:rPr>
      </w:pPr>
      <w:r w:rsidRPr="005E6751">
        <w:rPr>
          <w:b/>
          <w:bCs/>
        </w:rPr>
        <w:t>State Government of Victoria</w:t>
      </w:r>
      <w:r w:rsidR="001C4719">
        <w:t>:</w:t>
      </w:r>
      <w:r w:rsidRPr="005E6751">
        <w:rPr>
          <w:b/>
          <w:bCs/>
        </w:rPr>
        <w:t xml:space="preserve"> </w:t>
      </w:r>
      <w:r w:rsidRPr="005E6751">
        <w:t xml:space="preserve">Agriculture Victoria. </w:t>
      </w:r>
      <w:r w:rsidR="001C4719">
        <w:t>‘</w:t>
      </w:r>
      <w:r w:rsidRPr="005E6751">
        <w:t>Making cent$ of carbon and emissions on-farm</w:t>
      </w:r>
      <w:r w:rsidR="001C4719">
        <w:t>’</w:t>
      </w:r>
      <w:r w:rsidRPr="005E6751">
        <w:t xml:space="preserve"> High-level booklet focuses on practical actions that farm businesses can take now to improve their emissions performance. Access online: </w:t>
      </w:r>
      <w:hyperlink r:id="rId143" w:history="1">
        <w:r w:rsidRPr="005E6751">
          <w:rPr>
            <w:rStyle w:val="Hyperlink"/>
            <w:rFonts w:ascii="VIC" w:hAnsi="VIC"/>
          </w:rPr>
          <w:t>https://agriculture.vic.gov.au/climate-and-weather/understanding-carbon-and-emissions/making-cents-of-carbon-and-emissions-on-farm</w:t>
        </w:r>
      </w:hyperlink>
    </w:p>
    <w:p w14:paraId="561C1EDB" w14:textId="1788D406" w:rsidR="00AD6786" w:rsidRPr="005E6751" w:rsidRDefault="00AD6786" w:rsidP="005E6751">
      <w:pPr>
        <w:rPr>
          <w:color w:val="0070C0"/>
        </w:rPr>
      </w:pPr>
      <w:r w:rsidRPr="005E6751">
        <w:rPr>
          <w:b/>
          <w:bCs/>
        </w:rPr>
        <w:t>State Government of Victoria</w:t>
      </w:r>
      <w:r w:rsidR="001C4719">
        <w:t>:</w:t>
      </w:r>
      <w:r w:rsidRPr="005E6751">
        <w:t xml:space="preserve"> Department of Environment, Land, Water and Planning. High level information and a range of links on Victorian Government climate change action and adaptation priorities. Access online: </w:t>
      </w:r>
      <w:hyperlink r:id="rId144" w:history="1">
        <w:r w:rsidRPr="005E6751">
          <w:rPr>
            <w:rStyle w:val="Hyperlink"/>
            <w:rFonts w:ascii="VIC" w:hAnsi="VIC"/>
          </w:rPr>
          <w:t>https://www.climatechange.vic.gov.au/victorian-government-action-on-climate-change</w:t>
        </w:r>
      </w:hyperlink>
    </w:p>
    <w:p w14:paraId="0FD89AB1" w14:textId="67877B83" w:rsidR="00AD6786" w:rsidRPr="005E6751" w:rsidRDefault="00AD6786" w:rsidP="005E6751">
      <w:r w:rsidRPr="005E6751">
        <w:rPr>
          <w:b/>
          <w:bCs/>
        </w:rPr>
        <w:t>State Government of Victoria</w:t>
      </w:r>
      <w:r w:rsidR="001C4719">
        <w:t>:</w:t>
      </w:r>
      <w:r w:rsidRPr="005E6751">
        <w:t xml:space="preserve"> Department of Environment, Land, Water and Planning 2019, </w:t>
      </w:r>
      <w:r w:rsidRPr="005E6751">
        <w:rPr>
          <w:i/>
          <w:iCs/>
        </w:rPr>
        <w:t>Victoria’s Climate Science Report 2019</w:t>
      </w:r>
      <w:r w:rsidRPr="005E6751">
        <w:t xml:space="preserve">. These reports are required every five years. Access online: </w:t>
      </w:r>
      <w:hyperlink r:id="rId145" w:history="1">
        <w:r w:rsidRPr="005E6751">
          <w:rPr>
            <w:rStyle w:val="Hyperlink"/>
            <w:rFonts w:ascii="VIC" w:hAnsi="VIC"/>
          </w:rPr>
          <w:t>https://www.climatechange.vic.gov.au/__data/assets/pdf_file/0029/442964/Victorias-Climate-Science-Report-2019.pdf</w:t>
        </w:r>
      </w:hyperlink>
    </w:p>
    <w:p w14:paraId="03B337B2" w14:textId="6735F11A" w:rsidR="00AD6786" w:rsidRPr="005E6751" w:rsidRDefault="00AD6786" w:rsidP="005E6751">
      <w:pPr>
        <w:rPr>
          <w:rStyle w:val="Hyperlink"/>
          <w:rFonts w:ascii="VIC" w:hAnsi="VIC"/>
        </w:rPr>
      </w:pPr>
      <w:r w:rsidRPr="005E6751">
        <w:rPr>
          <w:b/>
          <w:bCs/>
        </w:rPr>
        <w:t>State Government of Victoria</w:t>
      </w:r>
      <w:r w:rsidR="001C4719">
        <w:t>:</w:t>
      </w:r>
      <w:r w:rsidRPr="005E6751">
        <w:t xml:space="preserve"> Department of Environment, Land, Water and Planning Victoria’s GHG Emissions Report is published annually. Access online: </w:t>
      </w:r>
      <w:hyperlink r:id="rId146" w:history="1">
        <w:r w:rsidRPr="005E6751">
          <w:rPr>
            <w:rStyle w:val="Hyperlink"/>
            <w:rFonts w:ascii="VIC" w:hAnsi="VIC"/>
          </w:rPr>
          <w:t>https://www.climatechange.vic.gov.au/victorias-greenhouse-gas-emissions-and-targets</w:t>
        </w:r>
      </w:hyperlink>
    </w:p>
    <w:p w14:paraId="0D6C4E68" w14:textId="5266FE91" w:rsidR="00AD6786" w:rsidRPr="005E6751" w:rsidRDefault="00AD6786" w:rsidP="005E6751">
      <w:r w:rsidRPr="005E6751">
        <w:rPr>
          <w:b/>
          <w:bCs/>
        </w:rPr>
        <w:t>State Government of Victoria</w:t>
      </w:r>
      <w:r w:rsidR="001C4719">
        <w:t>:</w:t>
      </w:r>
      <w:r w:rsidRPr="005E6751">
        <w:t xml:space="preserve"> Department of Environment, Land, Water and Planning, February 2020, </w:t>
      </w:r>
      <w:r w:rsidRPr="005E6751">
        <w:rPr>
          <w:i/>
          <w:iCs/>
        </w:rPr>
        <w:t>Recycling Victoria</w:t>
      </w:r>
      <w:r w:rsidRPr="005E6751">
        <w:t xml:space="preserve">. Access online: </w:t>
      </w:r>
      <w:hyperlink r:id="rId147" w:history="1">
        <w:r w:rsidRPr="005E6751">
          <w:rPr>
            <w:rStyle w:val="Hyperlink"/>
            <w:rFonts w:ascii="VIC" w:hAnsi="VIC"/>
          </w:rPr>
          <w:t>https://www.vic.gov.au/sites/default/files/2020-02/Recycling%20Victoria%20A%20new%20economy.pdf</w:t>
        </w:r>
      </w:hyperlink>
    </w:p>
    <w:p w14:paraId="0F089BBD" w14:textId="3264230D" w:rsidR="00AD6786" w:rsidRPr="005E6751" w:rsidRDefault="00AD6786" w:rsidP="005E6751">
      <w:pPr>
        <w:rPr>
          <w:b/>
          <w:bCs/>
        </w:rPr>
      </w:pPr>
      <w:r w:rsidRPr="005E6751">
        <w:rPr>
          <w:b/>
          <w:bCs/>
        </w:rPr>
        <w:t>State Government of Victoria</w:t>
      </w:r>
      <w:r w:rsidR="001C4719">
        <w:t>:</w:t>
      </w:r>
      <w:r w:rsidRPr="005E6751">
        <w:t xml:space="preserve"> Department of Environment, Land, Water and Planning, May 2021, </w:t>
      </w:r>
      <w:r w:rsidRPr="005E6751">
        <w:rPr>
          <w:i/>
          <w:iCs/>
        </w:rPr>
        <w:t>Victoria’s Climate Change Strategy</w:t>
      </w:r>
      <w:r w:rsidRPr="005E6751">
        <w:t xml:space="preserve"> includes the state’s emissions reduction targets for 2025 and 2030 and emission reduction pledges for emissions sectors. Access online: </w:t>
      </w:r>
      <w:hyperlink r:id="rId148" w:history="1">
        <w:r w:rsidRPr="005E6751">
          <w:rPr>
            <w:rStyle w:val="Hyperlink"/>
            <w:rFonts w:ascii="VIC" w:hAnsi="VIC"/>
          </w:rPr>
          <w:t>https://www.climatechange.vic.gov.au/victorian-government-action-on-climate-change</w:t>
        </w:r>
      </w:hyperlink>
    </w:p>
    <w:p w14:paraId="584B5EBA" w14:textId="7E1F1522" w:rsidR="00AD6786" w:rsidRPr="005E6751" w:rsidRDefault="00AD6786" w:rsidP="005E6751">
      <w:r w:rsidRPr="005E6751">
        <w:rPr>
          <w:b/>
          <w:bCs/>
        </w:rPr>
        <w:lastRenderedPageBreak/>
        <w:t>State Government of Victoria</w:t>
      </w:r>
      <w:r w:rsidR="001C4719">
        <w:t>:</w:t>
      </w:r>
      <w:r w:rsidRPr="005E6751">
        <w:t xml:space="preserve"> Department of Environment, Land Water and Planning. Victoria’s renewable energy targets. Access online: </w:t>
      </w:r>
      <w:hyperlink r:id="rId149" w:history="1">
        <w:r w:rsidRPr="005E6751">
          <w:rPr>
            <w:rStyle w:val="Hyperlink"/>
            <w:rFonts w:ascii="VIC" w:eastAsia="Calibri" w:hAnsi="VIC"/>
          </w:rPr>
          <w:t>https://www.energy.vic.gov.au/renewable-energy/victorias-renewable-energy-targets</w:t>
        </w:r>
      </w:hyperlink>
    </w:p>
    <w:p w14:paraId="5E7DE0D5" w14:textId="516998DD" w:rsidR="00AD6786" w:rsidRPr="005E6751" w:rsidRDefault="00AD6786" w:rsidP="005E6751">
      <w:r w:rsidRPr="005E6751">
        <w:rPr>
          <w:b/>
          <w:bCs/>
        </w:rPr>
        <w:t>State Government of Victoria</w:t>
      </w:r>
      <w:r w:rsidR="001C4719">
        <w:t>:</w:t>
      </w:r>
      <w:r w:rsidRPr="005E6751">
        <w:t xml:space="preserve"> Department of Environment, Land Water and Planning. Victorian Energy Upgrades (VEU) program. Access online: </w:t>
      </w:r>
      <w:hyperlink r:id="rId150" w:history="1">
        <w:r w:rsidRPr="005E6751">
          <w:rPr>
            <w:rStyle w:val="Hyperlink"/>
            <w:rFonts w:ascii="VIC" w:eastAsia="Calibri" w:hAnsi="VIC"/>
          </w:rPr>
          <w:t>https://www.energy.vic.gov.au/energy-efficiency/victorian-energy-upgrades</w:t>
        </w:r>
      </w:hyperlink>
    </w:p>
    <w:p w14:paraId="1E272E5D" w14:textId="7573A2C5" w:rsidR="00AD6786" w:rsidRPr="005E6751" w:rsidRDefault="00AD6786" w:rsidP="005E6751">
      <w:r w:rsidRPr="005E6751">
        <w:rPr>
          <w:b/>
          <w:bCs/>
        </w:rPr>
        <w:t>State Government of Victoria</w:t>
      </w:r>
      <w:r w:rsidR="001C4719">
        <w:t>:</w:t>
      </w:r>
      <w:r w:rsidRPr="005E6751">
        <w:rPr>
          <w:b/>
          <w:bCs/>
        </w:rPr>
        <w:t xml:space="preserve"> </w:t>
      </w:r>
      <w:r w:rsidRPr="005E6751">
        <w:t xml:space="preserve">Department of Health and the Department of Families, Fairness and Housing 2022. Health and human services climate change adaptation action plan 2022-26. Access online: </w:t>
      </w:r>
      <w:hyperlink r:id="rId151" w:history="1">
        <w:r w:rsidRPr="005E6751">
          <w:rPr>
            <w:rStyle w:val="Hyperlink"/>
            <w:rFonts w:ascii="VIC" w:hAnsi="VIC"/>
          </w:rPr>
          <w:t>https://www.health.vic.gov.au/environmental-health/climate-change-strategy</w:t>
        </w:r>
      </w:hyperlink>
    </w:p>
    <w:p w14:paraId="602A573C" w14:textId="0C940A42" w:rsidR="00AD6786" w:rsidRPr="005E6751" w:rsidRDefault="00AD6786" w:rsidP="005E6751">
      <w:r w:rsidRPr="005E6751">
        <w:rPr>
          <w:b/>
          <w:bCs/>
        </w:rPr>
        <w:t>Sustainable Australia Fund</w:t>
      </w:r>
      <w:r w:rsidR="001C4719">
        <w:t>:</w:t>
      </w:r>
      <w:r w:rsidRPr="005E6751">
        <w:t xml:space="preserve"> is a provider of finance for businesses to upgrade their buildings to achieve savings through energy efficiencies, as well as addressing climate change. Access online: </w:t>
      </w:r>
      <w:hyperlink r:id="rId152" w:history="1">
        <w:r w:rsidRPr="005E6751">
          <w:rPr>
            <w:rStyle w:val="Hyperlink"/>
            <w:rFonts w:ascii="VIC" w:hAnsi="VIC"/>
          </w:rPr>
          <w:t>https://sustainableaustraliafund.com.au/</w:t>
        </w:r>
      </w:hyperlink>
    </w:p>
    <w:p w14:paraId="53619481" w14:textId="3A39C246" w:rsidR="00AD6786" w:rsidRPr="005E6751" w:rsidRDefault="00AD6786" w:rsidP="005E6751">
      <w:r w:rsidRPr="005E6751">
        <w:rPr>
          <w:b/>
          <w:bCs/>
        </w:rPr>
        <w:t>Sustainability Victoria</w:t>
      </w:r>
      <w:r w:rsidR="001C4719">
        <w:t>:</w:t>
      </w:r>
      <w:r w:rsidRPr="005E6751">
        <w:t xml:space="preserve"> Information for business on reducing energy use. Access online: </w:t>
      </w:r>
      <w:hyperlink r:id="rId153" w:history="1">
        <w:r w:rsidRPr="005E6751">
          <w:rPr>
            <w:rStyle w:val="Hyperlink"/>
            <w:rFonts w:ascii="VIC" w:hAnsi="VIC"/>
          </w:rPr>
          <w:t>https://www.sustainability.vic.gov.au/</w:t>
        </w:r>
      </w:hyperlink>
    </w:p>
    <w:p w14:paraId="618AEE6E" w14:textId="0B5709D0" w:rsidR="00AD6786" w:rsidRPr="005E6751" w:rsidRDefault="00AD6786" w:rsidP="005E6751">
      <w:r w:rsidRPr="005E6751">
        <w:rPr>
          <w:b/>
          <w:bCs/>
        </w:rPr>
        <w:t>Task Force on Climate-related Financial Disclosures 2017</w:t>
      </w:r>
      <w:r w:rsidR="001C4719">
        <w:t>:</w:t>
      </w:r>
      <w:r w:rsidRPr="005E6751">
        <w:t xml:space="preserve"> </w:t>
      </w:r>
      <w:r w:rsidRPr="005E6751">
        <w:rPr>
          <w:i/>
          <w:iCs/>
        </w:rPr>
        <w:t>Recommendations of the Task Force on Climate-related Financial Disclosures</w:t>
      </w:r>
      <w:r w:rsidRPr="005E6751">
        <w:t xml:space="preserve">, Access online: </w:t>
      </w:r>
      <w:hyperlink r:id="rId154" w:history="1">
        <w:r w:rsidRPr="005E6751">
          <w:rPr>
            <w:rStyle w:val="Hyperlink"/>
            <w:rFonts w:ascii="VIC" w:hAnsi="VIC"/>
          </w:rPr>
          <w:t>https://assets.bbhub.io/company/sites/60/2020/10/FINAL-2017-TCFD-Report-11052018.pdf</w:t>
        </w:r>
      </w:hyperlink>
    </w:p>
    <w:p w14:paraId="29E9DC70" w14:textId="3CE5C468" w:rsidR="00AD6786" w:rsidRPr="005E6751" w:rsidRDefault="00AD6786" w:rsidP="005E6751">
      <w:pPr>
        <w:rPr>
          <w:b/>
          <w:bCs/>
        </w:rPr>
      </w:pPr>
      <w:r w:rsidRPr="005E6751">
        <w:rPr>
          <w:b/>
          <w:bCs/>
        </w:rPr>
        <w:t>United Nations</w:t>
      </w:r>
      <w:r w:rsidR="001C4719">
        <w:t>:</w:t>
      </w:r>
      <w:r w:rsidRPr="005E6751">
        <w:rPr>
          <w:b/>
          <w:bCs/>
        </w:rPr>
        <w:t xml:space="preserve"> </w:t>
      </w:r>
      <w:r w:rsidRPr="005E6751">
        <w:t xml:space="preserve">2015 Paris Agreement. Access online: </w:t>
      </w:r>
      <w:hyperlink r:id="rId155" w:history="1">
        <w:r w:rsidRPr="005E6751">
          <w:rPr>
            <w:rStyle w:val="Hyperlink"/>
            <w:rFonts w:ascii="VIC" w:hAnsi="VIC"/>
          </w:rPr>
          <w:t>https://unfccc.int/sites/default/files/english_paris_agreement.pdf</w:t>
        </w:r>
      </w:hyperlink>
      <w:r w:rsidRPr="005E6751">
        <w:rPr>
          <w:color w:val="0070C0"/>
        </w:rPr>
        <w:t xml:space="preserve"> </w:t>
      </w:r>
    </w:p>
    <w:p w14:paraId="0BBA6C70" w14:textId="5EC091AB" w:rsidR="00AD6786" w:rsidRPr="005E6751" w:rsidRDefault="00AD6786" w:rsidP="005E6751">
      <w:r w:rsidRPr="005E6751">
        <w:rPr>
          <w:b/>
          <w:bCs/>
        </w:rPr>
        <w:t>United States Environment Protection Agency</w:t>
      </w:r>
      <w:r w:rsidR="001C4719">
        <w:t>:</w:t>
      </w:r>
      <w:r w:rsidR="001C4719" w:rsidRPr="005E6751">
        <w:t xml:space="preserve"> </w:t>
      </w:r>
      <w:r w:rsidRPr="005E6751">
        <w:t xml:space="preserve">Understanding Global Warming Potentials. Access online: </w:t>
      </w:r>
      <w:hyperlink r:id="rId156" w:history="1">
        <w:r w:rsidRPr="005E6751">
          <w:rPr>
            <w:rStyle w:val="Hyperlink"/>
            <w:rFonts w:ascii="VIC" w:hAnsi="VIC"/>
          </w:rPr>
          <w:t>https://www.epa.gov/ghgemissions/understanding-global-warming-potentials</w:t>
        </w:r>
      </w:hyperlink>
      <w:r w:rsidRPr="005E6751">
        <w:rPr>
          <w:color w:val="0070C0"/>
        </w:rPr>
        <w:t xml:space="preserve"> </w:t>
      </w:r>
    </w:p>
    <w:p w14:paraId="09DEBD90" w14:textId="315C519F" w:rsidR="00AD6786" w:rsidRPr="005E6751" w:rsidRDefault="00AD6786" w:rsidP="005E6751">
      <w:r w:rsidRPr="005E6751">
        <w:rPr>
          <w:b/>
          <w:bCs/>
        </w:rPr>
        <w:t>Victorian Managed Insurance Authority 2021</w:t>
      </w:r>
      <w:r w:rsidR="009A7E63">
        <w:t>:</w:t>
      </w:r>
      <w:r w:rsidRPr="005E6751">
        <w:rPr>
          <w:i/>
          <w:iCs/>
        </w:rPr>
        <w:t xml:space="preserve"> </w:t>
      </w:r>
      <w:r w:rsidRPr="009A7E63">
        <w:t>Climate Risk Management Service</w:t>
      </w:r>
      <w:r w:rsidRPr="005E6751">
        <w:t xml:space="preserve">, Access online: </w:t>
      </w:r>
      <w:hyperlink r:id="rId157" w:history="1">
        <w:r w:rsidRPr="005E6751">
          <w:rPr>
            <w:rStyle w:val="Hyperlink"/>
            <w:rFonts w:ascii="VIC" w:hAnsi="VIC"/>
          </w:rPr>
          <w:t>https://www.vmia.vic.gov.au/tools-and-insights/climate-change</w:t>
        </w:r>
      </w:hyperlink>
      <w:r w:rsidRPr="005E6751">
        <w:t xml:space="preserve"> </w:t>
      </w:r>
    </w:p>
    <w:p w14:paraId="411AEB9E" w14:textId="5718C5E5" w:rsidR="00AD6786" w:rsidRPr="005E6751" w:rsidRDefault="00AD6786" w:rsidP="005E6751">
      <w:pPr>
        <w:rPr>
          <w:b/>
          <w:bCs/>
        </w:rPr>
      </w:pPr>
      <w:r w:rsidRPr="005E6751">
        <w:rPr>
          <w:b/>
          <w:bCs/>
        </w:rPr>
        <w:t>We mean business coalition</w:t>
      </w:r>
      <w:r w:rsidR="001C4719">
        <w:t>:</w:t>
      </w:r>
      <w:r w:rsidRPr="005E6751">
        <w:t xml:space="preserve"> A global not-for-profit coalition working with the world’s most influential businesses to </w:t>
      </w:r>
      <w:proofErr w:type="gramStart"/>
      <w:r w:rsidRPr="005E6751">
        <w:t>take action</w:t>
      </w:r>
      <w:proofErr w:type="gramEnd"/>
      <w:r w:rsidRPr="005E6751">
        <w:t xml:space="preserve"> on climate change. Access online: </w:t>
      </w:r>
      <w:hyperlink r:id="rId158" w:history="1">
        <w:r w:rsidRPr="005E6751">
          <w:rPr>
            <w:rStyle w:val="Hyperlink"/>
            <w:rFonts w:ascii="VIC" w:hAnsi="VIC"/>
          </w:rPr>
          <w:t>https://www.wemeanbusinesscoalition.org/</w:t>
        </w:r>
      </w:hyperlink>
    </w:p>
    <w:p w14:paraId="40CDEFFA" w14:textId="651E7CC0" w:rsidR="00AD6786" w:rsidRPr="005E6751" w:rsidRDefault="00AD6786" w:rsidP="005E6751">
      <w:pPr>
        <w:rPr>
          <w:rStyle w:val="Hyperlink"/>
          <w:rFonts w:ascii="VIC" w:hAnsi="VIC"/>
        </w:rPr>
      </w:pPr>
      <w:r w:rsidRPr="005E6751">
        <w:rPr>
          <w:b/>
          <w:bCs/>
        </w:rPr>
        <w:t>World Resources Institute and World Business Council for Sustainable Development</w:t>
      </w:r>
      <w:r w:rsidR="001C4719">
        <w:t>:</w:t>
      </w:r>
      <w:r w:rsidRPr="005E6751">
        <w:t xml:space="preserve"> Greenhouse Gas Protocol, 2004, Corporate Accounting and Reporting Standard Revised Edition Access online: </w:t>
      </w:r>
      <w:hyperlink r:id="rId159" w:history="1">
        <w:r w:rsidRPr="005E6751">
          <w:rPr>
            <w:rStyle w:val="Hyperlink"/>
            <w:rFonts w:ascii="VIC" w:hAnsi="VIC"/>
          </w:rPr>
          <w:t>https://ghgprotocol.org/corporate-standard</w:t>
        </w:r>
      </w:hyperlink>
    </w:p>
    <w:p w14:paraId="377C3305" w14:textId="2DD98FC5" w:rsidR="00AD6786" w:rsidRPr="005E6751" w:rsidRDefault="00AD6786" w:rsidP="005E6751">
      <w:pPr>
        <w:rPr>
          <w:rStyle w:val="Hyperlink"/>
          <w:rFonts w:ascii="VIC" w:hAnsi="VIC"/>
        </w:rPr>
      </w:pPr>
      <w:r w:rsidRPr="005E6751">
        <w:rPr>
          <w:b/>
          <w:bCs/>
        </w:rPr>
        <w:t>World Resources Institute and World Business Council for Sustainable Development</w:t>
      </w:r>
      <w:r w:rsidR="001C4719">
        <w:t>:</w:t>
      </w:r>
      <w:r w:rsidRPr="005E6751">
        <w:rPr>
          <w:b/>
          <w:bCs/>
        </w:rPr>
        <w:t xml:space="preserve"> </w:t>
      </w:r>
      <w:r w:rsidRPr="005E6751">
        <w:t xml:space="preserve">Greenhouse Gas Protocol, 2013, </w:t>
      </w:r>
      <w:r w:rsidRPr="005E6751">
        <w:rPr>
          <w:i/>
          <w:iCs/>
        </w:rPr>
        <w:t>Required Greenhouse Gases in Inventories, Accounting and Reporting Standard Amendment</w:t>
      </w:r>
      <w:r w:rsidRPr="005E6751">
        <w:t xml:space="preserve">. Access online: </w:t>
      </w:r>
      <w:hyperlink r:id="rId160" w:history="1">
        <w:r w:rsidRPr="005E6751">
          <w:rPr>
            <w:rStyle w:val="Hyperlink"/>
            <w:rFonts w:ascii="VIC" w:hAnsi="VIC"/>
          </w:rPr>
          <w:t>https://ghgprotocol.org/sites/default/files/standards_supporting/Required%20gases%20and%20GWP%20values_1.pdf</w:t>
        </w:r>
      </w:hyperlink>
    </w:p>
    <w:p w14:paraId="32BE218E" w14:textId="0F9E9F81" w:rsidR="00AD6786" w:rsidRPr="005E6751" w:rsidRDefault="00AD6786" w:rsidP="005E6751">
      <w:pPr>
        <w:rPr>
          <w:rStyle w:val="Hyperlink"/>
          <w:rFonts w:ascii="VIC" w:hAnsi="VIC"/>
        </w:rPr>
      </w:pPr>
      <w:r w:rsidRPr="005E6751">
        <w:rPr>
          <w:b/>
          <w:bCs/>
        </w:rPr>
        <w:t>World Resources Institute and World Business Council for Sustainable Development</w:t>
      </w:r>
      <w:r w:rsidR="001C4719">
        <w:t>:</w:t>
      </w:r>
      <w:r w:rsidRPr="005E6751">
        <w:rPr>
          <w:b/>
          <w:bCs/>
        </w:rPr>
        <w:t xml:space="preserve"> </w:t>
      </w:r>
      <w:r w:rsidRPr="005E6751">
        <w:t xml:space="preserve">GHG Protocol </w:t>
      </w:r>
      <w:r w:rsidRPr="005E6751">
        <w:rPr>
          <w:i/>
          <w:iCs/>
        </w:rPr>
        <w:t>Corporate Value Chain (</w:t>
      </w:r>
      <w:r w:rsidR="007D792C">
        <w:rPr>
          <w:i/>
          <w:iCs/>
        </w:rPr>
        <w:t>Scope 3</w:t>
      </w:r>
      <w:r w:rsidRPr="005E6751">
        <w:rPr>
          <w:i/>
          <w:iCs/>
        </w:rPr>
        <w:t>) Accounting and Reporting Standard</w:t>
      </w:r>
      <w:r w:rsidRPr="005E6751">
        <w:t xml:space="preserve"> (referred to as the ‘</w:t>
      </w:r>
      <w:r w:rsidR="007D792C">
        <w:t>Scope 3</w:t>
      </w:r>
      <w:r w:rsidRPr="005E6751">
        <w:t xml:space="preserve"> Standard’), 2011, offers an internationally accepted method to enable GHG management of companies’ value chains and is a supplement to the GHG Protocol Corporate Accounting and Reporting Standard, Revised Edition (2004). Access online: </w:t>
      </w:r>
      <w:hyperlink r:id="rId161" w:history="1">
        <w:r w:rsidRPr="005E6751">
          <w:rPr>
            <w:rStyle w:val="Hyperlink"/>
            <w:rFonts w:ascii="VIC" w:hAnsi="VIC"/>
          </w:rPr>
          <w:t>https://ghgprotocol.org/sites/default/files/standards/Corporate-Value-Chain-Accounting-Reporing-Standard_041613_2.pdf</w:t>
        </w:r>
      </w:hyperlink>
    </w:p>
    <w:p w14:paraId="37FF5B5F" w14:textId="13A17DFD" w:rsidR="00927E13" w:rsidRDefault="00AD6786" w:rsidP="00B90327">
      <w:r w:rsidRPr="005E6751">
        <w:rPr>
          <w:b/>
          <w:bCs/>
        </w:rPr>
        <w:t>World Resources Institute and World Business Council for Sustainable Development</w:t>
      </w:r>
      <w:r w:rsidR="001C4719">
        <w:t>:</w:t>
      </w:r>
      <w:r w:rsidRPr="005E6751">
        <w:rPr>
          <w:b/>
          <w:bCs/>
        </w:rPr>
        <w:t xml:space="preserve"> </w:t>
      </w:r>
      <w:r w:rsidRPr="005E6751">
        <w:rPr>
          <w:i/>
          <w:iCs/>
        </w:rPr>
        <w:t xml:space="preserve">Technical Guidance for Calculating </w:t>
      </w:r>
      <w:r w:rsidR="007D792C">
        <w:rPr>
          <w:i/>
          <w:iCs/>
        </w:rPr>
        <w:t>Scope 3</w:t>
      </w:r>
      <w:r w:rsidRPr="005E6751">
        <w:rPr>
          <w:i/>
          <w:iCs/>
        </w:rPr>
        <w:t xml:space="preserve"> Emissions</w:t>
      </w:r>
      <w:r w:rsidRPr="005E6751">
        <w:t xml:space="preserve">, 2013, serves as a companion to the </w:t>
      </w:r>
      <w:r w:rsidR="007D792C">
        <w:t>Scope 3</w:t>
      </w:r>
      <w:r w:rsidRPr="005E6751">
        <w:t xml:space="preserve"> Standard to offer companies practical guidance on calculating their </w:t>
      </w:r>
      <w:r w:rsidR="007D792C">
        <w:t>Scope 3</w:t>
      </w:r>
      <w:r w:rsidRPr="005E6751">
        <w:t xml:space="preserve"> emissions, Access online: </w:t>
      </w:r>
      <w:hyperlink r:id="rId162" w:history="1">
        <w:r w:rsidRPr="005E6751">
          <w:rPr>
            <w:rStyle w:val="Hyperlink"/>
            <w:rFonts w:ascii="VIC" w:hAnsi="VIC"/>
          </w:rPr>
          <w:t>https://ghgprotocol.org/sites/default/files/standards_supporting/Intro_GHGP_Tech.pdf</w:t>
        </w:r>
      </w:hyperlink>
      <w:r w:rsidR="005548C4">
        <w:br w:type="page"/>
      </w:r>
    </w:p>
    <w:p w14:paraId="1CAE638C" w14:textId="77777777" w:rsidR="007A20FE" w:rsidRPr="00C0542F" w:rsidRDefault="00927E13" w:rsidP="00C91894">
      <w:pPr>
        <w:pStyle w:val="Heading1"/>
        <w:rPr>
          <w:b/>
          <w:bCs/>
        </w:rPr>
      </w:pPr>
      <w:bookmarkStart w:id="299" w:name="_bookmark39"/>
      <w:bookmarkStart w:id="300" w:name="_Toc114045824"/>
      <w:bookmarkStart w:id="301" w:name="_Toc114566230"/>
      <w:bookmarkEnd w:id="299"/>
      <w:r w:rsidRPr="00C0542F">
        <w:rPr>
          <w:b/>
          <w:bCs/>
        </w:rPr>
        <w:lastRenderedPageBreak/>
        <w:t xml:space="preserve">Appendix A – </w:t>
      </w:r>
      <w:bookmarkStart w:id="302" w:name="_Ref88050304"/>
      <w:bookmarkStart w:id="303" w:name="_Toc85802378"/>
      <w:bookmarkStart w:id="304" w:name="_Toc87612609"/>
      <w:bookmarkStart w:id="305" w:name="_Toc112341049"/>
      <w:r w:rsidR="007A20FE" w:rsidRPr="00C0542F">
        <w:rPr>
          <w:b/>
          <w:bCs/>
        </w:rPr>
        <w:t>Greenhouse gas substances</w:t>
      </w:r>
      <w:bookmarkEnd w:id="300"/>
      <w:bookmarkEnd w:id="301"/>
      <w:bookmarkEnd w:id="302"/>
      <w:bookmarkEnd w:id="303"/>
      <w:bookmarkEnd w:id="304"/>
      <w:bookmarkEnd w:id="305"/>
    </w:p>
    <w:p w14:paraId="6EB7C17A" w14:textId="77777777" w:rsidR="00543557" w:rsidRDefault="00543557" w:rsidP="00543557">
      <w:pPr>
        <w:pStyle w:val="BodyText"/>
      </w:pPr>
      <w:r>
        <w:t>Greenhouse gas substances are carbon dioxide, methane, nitrous oxide, sulfur hexafluoride and a hydrofluorocarbon (</w:t>
      </w:r>
      <w:r>
        <w:fldChar w:fldCharType="begin"/>
      </w:r>
      <w:r>
        <w:instrText xml:space="preserve"> REF TableA1 \h </w:instrText>
      </w:r>
      <w:r>
        <w:fldChar w:fldCharType="separate"/>
      </w:r>
      <w:r>
        <w:t>Table</w:t>
      </w:r>
      <w:r>
        <w:rPr>
          <w:rFonts w:ascii="Cambria" w:hAnsi="Cambria" w:cs="Cambria"/>
        </w:rPr>
        <w:t> </w:t>
      </w:r>
      <w:r>
        <w:rPr>
          <w:noProof/>
        </w:rPr>
        <w:t>A</w:t>
      </w:r>
      <w:r>
        <w:t>.</w:t>
      </w:r>
      <w:r>
        <w:rPr>
          <w:noProof/>
        </w:rPr>
        <w:t>1</w:t>
      </w:r>
      <w:r>
        <w:fldChar w:fldCharType="end"/>
      </w:r>
      <w:r>
        <w:t xml:space="preserve"> below) or a perfluorocarbon (</w:t>
      </w:r>
      <w:r>
        <w:fldChar w:fldCharType="begin"/>
      </w:r>
      <w:r>
        <w:instrText xml:space="preserve"> REF TableA2 \h </w:instrText>
      </w:r>
      <w:r>
        <w:fldChar w:fldCharType="separate"/>
      </w:r>
      <w:r>
        <w:t>Table</w:t>
      </w:r>
      <w:r>
        <w:rPr>
          <w:rFonts w:ascii="Cambria" w:hAnsi="Cambria" w:cs="Cambria"/>
        </w:rPr>
        <w:t> </w:t>
      </w:r>
      <w:r>
        <w:rPr>
          <w:noProof/>
        </w:rPr>
        <w:t>A</w:t>
      </w:r>
      <w:r>
        <w:t>.</w:t>
      </w:r>
      <w:r>
        <w:rPr>
          <w:noProof/>
        </w:rPr>
        <w:t>2</w:t>
      </w:r>
      <w:r>
        <w:fldChar w:fldCharType="end"/>
      </w:r>
      <w:r>
        <w:t xml:space="preserve"> below) specified in the </w:t>
      </w:r>
      <w:r>
        <w:rPr>
          <w:i/>
          <w:iCs/>
        </w:rPr>
        <w:t>National Greenhouse and Energy Reporting Act 2007</w:t>
      </w:r>
      <w:r>
        <w:t>.</w:t>
      </w:r>
    </w:p>
    <w:p w14:paraId="1A866A8C" w14:textId="5D6C606E" w:rsidR="00543557" w:rsidRPr="00EF2AB1" w:rsidRDefault="00543557" w:rsidP="00EF2AB1">
      <w:pPr>
        <w:pStyle w:val="TableCaption"/>
        <w:rPr>
          <w:rFonts w:ascii="VIC" w:hAnsi="VIC"/>
          <w:color w:val="005FB4"/>
        </w:rPr>
      </w:pPr>
      <w:bookmarkStart w:id="306" w:name="TableA1"/>
      <w:r w:rsidRPr="00EF2AB1">
        <w:rPr>
          <w:rFonts w:ascii="VIC" w:hAnsi="VIC"/>
          <w:color w:val="005FB4"/>
        </w:rPr>
        <w:t>Table</w:t>
      </w:r>
      <w:r w:rsidRPr="00EF2AB1">
        <w:rPr>
          <w:rFonts w:ascii="Cambria" w:hAnsi="Cambria" w:cs="Cambria"/>
          <w:color w:val="005FB4"/>
        </w:rPr>
        <w:t> </w:t>
      </w:r>
      <w:r w:rsidRPr="00EF2AB1">
        <w:rPr>
          <w:rFonts w:ascii="VIC" w:hAnsi="VIC"/>
          <w:color w:val="005FB4"/>
        </w:rPr>
        <w:fldChar w:fldCharType="begin"/>
      </w:r>
      <w:r w:rsidRPr="00EF2AB1">
        <w:rPr>
          <w:rFonts w:ascii="VIC" w:hAnsi="VIC"/>
          <w:color w:val="005FB4"/>
        </w:rPr>
        <w:instrText>STYLEREF  "Appendix H1" \s</w:instrText>
      </w:r>
      <w:r w:rsidRPr="00EF2AB1">
        <w:rPr>
          <w:rFonts w:ascii="VIC" w:hAnsi="VIC"/>
          <w:color w:val="005FB4"/>
        </w:rPr>
        <w:fldChar w:fldCharType="separate"/>
      </w:r>
      <w:r w:rsidRPr="00EF2AB1">
        <w:rPr>
          <w:rFonts w:ascii="VIC" w:hAnsi="VIC"/>
          <w:noProof/>
          <w:color w:val="005FB4"/>
        </w:rPr>
        <w:t>A</w:t>
      </w:r>
      <w:r w:rsidRPr="00EF2AB1">
        <w:rPr>
          <w:rFonts w:ascii="VIC" w:hAnsi="VIC"/>
          <w:color w:val="005FB4"/>
        </w:rPr>
        <w:fldChar w:fldCharType="end"/>
      </w:r>
      <w:r w:rsidRPr="00EF2AB1">
        <w:rPr>
          <w:rFonts w:ascii="VIC" w:hAnsi="VIC"/>
          <w:color w:val="005FB4"/>
        </w:rPr>
        <w:t>.</w:t>
      </w:r>
      <w:r w:rsidRPr="00EF2AB1">
        <w:rPr>
          <w:rFonts w:ascii="VIC" w:hAnsi="VIC"/>
          <w:color w:val="005FB4"/>
        </w:rPr>
        <w:fldChar w:fldCharType="begin"/>
      </w:r>
      <w:r w:rsidRPr="00EF2AB1">
        <w:rPr>
          <w:rFonts w:ascii="VIC" w:hAnsi="VIC"/>
          <w:color w:val="005FB4"/>
        </w:rPr>
        <w:instrText>SEQ AppTable \* ARABIC  \s 8</w:instrText>
      </w:r>
      <w:r w:rsidRPr="00EF2AB1">
        <w:rPr>
          <w:rFonts w:ascii="VIC" w:hAnsi="VIC"/>
          <w:color w:val="005FB4"/>
        </w:rPr>
        <w:fldChar w:fldCharType="separate"/>
      </w:r>
      <w:r w:rsidRPr="00EF2AB1">
        <w:rPr>
          <w:rFonts w:ascii="VIC" w:hAnsi="VIC"/>
          <w:noProof/>
          <w:color w:val="005FB4"/>
        </w:rPr>
        <w:t>1</w:t>
      </w:r>
      <w:r w:rsidRPr="00EF2AB1">
        <w:rPr>
          <w:rFonts w:ascii="VIC" w:hAnsi="VIC"/>
          <w:color w:val="005FB4"/>
        </w:rPr>
        <w:fldChar w:fldCharType="end"/>
      </w:r>
      <w:bookmarkEnd w:id="306"/>
      <w:r w:rsidRPr="00EF2AB1">
        <w:rPr>
          <w:rFonts w:ascii="VIC" w:hAnsi="VIC"/>
          <w:color w:val="005FB4"/>
        </w:rPr>
        <w:t xml:space="preserve">: Hydrofluorocarbon greenhouse gases specified in the </w:t>
      </w:r>
      <w:r w:rsidRPr="00EF2AB1">
        <w:rPr>
          <w:rFonts w:ascii="VIC" w:hAnsi="VIC"/>
          <w:i/>
          <w:iCs/>
          <w:color w:val="005FB4"/>
        </w:rPr>
        <w:t>National Greenhouse and Energy Reporting Act 2007</w:t>
      </w:r>
    </w:p>
    <w:tbl>
      <w:tblPr>
        <w:tblStyle w:val="EPATable"/>
        <w:tblW w:w="5000" w:type="pct"/>
        <w:tblLook w:val="0620" w:firstRow="1" w:lastRow="0" w:firstColumn="0" w:lastColumn="0" w:noHBand="1" w:noVBand="1"/>
        <w:tblCaption w:val="Table A1 Hydroflurocarbon greenhouse gases specified in the National Greenhouse and Energy Reporting Act 2007"/>
        <w:tblDescription w:val="The table lists the hydrofluorocarbons and the chemical formulas specified in the National Greenhouse and Energy Reporting Act 2007."/>
      </w:tblPr>
      <w:tblGrid>
        <w:gridCol w:w="1197"/>
        <w:gridCol w:w="5237"/>
        <w:gridCol w:w="3739"/>
      </w:tblGrid>
      <w:tr w:rsidR="00F06D42" w:rsidRPr="00F06D42" w14:paraId="2157193A" w14:textId="77777777" w:rsidTr="00F06D42">
        <w:trPr>
          <w:cnfStyle w:val="100000000000" w:firstRow="1" w:lastRow="0" w:firstColumn="0" w:lastColumn="0" w:oddVBand="0" w:evenVBand="0" w:oddHBand="0" w:evenHBand="0" w:firstRowFirstColumn="0" w:firstRowLastColumn="0" w:lastRowFirstColumn="0" w:lastRowLastColumn="0"/>
          <w:tblHeader/>
        </w:trPr>
        <w:tc>
          <w:tcPr>
            <w:tcW w:w="1134" w:type="dxa"/>
            <w:tcBorders>
              <w:top w:val="single" w:sz="8" w:space="0" w:color="4472C4" w:themeColor="accent1"/>
              <w:left w:val="nil"/>
              <w:bottom w:val="single" w:sz="8" w:space="0" w:color="4472C4" w:themeColor="accent1"/>
              <w:right w:val="nil"/>
            </w:tcBorders>
            <w:shd w:val="clear" w:color="auto" w:fill="auto"/>
            <w:hideMark/>
          </w:tcPr>
          <w:p w14:paraId="31B22ED6" w14:textId="77777777" w:rsidR="00543557" w:rsidRPr="00E669C5" w:rsidRDefault="00543557">
            <w:pPr>
              <w:pStyle w:val="TableHeading"/>
              <w:rPr>
                <w:rFonts w:ascii="VIC" w:hAnsi="VIC"/>
                <w:color w:val="005FB4"/>
                <w:sz w:val="20"/>
                <w:szCs w:val="20"/>
              </w:rPr>
            </w:pPr>
            <w:bookmarkStart w:id="307" w:name="_Hlk105495511"/>
            <w:r w:rsidRPr="00E669C5">
              <w:rPr>
                <w:rFonts w:ascii="VIC" w:hAnsi="VIC"/>
                <w:color w:val="005FB4"/>
                <w:sz w:val="20"/>
                <w:szCs w:val="20"/>
              </w:rPr>
              <w:t>Item</w:t>
            </w:r>
          </w:p>
        </w:tc>
        <w:tc>
          <w:tcPr>
            <w:tcW w:w="4962" w:type="dxa"/>
            <w:tcBorders>
              <w:top w:val="single" w:sz="8" w:space="0" w:color="4472C4" w:themeColor="accent1"/>
              <w:left w:val="nil"/>
              <w:bottom w:val="single" w:sz="8" w:space="0" w:color="4472C4" w:themeColor="accent1"/>
              <w:right w:val="nil"/>
            </w:tcBorders>
            <w:shd w:val="clear" w:color="auto" w:fill="auto"/>
            <w:hideMark/>
          </w:tcPr>
          <w:p w14:paraId="1BBBA781"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Hydrofluorocarbon</w:t>
            </w:r>
          </w:p>
        </w:tc>
        <w:tc>
          <w:tcPr>
            <w:tcW w:w="3542" w:type="dxa"/>
            <w:tcBorders>
              <w:top w:val="single" w:sz="8" w:space="0" w:color="4472C4" w:themeColor="accent1"/>
              <w:left w:val="nil"/>
              <w:bottom w:val="single" w:sz="8" w:space="0" w:color="4472C4" w:themeColor="accent1"/>
              <w:right w:val="nil"/>
            </w:tcBorders>
            <w:shd w:val="clear" w:color="auto" w:fill="auto"/>
            <w:hideMark/>
          </w:tcPr>
          <w:p w14:paraId="0915B896"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Chemical formula</w:t>
            </w:r>
          </w:p>
        </w:tc>
      </w:tr>
      <w:tr w:rsidR="00543557" w14:paraId="7E3F2BFF" w14:textId="77777777">
        <w:tc>
          <w:tcPr>
            <w:tcW w:w="1134" w:type="dxa"/>
            <w:tcBorders>
              <w:top w:val="single" w:sz="8" w:space="0" w:color="4472C4" w:themeColor="accent1"/>
              <w:left w:val="nil"/>
              <w:bottom w:val="single" w:sz="8" w:space="0" w:color="4472C4" w:themeColor="accent1"/>
              <w:right w:val="nil"/>
            </w:tcBorders>
            <w:hideMark/>
          </w:tcPr>
          <w:p w14:paraId="256F8B8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w:t>
            </w:r>
          </w:p>
        </w:tc>
        <w:tc>
          <w:tcPr>
            <w:tcW w:w="4962" w:type="dxa"/>
            <w:tcBorders>
              <w:top w:val="single" w:sz="8" w:space="0" w:color="4472C4" w:themeColor="accent1"/>
              <w:left w:val="nil"/>
              <w:bottom w:val="single" w:sz="8" w:space="0" w:color="4472C4" w:themeColor="accent1"/>
              <w:right w:val="nil"/>
            </w:tcBorders>
            <w:hideMark/>
          </w:tcPr>
          <w:p w14:paraId="4348A27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23</w:t>
            </w:r>
          </w:p>
        </w:tc>
        <w:tc>
          <w:tcPr>
            <w:tcW w:w="3542" w:type="dxa"/>
            <w:tcBorders>
              <w:top w:val="single" w:sz="8" w:space="0" w:color="4472C4" w:themeColor="accent1"/>
              <w:left w:val="nil"/>
              <w:bottom w:val="single" w:sz="8" w:space="0" w:color="4472C4" w:themeColor="accent1"/>
              <w:right w:val="nil"/>
            </w:tcBorders>
            <w:hideMark/>
          </w:tcPr>
          <w:p w14:paraId="548E9D8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CHF</w:t>
            </w:r>
            <w:r w:rsidRPr="00E669C5">
              <w:rPr>
                <w:rFonts w:ascii="VIC" w:hAnsi="VIC"/>
                <w:sz w:val="20"/>
                <w:szCs w:val="20"/>
                <w:vertAlign w:val="subscript"/>
              </w:rPr>
              <w:t>3</w:t>
            </w:r>
          </w:p>
        </w:tc>
      </w:tr>
      <w:tr w:rsidR="00543557" w14:paraId="518FE17A" w14:textId="77777777">
        <w:tc>
          <w:tcPr>
            <w:tcW w:w="1134" w:type="dxa"/>
            <w:tcBorders>
              <w:top w:val="single" w:sz="8" w:space="0" w:color="4472C4" w:themeColor="accent1"/>
              <w:left w:val="nil"/>
              <w:bottom w:val="single" w:sz="8" w:space="0" w:color="4472C4" w:themeColor="accent1"/>
              <w:right w:val="nil"/>
            </w:tcBorders>
            <w:hideMark/>
          </w:tcPr>
          <w:p w14:paraId="5887C68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2</w:t>
            </w:r>
          </w:p>
        </w:tc>
        <w:tc>
          <w:tcPr>
            <w:tcW w:w="4962" w:type="dxa"/>
            <w:tcBorders>
              <w:top w:val="single" w:sz="8" w:space="0" w:color="4472C4" w:themeColor="accent1"/>
              <w:left w:val="nil"/>
              <w:bottom w:val="single" w:sz="8" w:space="0" w:color="4472C4" w:themeColor="accent1"/>
              <w:right w:val="nil"/>
            </w:tcBorders>
            <w:hideMark/>
          </w:tcPr>
          <w:p w14:paraId="6BD9053B"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32</w:t>
            </w:r>
          </w:p>
        </w:tc>
        <w:tc>
          <w:tcPr>
            <w:tcW w:w="3542" w:type="dxa"/>
            <w:tcBorders>
              <w:top w:val="single" w:sz="8" w:space="0" w:color="4472C4" w:themeColor="accent1"/>
              <w:left w:val="nil"/>
              <w:bottom w:val="single" w:sz="8" w:space="0" w:color="4472C4" w:themeColor="accent1"/>
              <w:right w:val="nil"/>
            </w:tcBorders>
            <w:hideMark/>
          </w:tcPr>
          <w:p w14:paraId="7FAAABDB"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2</w:t>
            </w:r>
          </w:p>
        </w:tc>
      </w:tr>
      <w:tr w:rsidR="00543557" w14:paraId="1DB703D4" w14:textId="77777777">
        <w:tc>
          <w:tcPr>
            <w:tcW w:w="1134" w:type="dxa"/>
            <w:tcBorders>
              <w:top w:val="single" w:sz="8" w:space="0" w:color="4472C4" w:themeColor="accent1"/>
              <w:left w:val="nil"/>
              <w:bottom w:val="single" w:sz="8" w:space="0" w:color="4472C4" w:themeColor="accent1"/>
              <w:right w:val="nil"/>
            </w:tcBorders>
            <w:hideMark/>
          </w:tcPr>
          <w:p w14:paraId="17C9D4F9" w14:textId="77777777" w:rsidR="00543557" w:rsidRPr="00E669C5" w:rsidRDefault="00543557">
            <w:pPr>
              <w:pStyle w:val="TableText"/>
              <w:spacing w:before="30" w:after="30"/>
              <w:rPr>
                <w:rFonts w:ascii="VIC" w:hAnsi="VIC"/>
                <w:sz w:val="20"/>
                <w:szCs w:val="20"/>
              </w:rPr>
            </w:pPr>
            <w:r w:rsidRPr="00E669C5">
              <w:rPr>
                <w:rFonts w:ascii="VIC" w:hAnsi="VIC"/>
                <w:sz w:val="20"/>
                <w:szCs w:val="20"/>
              </w:rPr>
              <w:t>3</w:t>
            </w:r>
          </w:p>
        </w:tc>
        <w:tc>
          <w:tcPr>
            <w:tcW w:w="4962" w:type="dxa"/>
            <w:tcBorders>
              <w:top w:val="single" w:sz="8" w:space="0" w:color="4472C4" w:themeColor="accent1"/>
              <w:left w:val="nil"/>
              <w:bottom w:val="single" w:sz="8" w:space="0" w:color="4472C4" w:themeColor="accent1"/>
              <w:right w:val="nil"/>
            </w:tcBorders>
            <w:hideMark/>
          </w:tcPr>
          <w:p w14:paraId="34FC0B2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41</w:t>
            </w:r>
          </w:p>
        </w:tc>
        <w:tc>
          <w:tcPr>
            <w:tcW w:w="3542" w:type="dxa"/>
            <w:tcBorders>
              <w:top w:val="single" w:sz="8" w:space="0" w:color="4472C4" w:themeColor="accent1"/>
              <w:left w:val="nil"/>
              <w:bottom w:val="single" w:sz="8" w:space="0" w:color="4472C4" w:themeColor="accent1"/>
              <w:right w:val="nil"/>
            </w:tcBorders>
            <w:hideMark/>
          </w:tcPr>
          <w:p w14:paraId="4444C7EF" w14:textId="77777777" w:rsidR="00543557" w:rsidRPr="00E669C5" w:rsidRDefault="00543557">
            <w:pPr>
              <w:pStyle w:val="TableText"/>
              <w:spacing w:before="30" w:after="30"/>
              <w:rPr>
                <w:rFonts w:ascii="VIC" w:hAnsi="VIC"/>
                <w:sz w:val="20"/>
                <w:szCs w:val="20"/>
                <w:lang w:eastAsia="en-AU"/>
              </w:rPr>
            </w:pPr>
            <w:r w:rsidRPr="00E669C5">
              <w:rPr>
                <w:rFonts w:ascii="VIC" w:hAnsi="VIC"/>
                <w:sz w:val="20"/>
                <w:szCs w:val="20"/>
              </w:rPr>
              <w:t>CH</w:t>
            </w:r>
            <w:r w:rsidRPr="00E669C5">
              <w:rPr>
                <w:rFonts w:ascii="VIC" w:hAnsi="VIC"/>
                <w:sz w:val="20"/>
                <w:szCs w:val="20"/>
                <w:vertAlign w:val="subscript"/>
              </w:rPr>
              <w:t>3</w:t>
            </w:r>
            <w:r w:rsidRPr="00E669C5">
              <w:rPr>
                <w:rFonts w:ascii="VIC" w:hAnsi="VIC"/>
                <w:sz w:val="20"/>
                <w:szCs w:val="20"/>
              </w:rPr>
              <w:t>F</w:t>
            </w:r>
          </w:p>
        </w:tc>
      </w:tr>
      <w:tr w:rsidR="00543557" w14:paraId="5E89453A" w14:textId="77777777">
        <w:tc>
          <w:tcPr>
            <w:tcW w:w="1134" w:type="dxa"/>
            <w:tcBorders>
              <w:top w:val="single" w:sz="8" w:space="0" w:color="4472C4" w:themeColor="accent1"/>
              <w:left w:val="nil"/>
              <w:bottom w:val="single" w:sz="8" w:space="0" w:color="4472C4" w:themeColor="accent1"/>
              <w:right w:val="nil"/>
            </w:tcBorders>
            <w:hideMark/>
          </w:tcPr>
          <w:p w14:paraId="111A93F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4</w:t>
            </w:r>
          </w:p>
        </w:tc>
        <w:tc>
          <w:tcPr>
            <w:tcW w:w="4962" w:type="dxa"/>
            <w:tcBorders>
              <w:top w:val="single" w:sz="8" w:space="0" w:color="4472C4" w:themeColor="accent1"/>
              <w:left w:val="nil"/>
              <w:bottom w:val="single" w:sz="8" w:space="0" w:color="4472C4" w:themeColor="accent1"/>
              <w:right w:val="nil"/>
            </w:tcBorders>
            <w:hideMark/>
          </w:tcPr>
          <w:p w14:paraId="43AC1EB0"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43</w:t>
            </w:r>
            <w:r w:rsidRPr="00E669C5">
              <w:rPr>
                <w:rFonts w:ascii="VIC" w:hAnsi="VIC"/>
                <w:sz w:val="20"/>
                <w:szCs w:val="20"/>
              </w:rPr>
              <w:noBreakHyphen/>
              <w:t>10mee</w:t>
            </w:r>
          </w:p>
        </w:tc>
        <w:tc>
          <w:tcPr>
            <w:tcW w:w="3542" w:type="dxa"/>
            <w:tcBorders>
              <w:top w:val="single" w:sz="8" w:space="0" w:color="4472C4" w:themeColor="accent1"/>
              <w:left w:val="nil"/>
              <w:bottom w:val="single" w:sz="8" w:space="0" w:color="4472C4" w:themeColor="accent1"/>
              <w:right w:val="nil"/>
            </w:tcBorders>
            <w:hideMark/>
          </w:tcPr>
          <w:p w14:paraId="3D220E3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5</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10</w:t>
            </w:r>
          </w:p>
        </w:tc>
      </w:tr>
      <w:tr w:rsidR="00543557" w14:paraId="78125C20" w14:textId="77777777">
        <w:tc>
          <w:tcPr>
            <w:tcW w:w="1134" w:type="dxa"/>
            <w:tcBorders>
              <w:top w:val="single" w:sz="8" w:space="0" w:color="4472C4" w:themeColor="accent1"/>
              <w:left w:val="nil"/>
              <w:bottom w:val="single" w:sz="8" w:space="0" w:color="4472C4" w:themeColor="accent1"/>
              <w:right w:val="nil"/>
            </w:tcBorders>
            <w:hideMark/>
          </w:tcPr>
          <w:p w14:paraId="5331A0B4" w14:textId="77777777" w:rsidR="00543557" w:rsidRPr="00E669C5" w:rsidRDefault="00543557">
            <w:pPr>
              <w:pStyle w:val="TableText"/>
              <w:spacing w:before="30" w:after="30"/>
              <w:rPr>
                <w:rFonts w:ascii="VIC" w:hAnsi="VIC"/>
                <w:sz w:val="20"/>
                <w:szCs w:val="20"/>
              </w:rPr>
            </w:pPr>
            <w:r w:rsidRPr="00E669C5">
              <w:rPr>
                <w:rFonts w:ascii="VIC" w:hAnsi="VIC"/>
                <w:sz w:val="20"/>
                <w:szCs w:val="20"/>
              </w:rPr>
              <w:t>5</w:t>
            </w:r>
          </w:p>
        </w:tc>
        <w:tc>
          <w:tcPr>
            <w:tcW w:w="4962" w:type="dxa"/>
            <w:tcBorders>
              <w:top w:val="single" w:sz="8" w:space="0" w:color="4472C4" w:themeColor="accent1"/>
              <w:left w:val="nil"/>
              <w:bottom w:val="single" w:sz="8" w:space="0" w:color="4472C4" w:themeColor="accent1"/>
              <w:right w:val="nil"/>
            </w:tcBorders>
            <w:hideMark/>
          </w:tcPr>
          <w:p w14:paraId="31EF030A"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125</w:t>
            </w:r>
          </w:p>
        </w:tc>
        <w:tc>
          <w:tcPr>
            <w:tcW w:w="3542" w:type="dxa"/>
            <w:tcBorders>
              <w:top w:val="single" w:sz="8" w:space="0" w:color="4472C4" w:themeColor="accent1"/>
              <w:left w:val="nil"/>
              <w:bottom w:val="single" w:sz="8" w:space="0" w:color="4472C4" w:themeColor="accent1"/>
              <w:right w:val="nil"/>
            </w:tcBorders>
            <w:hideMark/>
          </w:tcPr>
          <w:p w14:paraId="395474D2"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HF</w:t>
            </w:r>
            <w:r w:rsidRPr="00E669C5">
              <w:rPr>
                <w:rFonts w:ascii="VIC" w:hAnsi="VIC"/>
                <w:sz w:val="20"/>
                <w:szCs w:val="20"/>
                <w:vertAlign w:val="subscript"/>
              </w:rPr>
              <w:t>5</w:t>
            </w:r>
          </w:p>
        </w:tc>
      </w:tr>
      <w:tr w:rsidR="00543557" w14:paraId="73D3635B" w14:textId="77777777">
        <w:tc>
          <w:tcPr>
            <w:tcW w:w="1134" w:type="dxa"/>
            <w:tcBorders>
              <w:top w:val="single" w:sz="8" w:space="0" w:color="4472C4" w:themeColor="accent1"/>
              <w:left w:val="nil"/>
              <w:bottom w:val="single" w:sz="8" w:space="0" w:color="4472C4" w:themeColor="accent1"/>
              <w:right w:val="nil"/>
            </w:tcBorders>
            <w:hideMark/>
          </w:tcPr>
          <w:p w14:paraId="73652E89" w14:textId="77777777" w:rsidR="00543557" w:rsidRPr="00E669C5" w:rsidRDefault="00543557">
            <w:pPr>
              <w:pStyle w:val="TableText"/>
              <w:spacing w:before="30" w:after="30"/>
              <w:rPr>
                <w:rFonts w:ascii="VIC" w:hAnsi="VIC"/>
                <w:sz w:val="20"/>
                <w:szCs w:val="20"/>
              </w:rPr>
            </w:pPr>
            <w:r w:rsidRPr="00E669C5">
              <w:rPr>
                <w:rFonts w:ascii="VIC" w:hAnsi="VIC"/>
                <w:sz w:val="20"/>
                <w:szCs w:val="20"/>
              </w:rPr>
              <w:t>6</w:t>
            </w:r>
          </w:p>
        </w:tc>
        <w:tc>
          <w:tcPr>
            <w:tcW w:w="4962" w:type="dxa"/>
            <w:tcBorders>
              <w:top w:val="single" w:sz="8" w:space="0" w:color="4472C4" w:themeColor="accent1"/>
              <w:left w:val="nil"/>
              <w:bottom w:val="single" w:sz="8" w:space="0" w:color="4472C4" w:themeColor="accent1"/>
              <w:right w:val="nil"/>
            </w:tcBorders>
            <w:hideMark/>
          </w:tcPr>
          <w:p w14:paraId="0BB721C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134</w:t>
            </w:r>
          </w:p>
        </w:tc>
        <w:tc>
          <w:tcPr>
            <w:tcW w:w="3542" w:type="dxa"/>
            <w:tcBorders>
              <w:top w:val="single" w:sz="8" w:space="0" w:color="4472C4" w:themeColor="accent1"/>
              <w:left w:val="nil"/>
              <w:bottom w:val="single" w:sz="8" w:space="0" w:color="4472C4" w:themeColor="accent1"/>
              <w:right w:val="nil"/>
            </w:tcBorders>
            <w:hideMark/>
          </w:tcPr>
          <w:p w14:paraId="0B987BD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4</w:t>
            </w:r>
            <w:r w:rsidRPr="00E669C5">
              <w:rPr>
                <w:rFonts w:ascii="VIC" w:hAnsi="VIC"/>
                <w:sz w:val="20"/>
                <w:szCs w:val="20"/>
              </w:rPr>
              <w:t xml:space="preserve"> (CHF</w:t>
            </w:r>
            <w:r w:rsidRPr="00E669C5">
              <w:rPr>
                <w:rFonts w:ascii="VIC" w:hAnsi="VIC"/>
                <w:sz w:val="20"/>
                <w:szCs w:val="20"/>
                <w:vertAlign w:val="subscript"/>
              </w:rPr>
              <w:t>2</w:t>
            </w:r>
            <w:r w:rsidRPr="00E669C5">
              <w:rPr>
                <w:rFonts w:ascii="VIC" w:hAnsi="VIC"/>
                <w:sz w:val="20"/>
                <w:szCs w:val="20"/>
              </w:rPr>
              <w:t>CHF</w:t>
            </w:r>
            <w:r w:rsidRPr="00E669C5">
              <w:rPr>
                <w:rFonts w:ascii="VIC" w:hAnsi="VIC"/>
                <w:sz w:val="20"/>
                <w:szCs w:val="20"/>
                <w:vertAlign w:val="subscript"/>
              </w:rPr>
              <w:t>2</w:t>
            </w:r>
            <w:r w:rsidRPr="00E669C5">
              <w:rPr>
                <w:rFonts w:ascii="VIC" w:hAnsi="VIC"/>
                <w:sz w:val="20"/>
                <w:szCs w:val="20"/>
              </w:rPr>
              <w:t>)</w:t>
            </w:r>
          </w:p>
        </w:tc>
      </w:tr>
      <w:tr w:rsidR="00543557" w14:paraId="41A1D849" w14:textId="77777777">
        <w:tc>
          <w:tcPr>
            <w:tcW w:w="1134" w:type="dxa"/>
            <w:tcBorders>
              <w:top w:val="single" w:sz="8" w:space="0" w:color="4472C4" w:themeColor="accent1"/>
              <w:left w:val="nil"/>
              <w:bottom w:val="single" w:sz="8" w:space="0" w:color="4472C4" w:themeColor="accent1"/>
              <w:right w:val="nil"/>
            </w:tcBorders>
            <w:hideMark/>
          </w:tcPr>
          <w:p w14:paraId="0F97971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7</w:t>
            </w:r>
          </w:p>
        </w:tc>
        <w:tc>
          <w:tcPr>
            <w:tcW w:w="4962" w:type="dxa"/>
            <w:tcBorders>
              <w:top w:val="single" w:sz="8" w:space="0" w:color="4472C4" w:themeColor="accent1"/>
              <w:left w:val="nil"/>
              <w:bottom w:val="single" w:sz="8" w:space="0" w:color="4472C4" w:themeColor="accent1"/>
              <w:right w:val="nil"/>
            </w:tcBorders>
            <w:hideMark/>
          </w:tcPr>
          <w:p w14:paraId="458D138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134a</w:t>
            </w:r>
          </w:p>
        </w:tc>
        <w:tc>
          <w:tcPr>
            <w:tcW w:w="3542" w:type="dxa"/>
            <w:tcBorders>
              <w:top w:val="single" w:sz="8" w:space="0" w:color="4472C4" w:themeColor="accent1"/>
              <w:left w:val="nil"/>
              <w:bottom w:val="single" w:sz="8" w:space="0" w:color="4472C4" w:themeColor="accent1"/>
              <w:right w:val="nil"/>
            </w:tcBorders>
            <w:hideMark/>
          </w:tcPr>
          <w:p w14:paraId="5032A2F1"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4</w:t>
            </w:r>
            <w:r w:rsidRPr="00E669C5">
              <w:rPr>
                <w:rFonts w:ascii="VIC" w:hAnsi="VIC"/>
                <w:sz w:val="20"/>
                <w:szCs w:val="20"/>
              </w:rPr>
              <w:t xml:space="preserve"> (CH</w:t>
            </w:r>
            <w:r w:rsidRPr="00E669C5">
              <w:rPr>
                <w:rFonts w:ascii="VIC" w:hAnsi="VIC"/>
                <w:sz w:val="20"/>
                <w:szCs w:val="20"/>
                <w:vertAlign w:val="subscript"/>
              </w:rPr>
              <w:t>2</w:t>
            </w:r>
            <w:r w:rsidRPr="00E669C5">
              <w:rPr>
                <w:rFonts w:ascii="VIC" w:hAnsi="VIC"/>
                <w:sz w:val="20"/>
                <w:szCs w:val="20"/>
              </w:rPr>
              <w:t>FCF</w:t>
            </w:r>
            <w:r w:rsidRPr="00E669C5">
              <w:rPr>
                <w:rFonts w:ascii="VIC" w:hAnsi="VIC"/>
                <w:sz w:val="20"/>
                <w:szCs w:val="20"/>
                <w:vertAlign w:val="subscript"/>
              </w:rPr>
              <w:t>3</w:t>
            </w:r>
            <w:r w:rsidRPr="00E669C5">
              <w:rPr>
                <w:rFonts w:ascii="VIC" w:hAnsi="VIC"/>
                <w:sz w:val="20"/>
                <w:szCs w:val="20"/>
              </w:rPr>
              <w:t>)</w:t>
            </w:r>
          </w:p>
        </w:tc>
      </w:tr>
      <w:tr w:rsidR="00543557" w14:paraId="70FFC327" w14:textId="77777777">
        <w:tc>
          <w:tcPr>
            <w:tcW w:w="1134" w:type="dxa"/>
            <w:tcBorders>
              <w:top w:val="single" w:sz="8" w:space="0" w:color="4472C4" w:themeColor="accent1"/>
              <w:left w:val="nil"/>
              <w:bottom w:val="single" w:sz="8" w:space="0" w:color="4472C4" w:themeColor="accent1"/>
              <w:right w:val="nil"/>
            </w:tcBorders>
            <w:hideMark/>
          </w:tcPr>
          <w:p w14:paraId="78F32F19" w14:textId="77777777" w:rsidR="00543557" w:rsidRPr="00E669C5" w:rsidRDefault="00543557">
            <w:pPr>
              <w:pStyle w:val="TableText"/>
              <w:spacing w:before="30" w:after="30"/>
              <w:rPr>
                <w:rFonts w:ascii="VIC" w:hAnsi="VIC"/>
                <w:sz w:val="20"/>
                <w:szCs w:val="20"/>
              </w:rPr>
            </w:pPr>
            <w:r w:rsidRPr="00E669C5">
              <w:rPr>
                <w:rFonts w:ascii="VIC" w:hAnsi="VIC"/>
                <w:sz w:val="20"/>
                <w:szCs w:val="20"/>
              </w:rPr>
              <w:t>8</w:t>
            </w:r>
          </w:p>
        </w:tc>
        <w:tc>
          <w:tcPr>
            <w:tcW w:w="4962" w:type="dxa"/>
            <w:tcBorders>
              <w:top w:val="single" w:sz="8" w:space="0" w:color="4472C4" w:themeColor="accent1"/>
              <w:left w:val="nil"/>
              <w:bottom w:val="single" w:sz="8" w:space="0" w:color="4472C4" w:themeColor="accent1"/>
              <w:right w:val="nil"/>
            </w:tcBorders>
            <w:hideMark/>
          </w:tcPr>
          <w:p w14:paraId="2462D65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143</w:t>
            </w:r>
          </w:p>
        </w:tc>
        <w:tc>
          <w:tcPr>
            <w:tcW w:w="3542" w:type="dxa"/>
            <w:tcBorders>
              <w:top w:val="single" w:sz="8" w:space="0" w:color="4472C4" w:themeColor="accent1"/>
              <w:left w:val="nil"/>
              <w:bottom w:val="single" w:sz="8" w:space="0" w:color="4472C4" w:themeColor="accent1"/>
              <w:right w:val="nil"/>
            </w:tcBorders>
            <w:hideMark/>
          </w:tcPr>
          <w:p w14:paraId="7EC54547"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3</w:t>
            </w:r>
            <w:r w:rsidRPr="00E669C5">
              <w:rPr>
                <w:rFonts w:ascii="VIC" w:hAnsi="VIC"/>
                <w:sz w:val="20"/>
                <w:szCs w:val="20"/>
              </w:rPr>
              <w:t>F</w:t>
            </w:r>
            <w:r w:rsidRPr="00E669C5">
              <w:rPr>
                <w:rFonts w:ascii="VIC" w:hAnsi="VIC"/>
                <w:sz w:val="20"/>
                <w:szCs w:val="20"/>
                <w:vertAlign w:val="subscript"/>
              </w:rPr>
              <w:t>3</w:t>
            </w:r>
            <w:r w:rsidRPr="00E669C5">
              <w:rPr>
                <w:rFonts w:ascii="VIC" w:hAnsi="VIC"/>
                <w:sz w:val="20"/>
                <w:szCs w:val="20"/>
              </w:rPr>
              <w:t xml:space="preserve"> (CHF</w:t>
            </w:r>
            <w:r w:rsidRPr="00E669C5">
              <w:rPr>
                <w:rFonts w:ascii="VIC" w:hAnsi="VIC"/>
                <w:sz w:val="20"/>
                <w:szCs w:val="20"/>
                <w:vertAlign w:val="subscript"/>
              </w:rPr>
              <w:t>2</w:t>
            </w:r>
            <w:r w:rsidRPr="00E669C5">
              <w:rPr>
                <w:rFonts w:ascii="VIC" w:hAnsi="VIC"/>
                <w:sz w:val="20"/>
                <w:szCs w:val="20"/>
              </w:rPr>
              <w:t>CH</w:t>
            </w:r>
            <w:r w:rsidRPr="00E669C5">
              <w:rPr>
                <w:rFonts w:ascii="VIC" w:hAnsi="VIC"/>
                <w:sz w:val="20"/>
                <w:szCs w:val="20"/>
                <w:vertAlign w:val="subscript"/>
              </w:rPr>
              <w:t>2</w:t>
            </w:r>
            <w:r w:rsidRPr="00E669C5">
              <w:rPr>
                <w:rFonts w:ascii="VIC" w:hAnsi="VIC"/>
                <w:sz w:val="20"/>
                <w:szCs w:val="20"/>
              </w:rPr>
              <w:t>F)</w:t>
            </w:r>
          </w:p>
        </w:tc>
      </w:tr>
      <w:tr w:rsidR="00543557" w14:paraId="1D4F1684" w14:textId="77777777">
        <w:tc>
          <w:tcPr>
            <w:tcW w:w="1134" w:type="dxa"/>
            <w:tcBorders>
              <w:top w:val="single" w:sz="8" w:space="0" w:color="4472C4" w:themeColor="accent1"/>
              <w:left w:val="nil"/>
              <w:bottom w:val="single" w:sz="8" w:space="0" w:color="4472C4" w:themeColor="accent1"/>
              <w:right w:val="nil"/>
            </w:tcBorders>
            <w:hideMark/>
          </w:tcPr>
          <w:p w14:paraId="1EEEB3D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9</w:t>
            </w:r>
          </w:p>
        </w:tc>
        <w:tc>
          <w:tcPr>
            <w:tcW w:w="4962" w:type="dxa"/>
            <w:tcBorders>
              <w:top w:val="single" w:sz="8" w:space="0" w:color="4472C4" w:themeColor="accent1"/>
              <w:left w:val="nil"/>
              <w:bottom w:val="single" w:sz="8" w:space="0" w:color="4472C4" w:themeColor="accent1"/>
              <w:right w:val="nil"/>
            </w:tcBorders>
            <w:hideMark/>
          </w:tcPr>
          <w:p w14:paraId="46771980"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143a</w:t>
            </w:r>
          </w:p>
        </w:tc>
        <w:tc>
          <w:tcPr>
            <w:tcW w:w="3542" w:type="dxa"/>
            <w:tcBorders>
              <w:top w:val="single" w:sz="8" w:space="0" w:color="4472C4" w:themeColor="accent1"/>
              <w:left w:val="nil"/>
              <w:bottom w:val="single" w:sz="8" w:space="0" w:color="4472C4" w:themeColor="accent1"/>
              <w:right w:val="nil"/>
            </w:tcBorders>
            <w:hideMark/>
          </w:tcPr>
          <w:p w14:paraId="621A12C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3</w:t>
            </w:r>
            <w:r w:rsidRPr="00E669C5">
              <w:rPr>
                <w:rFonts w:ascii="VIC" w:hAnsi="VIC"/>
                <w:sz w:val="20"/>
                <w:szCs w:val="20"/>
              </w:rPr>
              <w:t>F</w:t>
            </w:r>
            <w:r w:rsidRPr="00E669C5">
              <w:rPr>
                <w:rFonts w:ascii="VIC" w:hAnsi="VIC"/>
                <w:sz w:val="20"/>
                <w:szCs w:val="20"/>
                <w:vertAlign w:val="subscript"/>
              </w:rPr>
              <w:t>3</w:t>
            </w:r>
            <w:r w:rsidRPr="00E669C5">
              <w:rPr>
                <w:rFonts w:ascii="VIC" w:hAnsi="VIC"/>
                <w:sz w:val="20"/>
                <w:szCs w:val="20"/>
              </w:rPr>
              <w:t xml:space="preserve"> (CF</w:t>
            </w:r>
            <w:r w:rsidRPr="00E669C5">
              <w:rPr>
                <w:rFonts w:ascii="VIC" w:hAnsi="VIC"/>
                <w:sz w:val="20"/>
                <w:szCs w:val="20"/>
                <w:vertAlign w:val="subscript"/>
              </w:rPr>
              <w:t>3</w:t>
            </w:r>
            <w:r w:rsidRPr="00E669C5">
              <w:rPr>
                <w:rFonts w:ascii="VIC" w:hAnsi="VIC"/>
                <w:sz w:val="20"/>
                <w:szCs w:val="20"/>
              </w:rPr>
              <w:t>CH</w:t>
            </w:r>
            <w:r w:rsidRPr="00E669C5">
              <w:rPr>
                <w:rFonts w:ascii="VIC" w:hAnsi="VIC"/>
                <w:sz w:val="20"/>
                <w:szCs w:val="20"/>
                <w:vertAlign w:val="subscript"/>
              </w:rPr>
              <w:t>3</w:t>
            </w:r>
            <w:r w:rsidRPr="00E669C5">
              <w:rPr>
                <w:rFonts w:ascii="VIC" w:hAnsi="VIC"/>
                <w:sz w:val="20"/>
                <w:szCs w:val="20"/>
              </w:rPr>
              <w:t>)</w:t>
            </w:r>
          </w:p>
        </w:tc>
      </w:tr>
      <w:tr w:rsidR="00543557" w14:paraId="04E7089D" w14:textId="77777777">
        <w:tc>
          <w:tcPr>
            <w:tcW w:w="1134" w:type="dxa"/>
            <w:tcBorders>
              <w:top w:val="single" w:sz="8" w:space="0" w:color="4472C4" w:themeColor="accent1"/>
              <w:left w:val="nil"/>
              <w:bottom w:val="single" w:sz="8" w:space="0" w:color="4472C4" w:themeColor="accent1"/>
              <w:right w:val="nil"/>
            </w:tcBorders>
            <w:hideMark/>
          </w:tcPr>
          <w:p w14:paraId="7E1F7E9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10</w:t>
            </w:r>
          </w:p>
        </w:tc>
        <w:tc>
          <w:tcPr>
            <w:tcW w:w="4962" w:type="dxa"/>
            <w:tcBorders>
              <w:top w:val="single" w:sz="8" w:space="0" w:color="4472C4" w:themeColor="accent1"/>
              <w:left w:val="nil"/>
              <w:bottom w:val="single" w:sz="8" w:space="0" w:color="4472C4" w:themeColor="accent1"/>
              <w:right w:val="nil"/>
            </w:tcBorders>
            <w:hideMark/>
          </w:tcPr>
          <w:p w14:paraId="194899B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152a</w:t>
            </w:r>
          </w:p>
        </w:tc>
        <w:tc>
          <w:tcPr>
            <w:tcW w:w="3542" w:type="dxa"/>
            <w:tcBorders>
              <w:top w:val="single" w:sz="8" w:space="0" w:color="4472C4" w:themeColor="accent1"/>
              <w:left w:val="nil"/>
              <w:bottom w:val="single" w:sz="8" w:space="0" w:color="4472C4" w:themeColor="accent1"/>
              <w:right w:val="nil"/>
            </w:tcBorders>
            <w:hideMark/>
          </w:tcPr>
          <w:p w14:paraId="113DA4C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4</w:t>
            </w:r>
            <w:r w:rsidRPr="00E669C5">
              <w:rPr>
                <w:rFonts w:ascii="VIC" w:hAnsi="VIC"/>
                <w:sz w:val="20"/>
                <w:szCs w:val="20"/>
              </w:rPr>
              <w:t>F</w:t>
            </w:r>
            <w:r w:rsidRPr="00E669C5">
              <w:rPr>
                <w:rFonts w:ascii="VIC" w:hAnsi="VIC"/>
                <w:sz w:val="20"/>
                <w:szCs w:val="20"/>
                <w:vertAlign w:val="subscript"/>
              </w:rPr>
              <w:t>2</w:t>
            </w:r>
            <w:r w:rsidRPr="00E669C5">
              <w:rPr>
                <w:rFonts w:ascii="VIC" w:hAnsi="VIC"/>
                <w:sz w:val="20"/>
                <w:szCs w:val="20"/>
              </w:rPr>
              <w:t xml:space="preserve"> (CH</w:t>
            </w:r>
            <w:r w:rsidRPr="00E669C5">
              <w:rPr>
                <w:rFonts w:ascii="VIC" w:hAnsi="VIC"/>
                <w:sz w:val="20"/>
                <w:szCs w:val="20"/>
                <w:vertAlign w:val="subscript"/>
              </w:rPr>
              <w:t>3</w:t>
            </w:r>
            <w:r w:rsidRPr="00E669C5">
              <w:rPr>
                <w:rFonts w:ascii="VIC" w:hAnsi="VIC"/>
                <w:sz w:val="20"/>
                <w:szCs w:val="20"/>
              </w:rPr>
              <w:t>CHF</w:t>
            </w:r>
            <w:r w:rsidRPr="00E669C5">
              <w:rPr>
                <w:rFonts w:ascii="VIC" w:hAnsi="VIC"/>
                <w:sz w:val="20"/>
                <w:szCs w:val="20"/>
                <w:vertAlign w:val="subscript"/>
              </w:rPr>
              <w:t>2</w:t>
            </w:r>
            <w:r w:rsidRPr="00E669C5">
              <w:rPr>
                <w:rFonts w:ascii="VIC" w:hAnsi="VIC"/>
                <w:sz w:val="20"/>
                <w:szCs w:val="20"/>
              </w:rPr>
              <w:t>)</w:t>
            </w:r>
          </w:p>
        </w:tc>
      </w:tr>
      <w:tr w:rsidR="00543557" w14:paraId="419DF408" w14:textId="77777777">
        <w:tc>
          <w:tcPr>
            <w:tcW w:w="1134" w:type="dxa"/>
            <w:tcBorders>
              <w:top w:val="single" w:sz="8" w:space="0" w:color="4472C4" w:themeColor="accent1"/>
              <w:left w:val="nil"/>
              <w:bottom w:val="single" w:sz="8" w:space="0" w:color="4472C4" w:themeColor="accent1"/>
              <w:right w:val="nil"/>
            </w:tcBorders>
            <w:hideMark/>
          </w:tcPr>
          <w:p w14:paraId="2E4229DB"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11</w:t>
            </w:r>
          </w:p>
        </w:tc>
        <w:tc>
          <w:tcPr>
            <w:tcW w:w="4962" w:type="dxa"/>
            <w:tcBorders>
              <w:top w:val="single" w:sz="8" w:space="0" w:color="4472C4" w:themeColor="accent1"/>
              <w:left w:val="nil"/>
              <w:bottom w:val="single" w:sz="8" w:space="0" w:color="4472C4" w:themeColor="accent1"/>
              <w:right w:val="nil"/>
            </w:tcBorders>
            <w:hideMark/>
          </w:tcPr>
          <w:p w14:paraId="3B4C8097"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227ea</w:t>
            </w:r>
          </w:p>
        </w:tc>
        <w:tc>
          <w:tcPr>
            <w:tcW w:w="3542" w:type="dxa"/>
            <w:tcBorders>
              <w:top w:val="single" w:sz="8" w:space="0" w:color="4472C4" w:themeColor="accent1"/>
              <w:left w:val="nil"/>
              <w:bottom w:val="single" w:sz="8" w:space="0" w:color="4472C4" w:themeColor="accent1"/>
              <w:right w:val="nil"/>
            </w:tcBorders>
            <w:hideMark/>
          </w:tcPr>
          <w:p w14:paraId="00EDE60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3</w:t>
            </w:r>
            <w:r w:rsidRPr="00E669C5">
              <w:rPr>
                <w:rFonts w:ascii="VIC" w:hAnsi="VIC"/>
                <w:sz w:val="20"/>
                <w:szCs w:val="20"/>
              </w:rPr>
              <w:t>HF</w:t>
            </w:r>
            <w:r w:rsidRPr="00E669C5">
              <w:rPr>
                <w:rFonts w:ascii="VIC" w:hAnsi="VIC"/>
                <w:sz w:val="20"/>
                <w:szCs w:val="20"/>
                <w:vertAlign w:val="subscript"/>
              </w:rPr>
              <w:t>7</w:t>
            </w:r>
          </w:p>
        </w:tc>
      </w:tr>
      <w:tr w:rsidR="00543557" w14:paraId="6E98EAE3" w14:textId="77777777">
        <w:tc>
          <w:tcPr>
            <w:tcW w:w="1134" w:type="dxa"/>
            <w:tcBorders>
              <w:top w:val="single" w:sz="8" w:space="0" w:color="4472C4" w:themeColor="accent1"/>
              <w:left w:val="nil"/>
              <w:bottom w:val="single" w:sz="8" w:space="0" w:color="4472C4" w:themeColor="accent1"/>
              <w:right w:val="nil"/>
            </w:tcBorders>
            <w:hideMark/>
          </w:tcPr>
          <w:p w14:paraId="63A7A2CF"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12</w:t>
            </w:r>
          </w:p>
        </w:tc>
        <w:tc>
          <w:tcPr>
            <w:tcW w:w="4962" w:type="dxa"/>
            <w:tcBorders>
              <w:top w:val="single" w:sz="8" w:space="0" w:color="4472C4" w:themeColor="accent1"/>
              <w:left w:val="nil"/>
              <w:bottom w:val="single" w:sz="8" w:space="0" w:color="4472C4" w:themeColor="accent1"/>
              <w:right w:val="nil"/>
            </w:tcBorders>
            <w:hideMark/>
          </w:tcPr>
          <w:p w14:paraId="311DC494"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236fa</w:t>
            </w:r>
          </w:p>
        </w:tc>
        <w:tc>
          <w:tcPr>
            <w:tcW w:w="3542" w:type="dxa"/>
            <w:tcBorders>
              <w:top w:val="single" w:sz="8" w:space="0" w:color="4472C4" w:themeColor="accent1"/>
              <w:left w:val="nil"/>
              <w:bottom w:val="single" w:sz="8" w:space="0" w:color="4472C4" w:themeColor="accent1"/>
              <w:right w:val="nil"/>
            </w:tcBorders>
            <w:hideMark/>
          </w:tcPr>
          <w:p w14:paraId="5E0B3263"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3</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6</w:t>
            </w:r>
          </w:p>
        </w:tc>
      </w:tr>
      <w:tr w:rsidR="00543557" w14:paraId="1F4F85AA" w14:textId="77777777">
        <w:tc>
          <w:tcPr>
            <w:tcW w:w="1134" w:type="dxa"/>
            <w:tcBorders>
              <w:top w:val="single" w:sz="8" w:space="0" w:color="4472C4" w:themeColor="accent1"/>
              <w:left w:val="nil"/>
              <w:bottom w:val="single" w:sz="8" w:space="0" w:color="4472C4" w:themeColor="accent1"/>
              <w:right w:val="nil"/>
            </w:tcBorders>
            <w:hideMark/>
          </w:tcPr>
          <w:p w14:paraId="7B77E80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13</w:t>
            </w:r>
          </w:p>
        </w:tc>
        <w:tc>
          <w:tcPr>
            <w:tcW w:w="4962" w:type="dxa"/>
            <w:tcBorders>
              <w:top w:val="single" w:sz="8" w:space="0" w:color="4472C4" w:themeColor="accent1"/>
              <w:left w:val="nil"/>
              <w:bottom w:val="single" w:sz="8" w:space="0" w:color="4472C4" w:themeColor="accent1"/>
              <w:right w:val="nil"/>
            </w:tcBorders>
            <w:hideMark/>
          </w:tcPr>
          <w:p w14:paraId="420CF4D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245ca</w:t>
            </w:r>
          </w:p>
        </w:tc>
        <w:tc>
          <w:tcPr>
            <w:tcW w:w="3542" w:type="dxa"/>
            <w:tcBorders>
              <w:top w:val="single" w:sz="8" w:space="0" w:color="4472C4" w:themeColor="accent1"/>
              <w:left w:val="nil"/>
              <w:bottom w:val="single" w:sz="8" w:space="0" w:color="4472C4" w:themeColor="accent1"/>
              <w:right w:val="nil"/>
            </w:tcBorders>
            <w:hideMark/>
          </w:tcPr>
          <w:p w14:paraId="06199AA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3</w:t>
            </w:r>
            <w:r w:rsidRPr="00E669C5">
              <w:rPr>
                <w:rFonts w:ascii="VIC" w:hAnsi="VIC"/>
                <w:sz w:val="20"/>
                <w:szCs w:val="20"/>
              </w:rPr>
              <w:t>H</w:t>
            </w:r>
            <w:r w:rsidRPr="00E669C5">
              <w:rPr>
                <w:rFonts w:ascii="VIC" w:hAnsi="VIC"/>
                <w:sz w:val="20"/>
                <w:szCs w:val="20"/>
                <w:vertAlign w:val="subscript"/>
              </w:rPr>
              <w:t>3</w:t>
            </w:r>
            <w:r w:rsidRPr="00E669C5">
              <w:rPr>
                <w:rFonts w:ascii="VIC" w:hAnsi="VIC"/>
                <w:sz w:val="20"/>
                <w:szCs w:val="20"/>
              </w:rPr>
              <w:t>F</w:t>
            </w:r>
            <w:r w:rsidRPr="00E669C5">
              <w:rPr>
                <w:rFonts w:ascii="VIC" w:hAnsi="VIC"/>
                <w:sz w:val="20"/>
                <w:szCs w:val="20"/>
                <w:vertAlign w:val="subscript"/>
              </w:rPr>
              <w:t>5</w:t>
            </w:r>
          </w:p>
        </w:tc>
      </w:tr>
    </w:tbl>
    <w:p w14:paraId="48C781AE" w14:textId="4625F375" w:rsidR="00543557" w:rsidRPr="00EF2AB1" w:rsidRDefault="00543557" w:rsidP="00EF2AB1">
      <w:pPr>
        <w:pStyle w:val="TableCaption"/>
        <w:rPr>
          <w:rFonts w:ascii="VIC" w:hAnsi="VIC"/>
          <w:color w:val="005FB4"/>
        </w:rPr>
      </w:pPr>
      <w:bookmarkStart w:id="308" w:name="TableA2"/>
      <w:bookmarkEnd w:id="307"/>
      <w:r w:rsidRPr="00EF2AB1">
        <w:rPr>
          <w:rFonts w:ascii="VIC" w:hAnsi="VIC"/>
          <w:color w:val="005FB4"/>
        </w:rPr>
        <w:t>Table</w:t>
      </w:r>
      <w:r w:rsidRPr="00EF2AB1">
        <w:rPr>
          <w:rFonts w:ascii="Cambria" w:hAnsi="Cambria" w:cs="Cambria"/>
          <w:color w:val="005FB4"/>
        </w:rPr>
        <w:t> </w:t>
      </w:r>
      <w:r w:rsidRPr="00EF2AB1">
        <w:rPr>
          <w:rFonts w:ascii="VIC" w:hAnsi="VIC"/>
          <w:color w:val="005FB4"/>
        </w:rPr>
        <w:fldChar w:fldCharType="begin"/>
      </w:r>
      <w:r w:rsidRPr="00EF2AB1">
        <w:rPr>
          <w:rFonts w:ascii="VIC" w:hAnsi="VIC"/>
          <w:color w:val="005FB4"/>
        </w:rPr>
        <w:instrText>STYLEREF  "Appendix H1" \s</w:instrText>
      </w:r>
      <w:r w:rsidRPr="00EF2AB1">
        <w:rPr>
          <w:rFonts w:ascii="VIC" w:hAnsi="VIC"/>
          <w:color w:val="005FB4"/>
        </w:rPr>
        <w:fldChar w:fldCharType="separate"/>
      </w:r>
      <w:r w:rsidRPr="00EF2AB1">
        <w:rPr>
          <w:rFonts w:ascii="VIC" w:hAnsi="VIC"/>
          <w:color w:val="005FB4"/>
        </w:rPr>
        <w:t>A</w:t>
      </w:r>
      <w:r w:rsidRPr="00EF2AB1">
        <w:rPr>
          <w:rFonts w:ascii="VIC" w:hAnsi="VIC"/>
          <w:color w:val="005FB4"/>
        </w:rPr>
        <w:fldChar w:fldCharType="end"/>
      </w:r>
      <w:r w:rsidRPr="00EF2AB1">
        <w:rPr>
          <w:rFonts w:ascii="VIC" w:hAnsi="VIC"/>
          <w:color w:val="005FB4"/>
        </w:rPr>
        <w:t>.</w:t>
      </w:r>
      <w:r w:rsidRPr="00EF2AB1">
        <w:rPr>
          <w:rFonts w:ascii="VIC" w:hAnsi="VIC"/>
          <w:color w:val="005FB4"/>
        </w:rPr>
        <w:fldChar w:fldCharType="begin"/>
      </w:r>
      <w:r w:rsidRPr="00EF2AB1">
        <w:rPr>
          <w:rFonts w:ascii="VIC" w:hAnsi="VIC"/>
          <w:color w:val="005FB4"/>
        </w:rPr>
        <w:instrText>SEQ AppTable \* ARABIC  \s 8</w:instrText>
      </w:r>
      <w:r w:rsidRPr="00EF2AB1">
        <w:rPr>
          <w:rFonts w:ascii="VIC" w:hAnsi="VIC"/>
          <w:color w:val="005FB4"/>
        </w:rPr>
        <w:fldChar w:fldCharType="separate"/>
      </w:r>
      <w:r w:rsidRPr="00EF2AB1">
        <w:rPr>
          <w:rFonts w:ascii="VIC" w:hAnsi="VIC"/>
          <w:color w:val="005FB4"/>
        </w:rPr>
        <w:t>2</w:t>
      </w:r>
      <w:r w:rsidRPr="00EF2AB1">
        <w:rPr>
          <w:rFonts w:ascii="VIC" w:hAnsi="VIC"/>
          <w:color w:val="005FB4"/>
        </w:rPr>
        <w:fldChar w:fldCharType="end"/>
      </w:r>
      <w:bookmarkEnd w:id="308"/>
      <w:r w:rsidRPr="00EF2AB1">
        <w:rPr>
          <w:rFonts w:ascii="VIC" w:hAnsi="VIC"/>
          <w:color w:val="005FB4"/>
        </w:rPr>
        <w:t>: Perfluorocarbon greenhouse gases specified in the National Greenhouse and Energy Reporting Act 2007</w:t>
      </w:r>
    </w:p>
    <w:tbl>
      <w:tblPr>
        <w:tblStyle w:val="EPATable"/>
        <w:tblW w:w="5000" w:type="pct"/>
        <w:tblLook w:val="0620" w:firstRow="1" w:lastRow="0" w:firstColumn="0" w:lastColumn="0" w:noHBand="1" w:noVBand="1"/>
        <w:tblCaption w:val="Table A2 Perfluorocarbon greenhouse gases specified in the National Greenhouse and Energy Reporting Act 2007"/>
        <w:tblDescription w:val="The table lists the perfluorocarbons and chemical formulas specified in the National Greenhouse and Energy Reporting Act 2007."/>
      </w:tblPr>
      <w:tblGrid>
        <w:gridCol w:w="1197"/>
        <w:gridCol w:w="5237"/>
        <w:gridCol w:w="3739"/>
      </w:tblGrid>
      <w:tr w:rsidR="00543557" w14:paraId="056334CF" w14:textId="77777777" w:rsidTr="00F06D42">
        <w:trPr>
          <w:cnfStyle w:val="100000000000" w:firstRow="1" w:lastRow="0" w:firstColumn="0" w:lastColumn="0" w:oddVBand="0" w:evenVBand="0" w:oddHBand="0" w:evenHBand="0" w:firstRowFirstColumn="0" w:firstRowLastColumn="0" w:lastRowFirstColumn="0" w:lastRowLastColumn="0"/>
          <w:cantSplit/>
        </w:trPr>
        <w:tc>
          <w:tcPr>
            <w:tcW w:w="1134" w:type="dxa"/>
            <w:tcBorders>
              <w:top w:val="single" w:sz="8" w:space="0" w:color="4472C4" w:themeColor="accent1"/>
              <w:left w:val="nil"/>
              <w:bottom w:val="single" w:sz="8" w:space="0" w:color="4472C4" w:themeColor="accent1"/>
              <w:right w:val="nil"/>
            </w:tcBorders>
            <w:shd w:val="clear" w:color="auto" w:fill="auto"/>
            <w:hideMark/>
          </w:tcPr>
          <w:p w14:paraId="28C6CF85"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Item</w:t>
            </w:r>
          </w:p>
        </w:tc>
        <w:tc>
          <w:tcPr>
            <w:tcW w:w="4962" w:type="dxa"/>
            <w:tcBorders>
              <w:top w:val="single" w:sz="8" w:space="0" w:color="4472C4" w:themeColor="accent1"/>
              <w:left w:val="nil"/>
              <w:bottom w:val="single" w:sz="8" w:space="0" w:color="4472C4" w:themeColor="accent1"/>
              <w:right w:val="nil"/>
            </w:tcBorders>
            <w:shd w:val="clear" w:color="auto" w:fill="auto"/>
            <w:hideMark/>
          </w:tcPr>
          <w:p w14:paraId="6E13FCF4"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Perfluorocarbon</w:t>
            </w:r>
          </w:p>
        </w:tc>
        <w:tc>
          <w:tcPr>
            <w:tcW w:w="3542" w:type="dxa"/>
            <w:tcBorders>
              <w:top w:val="single" w:sz="8" w:space="0" w:color="4472C4" w:themeColor="accent1"/>
              <w:left w:val="nil"/>
              <w:bottom w:val="single" w:sz="8" w:space="0" w:color="4472C4" w:themeColor="accent1"/>
              <w:right w:val="nil"/>
            </w:tcBorders>
            <w:shd w:val="clear" w:color="auto" w:fill="auto"/>
            <w:hideMark/>
          </w:tcPr>
          <w:p w14:paraId="0FDBFC1A"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Chemical formula</w:t>
            </w:r>
          </w:p>
        </w:tc>
      </w:tr>
      <w:tr w:rsidR="00543557" w14:paraId="1AD2C199" w14:textId="77777777">
        <w:trPr>
          <w:cantSplit/>
        </w:trPr>
        <w:tc>
          <w:tcPr>
            <w:tcW w:w="1134" w:type="dxa"/>
            <w:tcBorders>
              <w:top w:val="single" w:sz="8" w:space="0" w:color="4472C4" w:themeColor="accent1"/>
              <w:left w:val="nil"/>
              <w:bottom w:val="single" w:sz="8" w:space="0" w:color="4472C4" w:themeColor="accent1"/>
              <w:right w:val="nil"/>
            </w:tcBorders>
            <w:hideMark/>
          </w:tcPr>
          <w:p w14:paraId="49EDA7F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w:t>
            </w:r>
          </w:p>
        </w:tc>
        <w:tc>
          <w:tcPr>
            <w:tcW w:w="4962" w:type="dxa"/>
            <w:tcBorders>
              <w:top w:val="single" w:sz="8" w:space="0" w:color="4472C4" w:themeColor="accent1"/>
              <w:left w:val="nil"/>
              <w:bottom w:val="single" w:sz="8" w:space="0" w:color="4472C4" w:themeColor="accent1"/>
              <w:right w:val="nil"/>
            </w:tcBorders>
            <w:hideMark/>
          </w:tcPr>
          <w:p w14:paraId="3D5276FE" w14:textId="77777777" w:rsidR="00543557" w:rsidRPr="00E669C5" w:rsidRDefault="00543557">
            <w:pPr>
              <w:pStyle w:val="TableText"/>
              <w:spacing w:before="30" w:after="30"/>
              <w:rPr>
                <w:rFonts w:ascii="VIC" w:hAnsi="VIC"/>
                <w:sz w:val="20"/>
                <w:szCs w:val="20"/>
              </w:rPr>
            </w:pPr>
            <w:proofErr w:type="spellStart"/>
            <w:r w:rsidRPr="00E669C5">
              <w:rPr>
                <w:rFonts w:ascii="VIC" w:hAnsi="VIC"/>
                <w:sz w:val="20"/>
                <w:szCs w:val="20"/>
              </w:rPr>
              <w:t>Perfluoromethane</w:t>
            </w:r>
            <w:proofErr w:type="spellEnd"/>
            <w:r w:rsidRPr="00E669C5">
              <w:rPr>
                <w:rFonts w:ascii="VIC" w:hAnsi="VIC"/>
                <w:sz w:val="20"/>
                <w:szCs w:val="20"/>
              </w:rPr>
              <w:t xml:space="preserve"> (tetrafluoromethane)</w:t>
            </w:r>
          </w:p>
        </w:tc>
        <w:tc>
          <w:tcPr>
            <w:tcW w:w="3542" w:type="dxa"/>
            <w:tcBorders>
              <w:top w:val="single" w:sz="8" w:space="0" w:color="4472C4" w:themeColor="accent1"/>
              <w:left w:val="nil"/>
              <w:bottom w:val="single" w:sz="8" w:space="0" w:color="4472C4" w:themeColor="accent1"/>
              <w:right w:val="nil"/>
            </w:tcBorders>
            <w:hideMark/>
          </w:tcPr>
          <w:p w14:paraId="1FABBF33"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CF</w:t>
            </w:r>
            <w:r w:rsidRPr="00E669C5">
              <w:rPr>
                <w:rFonts w:ascii="VIC" w:hAnsi="VIC" w:cs="Arial"/>
                <w:sz w:val="20"/>
                <w:szCs w:val="20"/>
                <w:vertAlign w:val="subscript"/>
              </w:rPr>
              <w:t>4</w:t>
            </w:r>
          </w:p>
        </w:tc>
      </w:tr>
      <w:tr w:rsidR="00543557" w14:paraId="0F8669FD" w14:textId="77777777">
        <w:trPr>
          <w:cantSplit/>
        </w:trPr>
        <w:tc>
          <w:tcPr>
            <w:tcW w:w="1134" w:type="dxa"/>
            <w:tcBorders>
              <w:top w:val="single" w:sz="8" w:space="0" w:color="4472C4" w:themeColor="accent1"/>
              <w:left w:val="nil"/>
              <w:bottom w:val="single" w:sz="8" w:space="0" w:color="4472C4" w:themeColor="accent1"/>
              <w:right w:val="nil"/>
            </w:tcBorders>
            <w:hideMark/>
          </w:tcPr>
          <w:p w14:paraId="2259DBA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2</w:t>
            </w:r>
          </w:p>
        </w:tc>
        <w:tc>
          <w:tcPr>
            <w:tcW w:w="4962" w:type="dxa"/>
            <w:tcBorders>
              <w:top w:val="single" w:sz="8" w:space="0" w:color="4472C4" w:themeColor="accent1"/>
              <w:left w:val="nil"/>
              <w:bottom w:val="single" w:sz="8" w:space="0" w:color="4472C4" w:themeColor="accent1"/>
              <w:right w:val="nil"/>
            </w:tcBorders>
            <w:hideMark/>
          </w:tcPr>
          <w:p w14:paraId="6C4C8409" w14:textId="77777777" w:rsidR="00543557" w:rsidRPr="00E669C5" w:rsidRDefault="00543557">
            <w:pPr>
              <w:pStyle w:val="TableText"/>
              <w:spacing w:before="30" w:after="30"/>
              <w:rPr>
                <w:rFonts w:ascii="VIC" w:hAnsi="VIC"/>
                <w:sz w:val="20"/>
                <w:szCs w:val="20"/>
              </w:rPr>
            </w:pPr>
            <w:proofErr w:type="spellStart"/>
            <w:r w:rsidRPr="00E669C5">
              <w:rPr>
                <w:rFonts w:ascii="VIC" w:hAnsi="VIC"/>
                <w:sz w:val="20"/>
                <w:szCs w:val="20"/>
              </w:rPr>
              <w:t>Perfluoroethane</w:t>
            </w:r>
            <w:proofErr w:type="spellEnd"/>
            <w:r w:rsidRPr="00E669C5">
              <w:rPr>
                <w:rFonts w:ascii="VIC" w:hAnsi="VIC"/>
                <w:sz w:val="20"/>
                <w:szCs w:val="20"/>
              </w:rPr>
              <w:t xml:space="preserve"> (hexafluoroethane)</w:t>
            </w:r>
          </w:p>
        </w:tc>
        <w:tc>
          <w:tcPr>
            <w:tcW w:w="3542" w:type="dxa"/>
            <w:tcBorders>
              <w:top w:val="single" w:sz="8" w:space="0" w:color="4472C4" w:themeColor="accent1"/>
              <w:left w:val="nil"/>
              <w:bottom w:val="single" w:sz="8" w:space="0" w:color="4472C4" w:themeColor="accent1"/>
              <w:right w:val="nil"/>
            </w:tcBorders>
            <w:hideMark/>
          </w:tcPr>
          <w:p w14:paraId="4E723C76" w14:textId="77777777" w:rsidR="00543557" w:rsidRPr="00E669C5" w:rsidRDefault="00543557">
            <w:pPr>
              <w:pStyle w:val="TableText"/>
              <w:spacing w:before="30" w:after="30"/>
              <w:rPr>
                <w:rFonts w:ascii="VIC" w:hAnsi="VIC"/>
                <w:sz w:val="20"/>
                <w:szCs w:val="20"/>
                <w:lang w:eastAsia="en-AU"/>
              </w:rPr>
            </w:pPr>
            <w:r w:rsidRPr="00E669C5">
              <w:rPr>
                <w:rFonts w:ascii="VIC" w:hAnsi="VIC"/>
                <w:sz w:val="20"/>
                <w:szCs w:val="20"/>
              </w:rPr>
              <w:t>C</w:t>
            </w:r>
            <w:r w:rsidRPr="00E669C5">
              <w:rPr>
                <w:rFonts w:ascii="VIC" w:hAnsi="VIC" w:cs="Arial"/>
                <w:sz w:val="20"/>
                <w:szCs w:val="20"/>
                <w:vertAlign w:val="subscript"/>
              </w:rPr>
              <w:t>2</w:t>
            </w:r>
            <w:r w:rsidRPr="00E669C5">
              <w:rPr>
                <w:rFonts w:ascii="VIC" w:hAnsi="VIC"/>
                <w:sz w:val="20"/>
                <w:szCs w:val="20"/>
              </w:rPr>
              <w:t>F</w:t>
            </w:r>
            <w:r w:rsidRPr="00E669C5">
              <w:rPr>
                <w:rFonts w:ascii="VIC" w:hAnsi="VIC" w:cs="Arial"/>
                <w:sz w:val="20"/>
                <w:szCs w:val="20"/>
                <w:vertAlign w:val="subscript"/>
              </w:rPr>
              <w:t>6</w:t>
            </w:r>
          </w:p>
        </w:tc>
      </w:tr>
      <w:tr w:rsidR="00543557" w14:paraId="1CA33644" w14:textId="77777777">
        <w:trPr>
          <w:cantSplit/>
        </w:trPr>
        <w:tc>
          <w:tcPr>
            <w:tcW w:w="1134" w:type="dxa"/>
            <w:tcBorders>
              <w:top w:val="single" w:sz="8" w:space="0" w:color="4472C4" w:themeColor="accent1"/>
              <w:left w:val="nil"/>
              <w:bottom w:val="single" w:sz="8" w:space="0" w:color="4472C4" w:themeColor="accent1"/>
              <w:right w:val="nil"/>
            </w:tcBorders>
            <w:hideMark/>
          </w:tcPr>
          <w:p w14:paraId="329CD0B3" w14:textId="77777777" w:rsidR="00543557" w:rsidRPr="00E669C5" w:rsidRDefault="00543557">
            <w:pPr>
              <w:pStyle w:val="TableText"/>
              <w:spacing w:before="30" w:after="30"/>
              <w:rPr>
                <w:rFonts w:ascii="VIC" w:hAnsi="VIC"/>
                <w:sz w:val="20"/>
                <w:szCs w:val="20"/>
              </w:rPr>
            </w:pPr>
            <w:r w:rsidRPr="00E669C5">
              <w:rPr>
                <w:rFonts w:ascii="VIC" w:hAnsi="VIC" w:cs="Arial"/>
                <w:sz w:val="20"/>
                <w:szCs w:val="20"/>
              </w:rPr>
              <w:t>3</w:t>
            </w:r>
          </w:p>
        </w:tc>
        <w:tc>
          <w:tcPr>
            <w:tcW w:w="4962" w:type="dxa"/>
            <w:tcBorders>
              <w:top w:val="single" w:sz="8" w:space="0" w:color="4472C4" w:themeColor="accent1"/>
              <w:left w:val="nil"/>
              <w:bottom w:val="single" w:sz="8" w:space="0" w:color="4472C4" w:themeColor="accent1"/>
              <w:right w:val="nil"/>
            </w:tcBorders>
            <w:hideMark/>
          </w:tcPr>
          <w:p w14:paraId="44FF28EF" w14:textId="77777777" w:rsidR="00543557" w:rsidRPr="00E669C5" w:rsidRDefault="00543557">
            <w:pPr>
              <w:pStyle w:val="TableText"/>
              <w:spacing w:before="30" w:after="30"/>
              <w:rPr>
                <w:rFonts w:ascii="VIC" w:hAnsi="VIC"/>
                <w:sz w:val="20"/>
                <w:szCs w:val="20"/>
              </w:rPr>
            </w:pPr>
            <w:proofErr w:type="spellStart"/>
            <w:r w:rsidRPr="00E669C5">
              <w:rPr>
                <w:rFonts w:ascii="VIC" w:hAnsi="VIC" w:cs="Arial"/>
                <w:sz w:val="20"/>
                <w:szCs w:val="20"/>
              </w:rPr>
              <w:t>Perfluoropropane</w:t>
            </w:r>
            <w:proofErr w:type="spellEnd"/>
          </w:p>
        </w:tc>
        <w:tc>
          <w:tcPr>
            <w:tcW w:w="3542" w:type="dxa"/>
            <w:tcBorders>
              <w:top w:val="single" w:sz="8" w:space="0" w:color="4472C4" w:themeColor="accent1"/>
              <w:left w:val="nil"/>
              <w:bottom w:val="single" w:sz="8" w:space="0" w:color="4472C4" w:themeColor="accent1"/>
              <w:right w:val="nil"/>
            </w:tcBorders>
            <w:hideMark/>
          </w:tcPr>
          <w:p w14:paraId="0BD244B9" w14:textId="77777777" w:rsidR="00543557" w:rsidRPr="00E669C5" w:rsidRDefault="00543557">
            <w:pPr>
              <w:pStyle w:val="TableText"/>
              <w:spacing w:before="30" w:after="30"/>
              <w:rPr>
                <w:rFonts w:ascii="VIC" w:hAnsi="VIC"/>
                <w:sz w:val="20"/>
                <w:szCs w:val="20"/>
              </w:rPr>
            </w:pPr>
            <w:r w:rsidRPr="00E669C5">
              <w:rPr>
                <w:rFonts w:ascii="VIC" w:hAnsi="VIC" w:cs="Arial"/>
                <w:sz w:val="20"/>
                <w:szCs w:val="20"/>
              </w:rPr>
              <w:t>C</w:t>
            </w:r>
            <w:r w:rsidRPr="00E669C5">
              <w:rPr>
                <w:rFonts w:ascii="VIC" w:hAnsi="VIC" w:cs="Arial"/>
                <w:sz w:val="20"/>
                <w:szCs w:val="20"/>
                <w:vertAlign w:val="subscript"/>
              </w:rPr>
              <w:t>3</w:t>
            </w:r>
            <w:r w:rsidRPr="00E669C5">
              <w:rPr>
                <w:rFonts w:ascii="VIC" w:hAnsi="VIC" w:cs="Arial"/>
                <w:sz w:val="20"/>
                <w:szCs w:val="20"/>
              </w:rPr>
              <w:t>F</w:t>
            </w:r>
            <w:r w:rsidRPr="00E669C5">
              <w:rPr>
                <w:rFonts w:ascii="VIC" w:hAnsi="VIC" w:cs="Arial"/>
                <w:sz w:val="20"/>
                <w:szCs w:val="20"/>
                <w:vertAlign w:val="subscript"/>
              </w:rPr>
              <w:t>8</w:t>
            </w:r>
          </w:p>
        </w:tc>
      </w:tr>
      <w:tr w:rsidR="00543557" w14:paraId="6DFAB0D6" w14:textId="77777777">
        <w:trPr>
          <w:cantSplit/>
        </w:trPr>
        <w:tc>
          <w:tcPr>
            <w:tcW w:w="1134" w:type="dxa"/>
            <w:tcBorders>
              <w:top w:val="single" w:sz="8" w:space="0" w:color="4472C4" w:themeColor="accent1"/>
              <w:left w:val="nil"/>
              <w:bottom w:val="single" w:sz="8" w:space="0" w:color="4472C4" w:themeColor="accent1"/>
              <w:right w:val="nil"/>
            </w:tcBorders>
            <w:hideMark/>
          </w:tcPr>
          <w:p w14:paraId="3C658600"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4</w:t>
            </w:r>
          </w:p>
        </w:tc>
        <w:tc>
          <w:tcPr>
            <w:tcW w:w="4962" w:type="dxa"/>
            <w:tcBorders>
              <w:top w:val="single" w:sz="8" w:space="0" w:color="4472C4" w:themeColor="accent1"/>
              <w:left w:val="nil"/>
              <w:bottom w:val="single" w:sz="8" w:space="0" w:color="4472C4" w:themeColor="accent1"/>
              <w:right w:val="nil"/>
            </w:tcBorders>
            <w:hideMark/>
          </w:tcPr>
          <w:p w14:paraId="1DD289CA" w14:textId="77777777" w:rsidR="00543557" w:rsidRPr="00E669C5" w:rsidRDefault="00543557">
            <w:pPr>
              <w:pStyle w:val="TableText"/>
              <w:spacing w:before="30" w:after="30"/>
              <w:rPr>
                <w:rFonts w:ascii="VIC" w:eastAsia="Times New Roman" w:hAnsi="VIC"/>
                <w:sz w:val="20"/>
                <w:szCs w:val="20"/>
                <w:lang w:eastAsia="en-AU"/>
              </w:rPr>
            </w:pPr>
            <w:proofErr w:type="spellStart"/>
            <w:r w:rsidRPr="00E669C5">
              <w:rPr>
                <w:rFonts w:ascii="VIC" w:hAnsi="VIC" w:cs="Arial"/>
                <w:sz w:val="20"/>
                <w:szCs w:val="20"/>
              </w:rPr>
              <w:t>Perfluorobutane</w:t>
            </w:r>
            <w:proofErr w:type="spellEnd"/>
          </w:p>
        </w:tc>
        <w:tc>
          <w:tcPr>
            <w:tcW w:w="3542" w:type="dxa"/>
            <w:tcBorders>
              <w:top w:val="single" w:sz="8" w:space="0" w:color="4472C4" w:themeColor="accent1"/>
              <w:left w:val="nil"/>
              <w:bottom w:val="single" w:sz="8" w:space="0" w:color="4472C4" w:themeColor="accent1"/>
              <w:right w:val="nil"/>
            </w:tcBorders>
            <w:hideMark/>
          </w:tcPr>
          <w:p w14:paraId="30FCD16B" w14:textId="77777777" w:rsidR="00543557" w:rsidRPr="00E669C5" w:rsidRDefault="00543557">
            <w:pPr>
              <w:pStyle w:val="TableText"/>
              <w:spacing w:before="30" w:after="30"/>
              <w:rPr>
                <w:rFonts w:ascii="VIC" w:eastAsia="MS Mincho" w:hAnsi="VIC"/>
                <w:sz w:val="20"/>
                <w:szCs w:val="20"/>
                <w:lang w:eastAsia="en-AU"/>
              </w:rPr>
            </w:pPr>
            <w:r w:rsidRPr="00E669C5">
              <w:rPr>
                <w:rFonts w:ascii="VIC" w:hAnsi="VIC" w:cs="Arial"/>
                <w:sz w:val="20"/>
                <w:szCs w:val="20"/>
              </w:rPr>
              <w:t>C</w:t>
            </w:r>
            <w:r w:rsidRPr="00E669C5">
              <w:rPr>
                <w:rFonts w:ascii="VIC" w:hAnsi="VIC" w:cs="Arial"/>
                <w:sz w:val="20"/>
                <w:szCs w:val="20"/>
                <w:vertAlign w:val="subscript"/>
              </w:rPr>
              <w:t>4</w:t>
            </w:r>
            <w:r w:rsidRPr="00E669C5">
              <w:rPr>
                <w:rFonts w:ascii="VIC" w:hAnsi="VIC" w:cs="Arial"/>
                <w:sz w:val="20"/>
                <w:szCs w:val="20"/>
              </w:rPr>
              <w:t>F</w:t>
            </w:r>
            <w:r w:rsidRPr="00E669C5">
              <w:rPr>
                <w:rFonts w:ascii="VIC" w:hAnsi="VIC" w:cs="Arial"/>
                <w:sz w:val="20"/>
                <w:szCs w:val="20"/>
                <w:vertAlign w:val="subscript"/>
              </w:rPr>
              <w:t>10</w:t>
            </w:r>
          </w:p>
        </w:tc>
      </w:tr>
      <w:tr w:rsidR="00543557" w14:paraId="671C5409" w14:textId="77777777">
        <w:trPr>
          <w:cantSplit/>
        </w:trPr>
        <w:tc>
          <w:tcPr>
            <w:tcW w:w="1134" w:type="dxa"/>
            <w:tcBorders>
              <w:top w:val="single" w:sz="8" w:space="0" w:color="4472C4" w:themeColor="accent1"/>
              <w:left w:val="nil"/>
              <w:bottom w:val="single" w:sz="8" w:space="0" w:color="4472C4" w:themeColor="accent1"/>
              <w:right w:val="nil"/>
            </w:tcBorders>
            <w:hideMark/>
          </w:tcPr>
          <w:p w14:paraId="455F0012"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5</w:t>
            </w:r>
          </w:p>
        </w:tc>
        <w:tc>
          <w:tcPr>
            <w:tcW w:w="4962" w:type="dxa"/>
            <w:tcBorders>
              <w:top w:val="single" w:sz="8" w:space="0" w:color="4472C4" w:themeColor="accent1"/>
              <w:left w:val="nil"/>
              <w:bottom w:val="single" w:sz="8" w:space="0" w:color="4472C4" w:themeColor="accent1"/>
              <w:right w:val="nil"/>
            </w:tcBorders>
            <w:hideMark/>
          </w:tcPr>
          <w:p w14:paraId="689295F7" w14:textId="77777777" w:rsidR="00543557" w:rsidRPr="00E669C5" w:rsidRDefault="00543557">
            <w:pPr>
              <w:pStyle w:val="TableText"/>
              <w:spacing w:before="30" w:after="30"/>
              <w:rPr>
                <w:rFonts w:ascii="VIC" w:hAnsi="VIC"/>
                <w:sz w:val="20"/>
                <w:szCs w:val="20"/>
              </w:rPr>
            </w:pPr>
            <w:r w:rsidRPr="00E669C5">
              <w:rPr>
                <w:rFonts w:ascii="VIC" w:hAnsi="VIC" w:cs="Arial"/>
                <w:sz w:val="20"/>
                <w:szCs w:val="20"/>
              </w:rPr>
              <w:t>Perfluorocyclobutane</w:t>
            </w:r>
          </w:p>
        </w:tc>
        <w:tc>
          <w:tcPr>
            <w:tcW w:w="3542" w:type="dxa"/>
            <w:tcBorders>
              <w:top w:val="single" w:sz="8" w:space="0" w:color="4472C4" w:themeColor="accent1"/>
              <w:left w:val="nil"/>
              <w:bottom w:val="single" w:sz="8" w:space="0" w:color="4472C4" w:themeColor="accent1"/>
              <w:right w:val="nil"/>
            </w:tcBorders>
            <w:hideMark/>
          </w:tcPr>
          <w:p w14:paraId="5A90265B"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c</w:t>
            </w:r>
            <w:r w:rsidRPr="00E669C5">
              <w:rPr>
                <w:rFonts w:ascii="VIC" w:hAnsi="VIC" w:cs="Arial"/>
                <w:sz w:val="20"/>
                <w:szCs w:val="20"/>
              </w:rPr>
              <w:noBreakHyphen/>
              <w:t>C</w:t>
            </w:r>
            <w:r w:rsidRPr="00E669C5">
              <w:rPr>
                <w:rFonts w:ascii="VIC" w:hAnsi="VIC" w:cs="Arial"/>
                <w:sz w:val="20"/>
                <w:szCs w:val="20"/>
                <w:vertAlign w:val="subscript"/>
              </w:rPr>
              <w:t>4</w:t>
            </w:r>
            <w:r w:rsidRPr="00E669C5">
              <w:rPr>
                <w:rFonts w:ascii="VIC" w:hAnsi="VIC" w:cs="Arial"/>
                <w:sz w:val="20"/>
                <w:szCs w:val="20"/>
              </w:rPr>
              <w:t>F</w:t>
            </w:r>
            <w:r w:rsidRPr="00E669C5">
              <w:rPr>
                <w:rFonts w:ascii="VIC" w:hAnsi="VIC" w:cs="Arial"/>
                <w:sz w:val="20"/>
                <w:szCs w:val="20"/>
                <w:vertAlign w:val="subscript"/>
              </w:rPr>
              <w:t>8</w:t>
            </w:r>
          </w:p>
        </w:tc>
      </w:tr>
      <w:tr w:rsidR="00543557" w14:paraId="38F6A17D" w14:textId="77777777">
        <w:trPr>
          <w:cantSplit/>
        </w:trPr>
        <w:tc>
          <w:tcPr>
            <w:tcW w:w="1134" w:type="dxa"/>
            <w:tcBorders>
              <w:top w:val="single" w:sz="8" w:space="0" w:color="4472C4" w:themeColor="accent1"/>
              <w:left w:val="nil"/>
              <w:bottom w:val="single" w:sz="8" w:space="0" w:color="4472C4" w:themeColor="accent1"/>
              <w:right w:val="nil"/>
            </w:tcBorders>
            <w:hideMark/>
          </w:tcPr>
          <w:p w14:paraId="44D0DB73"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6</w:t>
            </w:r>
          </w:p>
        </w:tc>
        <w:tc>
          <w:tcPr>
            <w:tcW w:w="4962" w:type="dxa"/>
            <w:tcBorders>
              <w:top w:val="single" w:sz="8" w:space="0" w:color="4472C4" w:themeColor="accent1"/>
              <w:left w:val="nil"/>
              <w:bottom w:val="single" w:sz="8" w:space="0" w:color="4472C4" w:themeColor="accent1"/>
              <w:right w:val="nil"/>
            </w:tcBorders>
            <w:hideMark/>
          </w:tcPr>
          <w:p w14:paraId="1B7FA020" w14:textId="77777777" w:rsidR="00543557" w:rsidRPr="00E669C5" w:rsidRDefault="00543557">
            <w:pPr>
              <w:pStyle w:val="TableText"/>
              <w:spacing w:before="30" w:after="30"/>
              <w:rPr>
                <w:rFonts w:ascii="VIC" w:hAnsi="VIC"/>
                <w:sz w:val="20"/>
                <w:szCs w:val="20"/>
              </w:rPr>
            </w:pPr>
            <w:proofErr w:type="spellStart"/>
            <w:r w:rsidRPr="00E669C5">
              <w:rPr>
                <w:rFonts w:ascii="VIC" w:hAnsi="VIC" w:cs="Arial"/>
                <w:sz w:val="20"/>
                <w:szCs w:val="20"/>
              </w:rPr>
              <w:t>Perfluoropentane</w:t>
            </w:r>
            <w:proofErr w:type="spellEnd"/>
          </w:p>
        </w:tc>
        <w:tc>
          <w:tcPr>
            <w:tcW w:w="3542" w:type="dxa"/>
            <w:tcBorders>
              <w:top w:val="single" w:sz="8" w:space="0" w:color="4472C4" w:themeColor="accent1"/>
              <w:left w:val="nil"/>
              <w:bottom w:val="single" w:sz="8" w:space="0" w:color="4472C4" w:themeColor="accent1"/>
              <w:right w:val="nil"/>
            </w:tcBorders>
            <w:hideMark/>
          </w:tcPr>
          <w:p w14:paraId="0A2E9AD5"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C</w:t>
            </w:r>
            <w:r w:rsidRPr="00E669C5">
              <w:rPr>
                <w:rFonts w:ascii="VIC" w:hAnsi="VIC" w:cs="Arial"/>
                <w:sz w:val="20"/>
                <w:szCs w:val="20"/>
                <w:vertAlign w:val="subscript"/>
              </w:rPr>
              <w:t>5</w:t>
            </w:r>
            <w:r w:rsidRPr="00E669C5">
              <w:rPr>
                <w:rFonts w:ascii="VIC" w:hAnsi="VIC" w:cs="Arial"/>
                <w:sz w:val="20"/>
                <w:szCs w:val="20"/>
              </w:rPr>
              <w:t>F</w:t>
            </w:r>
            <w:r w:rsidRPr="00E669C5">
              <w:rPr>
                <w:rFonts w:ascii="VIC" w:hAnsi="VIC" w:cs="Arial"/>
                <w:sz w:val="20"/>
                <w:szCs w:val="20"/>
                <w:vertAlign w:val="subscript"/>
              </w:rPr>
              <w:t>12</w:t>
            </w:r>
          </w:p>
        </w:tc>
      </w:tr>
      <w:tr w:rsidR="00543557" w14:paraId="26437269" w14:textId="77777777">
        <w:trPr>
          <w:cantSplit/>
        </w:trPr>
        <w:tc>
          <w:tcPr>
            <w:tcW w:w="1134" w:type="dxa"/>
            <w:tcBorders>
              <w:top w:val="single" w:sz="8" w:space="0" w:color="4472C4" w:themeColor="accent1"/>
              <w:left w:val="nil"/>
              <w:bottom w:val="single" w:sz="8" w:space="0" w:color="4472C4" w:themeColor="accent1"/>
              <w:right w:val="nil"/>
            </w:tcBorders>
            <w:hideMark/>
          </w:tcPr>
          <w:p w14:paraId="689E1685"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7</w:t>
            </w:r>
          </w:p>
        </w:tc>
        <w:tc>
          <w:tcPr>
            <w:tcW w:w="4962" w:type="dxa"/>
            <w:tcBorders>
              <w:top w:val="single" w:sz="8" w:space="0" w:color="4472C4" w:themeColor="accent1"/>
              <w:left w:val="nil"/>
              <w:bottom w:val="single" w:sz="8" w:space="0" w:color="4472C4" w:themeColor="accent1"/>
              <w:right w:val="nil"/>
            </w:tcBorders>
            <w:hideMark/>
          </w:tcPr>
          <w:p w14:paraId="13D2CB8E" w14:textId="77777777" w:rsidR="00543557" w:rsidRPr="00E669C5" w:rsidRDefault="00543557">
            <w:pPr>
              <w:pStyle w:val="TableText"/>
              <w:spacing w:before="30" w:after="30"/>
              <w:rPr>
                <w:rFonts w:ascii="VIC" w:hAnsi="VIC"/>
                <w:sz w:val="20"/>
                <w:szCs w:val="20"/>
              </w:rPr>
            </w:pPr>
            <w:proofErr w:type="spellStart"/>
            <w:r w:rsidRPr="00E669C5">
              <w:rPr>
                <w:rFonts w:ascii="VIC" w:hAnsi="VIC" w:cs="Arial"/>
                <w:sz w:val="20"/>
                <w:szCs w:val="20"/>
              </w:rPr>
              <w:t>Perfluorohexane</w:t>
            </w:r>
            <w:proofErr w:type="spellEnd"/>
          </w:p>
        </w:tc>
        <w:tc>
          <w:tcPr>
            <w:tcW w:w="3542" w:type="dxa"/>
            <w:tcBorders>
              <w:top w:val="single" w:sz="8" w:space="0" w:color="4472C4" w:themeColor="accent1"/>
              <w:left w:val="nil"/>
              <w:bottom w:val="single" w:sz="8" w:space="0" w:color="4472C4" w:themeColor="accent1"/>
              <w:right w:val="nil"/>
            </w:tcBorders>
            <w:hideMark/>
          </w:tcPr>
          <w:p w14:paraId="18D7B4E5"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C</w:t>
            </w:r>
            <w:r w:rsidRPr="00E669C5">
              <w:rPr>
                <w:rFonts w:ascii="VIC" w:hAnsi="VIC" w:cs="Arial"/>
                <w:sz w:val="20"/>
                <w:szCs w:val="20"/>
                <w:vertAlign w:val="subscript"/>
              </w:rPr>
              <w:t>6</w:t>
            </w:r>
            <w:r w:rsidRPr="00E669C5">
              <w:rPr>
                <w:rFonts w:ascii="VIC" w:hAnsi="VIC" w:cs="Arial"/>
                <w:sz w:val="20"/>
                <w:szCs w:val="20"/>
              </w:rPr>
              <w:t>F</w:t>
            </w:r>
            <w:r w:rsidRPr="00E669C5">
              <w:rPr>
                <w:rFonts w:ascii="VIC" w:hAnsi="VIC" w:cs="Arial"/>
                <w:sz w:val="20"/>
                <w:szCs w:val="20"/>
                <w:vertAlign w:val="subscript"/>
              </w:rPr>
              <w:t>14</w:t>
            </w:r>
          </w:p>
        </w:tc>
      </w:tr>
    </w:tbl>
    <w:p w14:paraId="0488E8FC" w14:textId="22171585" w:rsidR="00543557" w:rsidRPr="00E669C5" w:rsidRDefault="00543557" w:rsidP="008751DA">
      <w:pPr>
        <w:spacing w:before="120"/>
      </w:pPr>
      <w:bookmarkStart w:id="309" w:name="AppendixWIGN"/>
      <w:bookmarkEnd w:id="309"/>
      <w:r w:rsidRPr="00E669C5">
        <w:t xml:space="preserve">The </w:t>
      </w:r>
      <w:hyperlink r:id="rId163" w:history="1">
        <w:r w:rsidRPr="00194A39">
          <w:rPr>
            <w:rStyle w:val="Hyperlink"/>
            <w:rFonts w:ascii="VIC" w:hAnsi="VIC"/>
          </w:rPr>
          <w:t>National Greenhouse Accounts Factors</w:t>
        </w:r>
      </w:hyperlink>
      <w:r w:rsidRPr="00E669C5">
        <w:t xml:space="preserve"> provides methods that help businesses estimate their GHG emissions. The Commonwealth Government publishes revised factors every year. </w:t>
      </w:r>
    </w:p>
    <w:p w14:paraId="452BF0C6" w14:textId="58DA140C" w:rsidR="007A20FE" w:rsidRDefault="007A20FE" w:rsidP="001200DE">
      <w:pPr>
        <w:sectPr w:rsidR="007A20FE" w:rsidSect="00435653">
          <w:pgSz w:w="11900" w:h="16840"/>
          <w:pgMar w:top="1028" w:right="740" w:bottom="1320" w:left="987" w:header="283" w:footer="798" w:gutter="0"/>
          <w:cols w:space="720"/>
        </w:sectPr>
      </w:pPr>
    </w:p>
    <w:p w14:paraId="6581CDC5" w14:textId="0CF59784" w:rsidR="0047754A" w:rsidRPr="00C0542F" w:rsidRDefault="00927E13" w:rsidP="001A29E6">
      <w:pPr>
        <w:pStyle w:val="Heading1"/>
        <w:rPr>
          <w:b/>
          <w:bCs/>
          <w:iCs/>
        </w:rPr>
      </w:pPr>
      <w:bookmarkStart w:id="310" w:name="_bookmark40"/>
      <w:bookmarkStart w:id="311" w:name="_Toc114045825"/>
      <w:bookmarkStart w:id="312" w:name="_Toc114566231"/>
      <w:bookmarkEnd w:id="310"/>
      <w:r w:rsidRPr="00C0542F">
        <w:rPr>
          <w:b/>
          <w:bCs/>
        </w:rPr>
        <w:lastRenderedPageBreak/>
        <w:t xml:space="preserve">Appendix B – </w:t>
      </w:r>
      <w:bookmarkStart w:id="313" w:name="_Toc112341050"/>
      <w:r w:rsidR="0047754A" w:rsidRPr="00C0542F">
        <w:rPr>
          <w:b/>
          <w:bCs/>
          <w:iCs/>
        </w:rPr>
        <w:t xml:space="preserve">Action plan </w:t>
      </w:r>
      <w:r w:rsidR="001A29E6" w:rsidRPr="00C0542F">
        <w:rPr>
          <w:b/>
          <w:bCs/>
          <w:iCs/>
        </w:rPr>
        <w:t xml:space="preserve">template </w:t>
      </w:r>
      <w:bookmarkEnd w:id="311"/>
      <w:bookmarkEnd w:id="312"/>
      <w:bookmarkEnd w:id="313"/>
    </w:p>
    <w:p w14:paraId="24B5B54D" w14:textId="77777777" w:rsidR="00523D31" w:rsidRDefault="00523D31" w:rsidP="00DD0621">
      <w:r>
        <w:t>You can use this template to list actions you can take to improve the way you control your GHG emission risks.</w:t>
      </w:r>
    </w:p>
    <w:tbl>
      <w:tblPr>
        <w:tblStyle w:val="EPATable"/>
        <w:tblW w:w="4647" w:type="pct"/>
        <w:tblLook w:val="0620" w:firstRow="1" w:lastRow="0" w:firstColumn="0" w:lastColumn="0" w:noHBand="1" w:noVBand="1"/>
        <w:tblCaption w:val="Action Plan template"/>
        <w:tblDescription w:val="The table is an Action Plan template that can be used to list actions and improve the way businesses control their greenhouse gas emissions risks."/>
      </w:tblPr>
      <w:tblGrid>
        <w:gridCol w:w="3525"/>
        <w:gridCol w:w="2509"/>
        <w:gridCol w:w="1765"/>
        <w:gridCol w:w="1831"/>
        <w:gridCol w:w="1524"/>
        <w:gridCol w:w="2459"/>
      </w:tblGrid>
      <w:tr w:rsidR="00F13F4F" w14:paraId="67A4383A" w14:textId="77777777" w:rsidTr="002B1FBA">
        <w:trPr>
          <w:cnfStyle w:val="100000000000" w:firstRow="1" w:lastRow="0" w:firstColumn="0" w:lastColumn="0" w:oddVBand="0" w:evenVBand="0" w:oddHBand="0" w:evenHBand="0" w:firstRowFirstColumn="0" w:firstRowLastColumn="0" w:lastRowFirstColumn="0" w:lastRowLastColumn="0"/>
        </w:trPr>
        <w:tc>
          <w:tcPr>
            <w:tcW w:w="3525" w:type="dxa"/>
            <w:tcBorders>
              <w:top w:val="single" w:sz="6" w:space="0" w:color="005FB4"/>
              <w:left w:val="nil"/>
              <w:bottom w:val="single" w:sz="4" w:space="0" w:color="005FB4"/>
              <w:right w:val="nil"/>
            </w:tcBorders>
            <w:shd w:val="clear" w:color="auto" w:fill="auto"/>
          </w:tcPr>
          <w:p w14:paraId="2D30E590" w14:textId="298B7F87"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Action required</w:t>
            </w:r>
          </w:p>
        </w:tc>
        <w:tc>
          <w:tcPr>
            <w:tcW w:w="2509" w:type="dxa"/>
            <w:tcBorders>
              <w:top w:val="single" w:sz="6" w:space="0" w:color="005FB4"/>
              <w:left w:val="nil"/>
              <w:bottom w:val="single" w:sz="4" w:space="0" w:color="005FB4"/>
              <w:right w:val="nil"/>
            </w:tcBorders>
            <w:shd w:val="clear" w:color="auto" w:fill="auto"/>
          </w:tcPr>
          <w:p w14:paraId="47E398DB" w14:textId="67A83076"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Objective</w:t>
            </w:r>
          </w:p>
        </w:tc>
        <w:tc>
          <w:tcPr>
            <w:tcW w:w="1765" w:type="dxa"/>
            <w:tcBorders>
              <w:top w:val="single" w:sz="6" w:space="0" w:color="005FB4"/>
              <w:left w:val="nil"/>
              <w:bottom w:val="single" w:sz="4" w:space="0" w:color="005FB4"/>
              <w:right w:val="nil"/>
            </w:tcBorders>
            <w:shd w:val="clear" w:color="auto" w:fill="auto"/>
          </w:tcPr>
          <w:p w14:paraId="016BF7B5" w14:textId="3A581794"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Action owner (who)</w:t>
            </w:r>
          </w:p>
        </w:tc>
        <w:tc>
          <w:tcPr>
            <w:tcW w:w="1831" w:type="dxa"/>
            <w:tcBorders>
              <w:top w:val="single" w:sz="6" w:space="0" w:color="005FB4"/>
              <w:left w:val="nil"/>
              <w:bottom w:val="single" w:sz="4" w:space="0" w:color="005FB4"/>
              <w:right w:val="nil"/>
            </w:tcBorders>
            <w:shd w:val="clear" w:color="auto" w:fill="auto"/>
          </w:tcPr>
          <w:p w14:paraId="260A8EAE" w14:textId="608D5424"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Target completion date</w:t>
            </w:r>
          </w:p>
        </w:tc>
        <w:tc>
          <w:tcPr>
            <w:tcW w:w="1524" w:type="dxa"/>
            <w:tcBorders>
              <w:top w:val="single" w:sz="6" w:space="0" w:color="005FB4"/>
              <w:left w:val="nil"/>
              <w:bottom w:val="single" w:sz="4" w:space="0" w:color="005FB4"/>
              <w:right w:val="nil"/>
            </w:tcBorders>
            <w:shd w:val="clear" w:color="auto" w:fill="auto"/>
          </w:tcPr>
          <w:p w14:paraId="7E107E54" w14:textId="28E1DEF1"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Date action reviewed</w:t>
            </w:r>
          </w:p>
        </w:tc>
        <w:tc>
          <w:tcPr>
            <w:tcW w:w="2459" w:type="dxa"/>
            <w:tcBorders>
              <w:top w:val="single" w:sz="6" w:space="0" w:color="005FB4"/>
              <w:left w:val="nil"/>
              <w:bottom w:val="single" w:sz="4" w:space="0" w:color="005FB4"/>
              <w:right w:val="nil"/>
            </w:tcBorders>
            <w:shd w:val="clear" w:color="auto" w:fill="auto"/>
          </w:tcPr>
          <w:p w14:paraId="59CB4F0B" w14:textId="7C3292AC"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Additional comments (post review)</w:t>
            </w:r>
          </w:p>
        </w:tc>
      </w:tr>
      <w:tr w:rsidR="00F13F4F" w14:paraId="3989CE27" w14:textId="77777777" w:rsidTr="00475F85">
        <w:tc>
          <w:tcPr>
            <w:tcW w:w="3525" w:type="dxa"/>
            <w:tcBorders>
              <w:top w:val="single" w:sz="4" w:space="0" w:color="005FB4"/>
              <w:left w:val="nil"/>
              <w:bottom w:val="single" w:sz="8" w:space="0" w:color="4472C4" w:themeColor="accent1"/>
              <w:right w:val="nil"/>
            </w:tcBorders>
            <w:hideMark/>
          </w:tcPr>
          <w:p w14:paraId="42DB144B" w14:textId="77777777" w:rsidR="00F13F4F" w:rsidRPr="00523D31" w:rsidRDefault="00F13F4F" w:rsidP="00F13F4F">
            <w:pPr>
              <w:pStyle w:val="TableText"/>
              <w:spacing w:before="30" w:after="30"/>
              <w:rPr>
                <w:rFonts w:ascii="VIC" w:hAnsi="VIC"/>
                <w:sz w:val="20"/>
                <w:szCs w:val="20"/>
              </w:rPr>
            </w:pPr>
            <w:r w:rsidRPr="00523D31">
              <w:rPr>
                <w:rFonts w:ascii="VIC" w:hAnsi="VIC"/>
                <w:sz w:val="20"/>
                <w:szCs w:val="20"/>
              </w:rPr>
              <w:t xml:space="preserve">Look at </w:t>
            </w:r>
            <w:hyperlink r:id="rId164" w:history="1">
              <w:r w:rsidRPr="00523D31">
                <w:rPr>
                  <w:rStyle w:val="Hyperlink"/>
                  <w:rFonts w:ascii="VIC" w:hAnsi="VIC"/>
                  <w:szCs w:val="20"/>
                </w:rPr>
                <w:t>Sustainability Victoria’s energy efficiency and reducing emissions webpage</w:t>
              </w:r>
            </w:hyperlink>
          </w:p>
        </w:tc>
        <w:tc>
          <w:tcPr>
            <w:tcW w:w="2509" w:type="dxa"/>
            <w:tcBorders>
              <w:top w:val="single" w:sz="4" w:space="0" w:color="005FB4"/>
              <w:left w:val="nil"/>
              <w:bottom w:val="single" w:sz="8" w:space="0" w:color="4472C4" w:themeColor="accent1"/>
              <w:right w:val="nil"/>
            </w:tcBorders>
            <w:hideMark/>
          </w:tcPr>
          <w:p w14:paraId="69A649B3" w14:textId="1BC8AA48" w:rsidR="00F13F4F" w:rsidRPr="00523D31" w:rsidRDefault="00F13F4F" w:rsidP="00F13F4F">
            <w:pPr>
              <w:pStyle w:val="TableText"/>
              <w:spacing w:before="30" w:after="30"/>
              <w:rPr>
                <w:rFonts w:ascii="VIC" w:hAnsi="VIC"/>
                <w:sz w:val="20"/>
                <w:szCs w:val="20"/>
              </w:rPr>
            </w:pPr>
            <w:r w:rsidRPr="00523D31">
              <w:rPr>
                <w:rFonts w:ascii="VIC" w:hAnsi="VIC"/>
                <w:sz w:val="20"/>
                <w:szCs w:val="20"/>
              </w:rPr>
              <w:t xml:space="preserve">Reduce </w:t>
            </w:r>
            <w:r w:rsidR="007D792C">
              <w:rPr>
                <w:rFonts w:ascii="VIC" w:hAnsi="VIC"/>
                <w:sz w:val="20"/>
                <w:szCs w:val="20"/>
              </w:rPr>
              <w:t>Scope 2</w:t>
            </w:r>
            <w:r w:rsidRPr="00523D31">
              <w:rPr>
                <w:rFonts w:ascii="VIC" w:hAnsi="VIC"/>
                <w:sz w:val="20"/>
                <w:szCs w:val="20"/>
              </w:rPr>
              <w:t xml:space="preserve"> GHG emissions</w:t>
            </w:r>
          </w:p>
        </w:tc>
        <w:tc>
          <w:tcPr>
            <w:tcW w:w="1765" w:type="dxa"/>
            <w:tcBorders>
              <w:top w:val="single" w:sz="4" w:space="0" w:color="005FB4"/>
              <w:left w:val="nil"/>
              <w:bottom w:val="single" w:sz="8" w:space="0" w:color="4472C4" w:themeColor="accent1"/>
              <w:right w:val="nil"/>
            </w:tcBorders>
            <w:hideMark/>
          </w:tcPr>
          <w:p w14:paraId="2B664AAB" w14:textId="77777777" w:rsidR="00F13F4F" w:rsidRPr="00523D31" w:rsidRDefault="00F13F4F" w:rsidP="00F13F4F">
            <w:pPr>
              <w:pStyle w:val="TableText"/>
              <w:spacing w:before="30" w:after="30"/>
              <w:rPr>
                <w:rFonts w:ascii="VIC" w:hAnsi="VIC"/>
                <w:sz w:val="20"/>
                <w:szCs w:val="20"/>
              </w:rPr>
            </w:pPr>
            <w:r w:rsidRPr="00523D31">
              <w:rPr>
                <w:rFonts w:ascii="VIC" w:hAnsi="VIC"/>
                <w:sz w:val="20"/>
                <w:szCs w:val="20"/>
              </w:rPr>
              <w:t>Dominique</w:t>
            </w:r>
          </w:p>
        </w:tc>
        <w:tc>
          <w:tcPr>
            <w:tcW w:w="1831" w:type="dxa"/>
            <w:tcBorders>
              <w:top w:val="single" w:sz="4" w:space="0" w:color="005FB4"/>
              <w:left w:val="nil"/>
              <w:bottom w:val="single" w:sz="8" w:space="0" w:color="4472C4" w:themeColor="accent1"/>
              <w:right w:val="nil"/>
            </w:tcBorders>
            <w:hideMark/>
          </w:tcPr>
          <w:p w14:paraId="0E4B5884" w14:textId="77777777" w:rsidR="00F13F4F" w:rsidRPr="00523D31" w:rsidRDefault="00F13F4F" w:rsidP="00F13F4F">
            <w:pPr>
              <w:pStyle w:val="TableText"/>
              <w:spacing w:before="30" w:after="30"/>
              <w:rPr>
                <w:rFonts w:ascii="VIC" w:hAnsi="VIC"/>
                <w:sz w:val="20"/>
                <w:szCs w:val="20"/>
              </w:rPr>
            </w:pPr>
            <w:r w:rsidRPr="00523D31">
              <w:rPr>
                <w:rFonts w:ascii="VIC" w:hAnsi="VIC"/>
                <w:sz w:val="20"/>
                <w:szCs w:val="20"/>
              </w:rPr>
              <w:t>30/09/2023</w:t>
            </w:r>
          </w:p>
        </w:tc>
        <w:tc>
          <w:tcPr>
            <w:tcW w:w="1524" w:type="dxa"/>
            <w:tcBorders>
              <w:top w:val="single" w:sz="4" w:space="0" w:color="005FB4"/>
              <w:left w:val="nil"/>
              <w:bottom w:val="single" w:sz="8" w:space="0" w:color="4472C4" w:themeColor="accent1"/>
              <w:right w:val="nil"/>
            </w:tcBorders>
          </w:tcPr>
          <w:p w14:paraId="7B8F83FC" w14:textId="77777777" w:rsidR="00F13F4F" w:rsidRPr="00523D31" w:rsidRDefault="00F13F4F" w:rsidP="00F13F4F">
            <w:pPr>
              <w:pStyle w:val="TableText"/>
              <w:spacing w:before="30" w:after="30"/>
              <w:rPr>
                <w:rFonts w:ascii="VIC" w:hAnsi="VIC"/>
                <w:sz w:val="20"/>
                <w:szCs w:val="20"/>
              </w:rPr>
            </w:pPr>
          </w:p>
        </w:tc>
        <w:tc>
          <w:tcPr>
            <w:tcW w:w="2459" w:type="dxa"/>
            <w:tcBorders>
              <w:top w:val="single" w:sz="4" w:space="0" w:color="005FB4"/>
              <w:left w:val="nil"/>
              <w:bottom w:val="single" w:sz="8" w:space="0" w:color="4472C4" w:themeColor="accent1"/>
              <w:right w:val="nil"/>
            </w:tcBorders>
          </w:tcPr>
          <w:p w14:paraId="4BC7580D" w14:textId="77777777" w:rsidR="00F13F4F" w:rsidRPr="00523D31" w:rsidRDefault="00F13F4F" w:rsidP="00F13F4F">
            <w:pPr>
              <w:pStyle w:val="TableText"/>
              <w:spacing w:before="30" w:after="30"/>
              <w:rPr>
                <w:rFonts w:ascii="VIC" w:hAnsi="VIC"/>
                <w:sz w:val="20"/>
                <w:szCs w:val="20"/>
              </w:rPr>
            </w:pPr>
          </w:p>
        </w:tc>
      </w:tr>
      <w:tr w:rsidR="00F13F4F" w14:paraId="7E84F1E9" w14:textId="77777777" w:rsidTr="00F13F4F">
        <w:tc>
          <w:tcPr>
            <w:tcW w:w="3525" w:type="dxa"/>
            <w:tcBorders>
              <w:top w:val="single" w:sz="8" w:space="0" w:color="4472C4" w:themeColor="accent1"/>
              <w:left w:val="nil"/>
              <w:bottom w:val="single" w:sz="8" w:space="0" w:color="4472C4" w:themeColor="accent1"/>
              <w:right w:val="nil"/>
            </w:tcBorders>
          </w:tcPr>
          <w:p w14:paraId="76B6896D" w14:textId="77777777" w:rsidR="00F13F4F" w:rsidRDefault="00F13F4F"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53C323F1" w14:textId="77777777" w:rsidR="00F13F4F" w:rsidRDefault="00F13F4F" w:rsidP="00F13F4F">
            <w:pPr>
              <w:pStyle w:val="TableText"/>
              <w:spacing w:before="30" w:after="30"/>
            </w:pPr>
          </w:p>
        </w:tc>
        <w:tc>
          <w:tcPr>
            <w:tcW w:w="1765" w:type="dxa"/>
            <w:tcBorders>
              <w:top w:val="single" w:sz="8" w:space="0" w:color="4472C4" w:themeColor="accent1"/>
              <w:left w:val="nil"/>
              <w:bottom w:val="single" w:sz="8" w:space="0" w:color="4472C4" w:themeColor="accent1"/>
              <w:right w:val="nil"/>
            </w:tcBorders>
          </w:tcPr>
          <w:p w14:paraId="0046AC72" w14:textId="77777777" w:rsidR="00F13F4F" w:rsidRDefault="00F13F4F"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3252475D" w14:textId="77777777" w:rsidR="00F13F4F" w:rsidRDefault="00F13F4F"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19888C3D" w14:textId="77777777" w:rsidR="00F13F4F" w:rsidRDefault="00F13F4F"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2678ACAB" w14:textId="77777777" w:rsidR="00F13F4F" w:rsidRDefault="00F13F4F" w:rsidP="00F13F4F">
            <w:pPr>
              <w:pStyle w:val="TableText"/>
              <w:spacing w:before="30" w:after="30"/>
            </w:pPr>
          </w:p>
        </w:tc>
      </w:tr>
      <w:tr w:rsidR="00F13F4F" w14:paraId="4E70CABD" w14:textId="77777777" w:rsidTr="00F13F4F">
        <w:tc>
          <w:tcPr>
            <w:tcW w:w="3525" w:type="dxa"/>
            <w:tcBorders>
              <w:top w:val="single" w:sz="8" w:space="0" w:color="4472C4" w:themeColor="accent1"/>
              <w:left w:val="nil"/>
              <w:bottom w:val="single" w:sz="8" w:space="0" w:color="4472C4" w:themeColor="accent1"/>
              <w:right w:val="nil"/>
            </w:tcBorders>
          </w:tcPr>
          <w:p w14:paraId="4D417706" w14:textId="77777777" w:rsidR="00F13F4F" w:rsidRDefault="00F13F4F"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637FF2ED" w14:textId="77777777" w:rsidR="00F13F4F" w:rsidRDefault="00F13F4F" w:rsidP="00F13F4F">
            <w:pPr>
              <w:pStyle w:val="TableText"/>
              <w:spacing w:before="30" w:after="30"/>
              <w:rPr>
                <w:lang w:eastAsia="en-AU"/>
              </w:rPr>
            </w:pPr>
          </w:p>
        </w:tc>
        <w:tc>
          <w:tcPr>
            <w:tcW w:w="1765" w:type="dxa"/>
            <w:tcBorders>
              <w:top w:val="single" w:sz="8" w:space="0" w:color="4472C4" w:themeColor="accent1"/>
              <w:left w:val="nil"/>
              <w:bottom w:val="single" w:sz="8" w:space="0" w:color="4472C4" w:themeColor="accent1"/>
              <w:right w:val="nil"/>
            </w:tcBorders>
          </w:tcPr>
          <w:p w14:paraId="3E974E75" w14:textId="77777777" w:rsidR="00F13F4F" w:rsidRDefault="00F13F4F"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4DA9A89C" w14:textId="77777777" w:rsidR="00F13F4F" w:rsidRDefault="00F13F4F"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00B634CE" w14:textId="77777777" w:rsidR="00F13F4F" w:rsidRDefault="00F13F4F"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691464ED" w14:textId="77777777" w:rsidR="00F13F4F" w:rsidRDefault="00F13F4F" w:rsidP="00F13F4F">
            <w:pPr>
              <w:pStyle w:val="TableText"/>
              <w:spacing w:before="30" w:after="30"/>
            </w:pPr>
          </w:p>
        </w:tc>
      </w:tr>
      <w:tr w:rsidR="00F13F4F" w14:paraId="0309AD2B" w14:textId="77777777" w:rsidTr="00F13F4F">
        <w:tc>
          <w:tcPr>
            <w:tcW w:w="3525" w:type="dxa"/>
            <w:tcBorders>
              <w:top w:val="single" w:sz="8" w:space="0" w:color="4472C4" w:themeColor="accent1"/>
              <w:left w:val="nil"/>
              <w:bottom w:val="single" w:sz="8" w:space="0" w:color="4472C4" w:themeColor="accent1"/>
              <w:right w:val="nil"/>
            </w:tcBorders>
          </w:tcPr>
          <w:p w14:paraId="581E9684" w14:textId="77777777" w:rsidR="00F13F4F" w:rsidRDefault="00F13F4F"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28812856" w14:textId="77777777" w:rsidR="00F13F4F" w:rsidRDefault="00F13F4F" w:rsidP="00F13F4F">
            <w:pPr>
              <w:pStyle w:val="TableText"/>
              <w:spacing w:before="30" w:after="30"/>
            </w:pPr>
          </w:p>
        </w:tc>
        <w:tc>
          <w:tcPr>
            <w:tcW w:w="1765" w:type="dxa"/>
            <w:tcBorders>
              <w:top w:val="single" w:sz="8" w:space="0" w:color="4472C4" w:themeColor="accent1"/>
              <w:left w:val="nil"/>
              <w:bottom w:val="single" w:sz="8" w:space="0" w:color="4472C4" w:themeColor="accent1"/>
              <w:right w:val="nil"/>
            </w:tcBorders>
          </w:tcPr>
          <w:p w14:paraId="7DF531AC" w14:textId="77777777" w:rsidR="00F13F4F" w:rsidRDefault="00F13F4F"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427F89CC" w14:textId="77777777" w:rsidR="00F13F4F" w:rsidRDefault="00F13F4F"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31D629C2" w14:textId="77777777" w:rsidR="00F13F4F" w:rsidRDefault="00F13F4F"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000CB85E" w14:textId="77777777" w:rsidR="00F13F4F" w:rsidRDefault="00F13F4F" w:rsidP="00F13F4F">
            <w:pPr>
              <w:pStyle w:val="TableText"/>
              <w:spacing w:before="30" w:after="30"/>
            </w:pPr>
          </w:p>
        </w:tc>
      </w:tr>
      <w:tr w:rsidR="005732C9" w14:paraId="3AA14445" w14:textId="77777777" w:rsidTr="00F13F4F">
        <w:tc>
          <w:tcPr>
            <w:tcW w:w="3525" w:type="dxa"/>
            <w:tcBorders>
              <w:top w:val="single" w:sz="8" w:space="0" w:color="4472C4" w:themeColor="accent1"/>
              <w:left w:val="nil"/>
              <w:bottom w:val="single" w:sz="8" w:space="0" w:color="4472C4" w:themeColor="accent1"/>
              <w:right w:val="nil"/>
            </w:tcBorders>
          </w:tcPr>
          <w:p w14:paraId="0861025E" w14:textId="77777777" w:rsidR="005732C9" w:rsidRDefault="005732C9"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0CA489EC" w14:textId="77777777" w:rsidR="005732C9" w:rsidRDefault="005732C9" w:rsidP="00F13F4F">
            <w:pPr>
              <w:pStyle w:val="TableText"/>
              <w:spacing w:before="30" w:after="30"/>
            </w:pPr>
          </w:p>
        </w:tc>
        <w:tc>
          <w:tcPr>
            <w:tcW w:w="1765" w:type="dxa"/>
            <w:tcBorders>
              <w:top w:val="single" w:sz="8" w:space="0" w:color="4472C4" w:themeColor="accent1"/>
              <w:left w:val="nil"/>
              <w:bottom w:val="single" w:sz="8" w:space="0" w:color="4472C4" w:themeColor="accent1"/>
              <w:right w:val="nil"/>
            </w:tcBorders>
          </w:tcPr>
          <w:p w14:paraId="1F4BD7F0" w14:textId="77777777" w:rsidR="005732C9" w:rsidRDefault="005732C9"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3BA7C451" w14:textId="77777777" w:rsidR="005732C9" w:rsidRDefault="005732C9"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2E231EC2" w14:textId="77777777" w:rsidR="005732C9" w:rsidRDefault="005732C9"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145FCF52" w14:textId="77777777" w:rsidR="005732C9" w:rsidRDefault="005732C9" w:rsidP="00F13F4F">
            <w:pPr>
              <w:pStyle w:val="TableText"/>
              <w:spacing w:before="30" w:after="30"/>
            </w:pPr>
          </w:p>
        </w:tc>
      </w:tr>
    </w:tbl>
    <w:p w14:paraId="427D097C" w14:textId="58C4656E" w:rsidR="005732C9" w:rsidRDefault="005732C9">
      <w:pPr>
        <w:spacing w:after="0"/>
        <w:rPr>
          <w:rFonts w:eastAsiaTheme="majorEastAsia" w:cstheme="majorBidi"/>
          <w:color w:val="005FB4"/>
          <w:sz w:val="36"/>
          <w:szCs w:val="32"/>
        </w:rPr>
      </w:pPr>
      <w:r>
        <w:rPr>
          <w:rFonts w:eastAsiaTheme="majorEastAsia" w:cstheme="majorBidi"/>
          <w:color w:val="005FB4"/>
          <w:sz w:val="36"/>
          <w:szCs w:val="32"/>
        </w:rPr>
        <w:br w:type="page"/>
      </w:r>
    </w:p>
    <w:p w14:paraId="43D4723F" w14:textId="77777777" w:rsidR="005732C9" w:rsidRPr="00383BA9" w:rsidRDefault="005732C9" w:rsidP="005732C9">
      <w:pPr>
        <w:pStyle w:val="Heading1"/>
        <w:rPr>
          <w:b/>
          <w:bCs/>
        </w:rPr>
      </w:pPr>
      <w:bookmarkStart w:id="314" w:name="_Toc85802376"/>
      <w:bookmarkStart w:id="315" w:name="_Toc87612607"/>
      <w:bookmarkStart w:id="316" w:name="_Toc112341047"/>
      <w:bookmarkStart w:id="317" w:name="_Toc114566232"/>
      <w:r w:rsidRPr="00383BA9">
        <w:rPr>
          <w:b/>
          <w:bCs/>
        </w:rPr>
        <w:lastRenderedPageBreak/>
        <w:t>Contact EPA</w:t>
      </w:r>
      <w:bookmarkEnd w:id="314"/>
      <w:bookmarkEnd w:id="315"/>
      <w:bookmarkEnd w:id="316"/>
      <w:bookmarkEnd w:id="317"/>
    </w:p>
    <w:p w14:paraId="482FC416" w14:textId="77777777" w:rsidR="005732C9" w:rsidRPr="00383BA9" w:rsidRDefault="005732C9" w:rsidP="005732C9">
      <w:pPr>
        <w:pStyle w:val="Heading4"/>
        <w:rPr>
          <w:rFonts w:ascii="VIC" w:hAnsi="VIC"/>
          <w:i w:val="0"/>
          <w:iCs w:val="0"/>
        </w:rPr>
      </w:pPr>
      <w:r w:rsidRPr="00383BA9">
        <w:rPr>
          <w:rFonts w:ascii="VIC" w:hAnsi="VIC"/>
          <w:i w:val="0"/>
          <w:iCs w:val="0"/>
        </w:rPr>
        <w:t>epa.vic.gov.au</w:t>
      </w:r>
    </w:p>
    <w:p w14:paraId="6B825ABA" w14:textId="77777777" w:rsidR="005732C9" w:rsidRPr="005732C9" w:rsidRDefault="005732C9" w:rsidP="005732C9">
      <w:r w:rsidRPr="005732C9">
        <w:t>Ph 1300 372 842 (1300 EPA VIC)</w:t>
      </w:r>
    </w:p>
    <w:p w14:paraId="02DF9081" w14:textId="77777777" w:rsidR="005732C9" w:rsidRPr="005732C9" w:rsidRDefault="005732C9" w:rsidP="005732C9"/>
    <w:tbl>
      <w:tblPr>
        <w:tblW w:w="5000" w:type="pct"/>
        <w:tblCellMar>
          <w:left w:w="0" w:type="dxa"/>
          <w:right w:w="0" w:type="dxa"/>
        </w:tblCellMar>
        <w:tblLook w:val="04A0" w:firstRow="1" w:lastRow="0" w:firstColumn="1" w:lastColumn="0" w:noHBand="0" w:noVBand="1"/>
        <w:tblCaption w:val="Contact EPA"/>
        <w:tblDescription w:val="The table lists the addresses of EPA's offices"/>
      </w:tblPr>
      <w:tblGrid>
        <w:gridCol w:w="4881"/>
        <w:gridCol w:w="4883"/>
        <w:gridCol w:w="4883"/>
      </w:tblGrid>
      <w:tr w:rsidR="005732C9" w:rsidRPr="005732C9" w14:paraId="1A44878C" w14:textId="77777777" w:rsidTr="00FB4300">
        <w:tc>
          <w:tcPr>
            <w:tcW w:w="3212" w:type="dxa"/>
            <w:hideMark/>
          </w:tcPr>
          <w:p w14:paraId="55B74CF3" w14:textId="77777777" w:rsidR="005732C9" w:rsidRPr="00383BA9" w:rsidRDefault="005732C9" w:rsidP="00FB4300">
            <w:pPr>
              <w:pStyle w:val="Heading4"/>
              <w:spacing w:line="256" w:lineRule="auto"/>
              <w:rPr>
                <w:rFonts w:ascii="VIC" w:hAnsi="VIC"/>
                <w:i w:val="0"/>
                <w:iCs w:val="0"/>
              </w:rPr>
            </w:pPr>
            <w:r w:rsidRPr="00383BA9">
              <w:rPr>
                <w:rFonts w:ascii="VIC" w:hAnsi="VIC"/>
                <w:i w:val="0"/>
                <w:iCs w:val="0"/>
              </w:rPr>
              <w:t xml:space="preserve">Head office: </w:t>
            </w:r>
          </w:p>
          <w:p w14:paraId="740FE6EF" w14:textId="77777777" w:rsidR="005732C9" w:rsidRPr="005732C9" w:rsidRDefault="005732C9" w:rsidP="00FB4300">
            <w:pPr>
              <w:pStyle w:val="BodyText"/>
              <w:spacing w:line="256" w:lineRule="auto"/>
            </w:pPr>
            <w:r w:rsidRPr="005732C9">
              <w:t xml:space="preserve">200 Victoria Street </w:t>
            </w:r>
            <w:r w:rsidRPr="005732C9">
              <w:br/>
              <w:t>Carlton 3053</w:t>
            </w:r>
          </w:p>
        </w:tc>
        <w:tc>
          <w:tcPr>
            <w:tcW w:w="3213" w:type="dxa"/>
            <w:hideMark/>
          </w:tcPr>
          <w:p w14:paraId="211B5BCF" w14:textId="77777777" w:rsidR="005732C9" w:rsidRPr="00383BA9" w:rsidRDefault="005732C9" w:rsidP="00FB4300">
            <w:pPr>
              <w:pStyle w:val="Heading4"/>
              <w:spacing w:line="256" w:lineRule="auto"/>
              <w:rPr>
                <w:rFonts w:ascii="VIC" w:hAnsi="VIC"/>
                <w:i w:val="0"/>
                <w:iCs w:val="0"/>
              </w:rPr>
            </w:pPr>
            <w:r w:rsidRPr="00383BA9">
              <w:rPr>
                <w:rFonts w:ascii="VIC" w:hAnsi="VIC"/>
                <w:i w:val="0"/>
                <w:iCs w:val="0"/>
              </w:rPr>
              <w:t>West Metro</w:t>
            </w:r>
          </w:p>
          <w:p w14:paraId="319DC6C7" w14:textId="77777777" w:rsidR="005732C9" w:rsidRPr="005732C9" w:rsidRDefault="005732C9" w:rsidP="00FB4300">
            <w:pPr>
              <w:pStyle w:val="BodyText"/>
              <w:spacing w:line="256" w:lineRule="auto"/>
            </w:pPr>
            <w:r w:rsidRPr="005732C9">
              <w:t xml:space="preserve">Level 2, 12 Clarke Street </w:t>
            </w:r>
            <w:r w:rsidRPr="005732C9">
              <w:br/>
              <w:t>Sunshine 3020</w:t>
            </w:r>
          </w:p>
        </w:tc>
        <w:tc>
          <w:tcPr>
            <w:tcW w:w="3213" w:type="dxa"/>
            <w:hideMark/>
          </w:tcPr>
          <w:p w14:paraId="0CDF8B13" w14:textId="77777777" w:rsidR="005732C9" w:rsidRPr="00383BA9" w:rsidRDefault="005732C9" w:rsidP="00FB4300">
            <w:pPr>
              <w:pStyle w:val="Heading4"/>
              <w:spacing w:line="256" w:lineRule="auto"/>
              <w:rPr>
                <w:rFonts w:ascii="VIC" w:hAnsi="VIC"/>
                <w:i w:val="0"/>
                <w:iCs w:val="0"/>
              </w:rPr>
            </w:pPr>
            <w:proofErr w:type="gramStart"/>
            <w:r w:rsidRPr="00383BA9">
              <w:rPr>
                <w:rFonts w:ascii="VIC" w:hAnsi="VIC"/>
                <w:i w:val="0"/>
                <w:iCs w:val="0"/>
              </w:rPr>
              <w:t>South West</w:t>
            </w:r>
            <w:proofErr w:type="gramEnd"/>
          </w:p>
          <w:p w14:paraId="76E71604" w14:textId="77777777" w:rsidR="005732C9" w:rsidRPr="005732C9" w:rsidRDefault="005732C9" w:rsidP="00FB4300">
            <w:pPr>
              <w:pStyle w:val="BodyText"/>
              <w:spacing w:line="256" w:lineRule="auto"/>
            </w:pPr>
            <w:r w:rsidRPr="005732C9">
              <w:t>West 1, 33 Mackey Street</w:t>
            </w:r>
            <w:r w:rsidRPr="005732C9">
              <w:br/>
              <w:t>North Geelong 3215</w:t>
            </w:r>
          </w:p>
        </w:tc>
      </w:tr>
      <w:tr w:rsidR="005732C9" w:rsidRPr="005732C9" w14:paraId="617F8BFF" w14:textId="77777777" w:rsidTr="00FB4300">
        <w:tc>
          <w:tcPr>
            <w:tcW w:w="3212" w:type="dxa"/>
            <w:hideMark/>
          </w:tcPr>
          <w:p w14:paraId="5210D582" w14:textId="77777777" w:rsidR="005732C9" w:rsidRPr="00383BA9" w:rsidRDefault="005732C9" w:rsidP="00FB4300">
            <w:pPr>
              <w:pStyle w:val="Heading4"/>
              <w:spacing w:before="480" w:line="256" w:lineRule="auto"/>
              <w:rPr>
                <w:rFonts w:ascii="VIC" w:hAnsi="VIC"/>
                <w:i w:val="0"/>
                <w:iCs w:val="0"/>
              </w:rPr>
            </w:pPr>
            <w:r w:rsidRPr="00383BA9">
              <w:rPr>
                <w:rFonts w:ascii="VIC" w:hAnsi="VIC"/>
                <w:i w:val="0"/>
                <w:iCs w:val="0"/>
              </w:rPr>
              <w:t>Southern Metro</w:t>
            </w:r>
          </w:p>
          <w:p w14:paraId="6ADBB949" w14:textId="77777777" w:rsidR="005732C9" w:rsidRPr="005732C9" w:rsidRDefault="005732C9" w:rsidP="00FB4300">
            <w:pPr>
              <w:pStyle w:val="BodyText"/>
              <w:spacing w:line="256" w:lineRule="auto"/>
            </w:pPr>
            <w:r w:rsidRPr="005732C9">
              <w:t>Level 3, 14 Mason Street</w:t>
            </w:r>
            <w:r w:rsidRPr="005732C9">
              <w:br/>
              <w:t>Dandenong 3175</w:t>
            </w:r>
          </w:p>
        </w:tc>
        <w:tc>
          <w:tcPr>
            <w:tcW w:w="3213" w:type="dxa"/>
            <w:hideMark/>
          </w:tcPr>
          <w:p w14:paraId="0A60164A" w14:textId="77777777" w:rsidR="005732C9" w:rsidRPr="00383BA9" w:rsidRDefault="005732C9" w:rsidP="00FB4300">
            <w:pPr>
              <w:pStyle w:val="Heading4"/>
              <w:spacing w:before="480" w:line="256" w:lineRule="auto"/>
              <w:rPr>
                <w:rFonts w:ascii="VIC" w:hAnsi="VIC"/>
                <w:i w:val="0"/>
                <w:iCs w:val="0"/>
              </w:rPr>
            </w:pPr>
            <w:proofErr w:type="gramStart"/>
            <w:r w:rsidRPr="00383BA9">
              <w:rPr>
                <w:rFonts w:ascii="VIC" w:hAnsi="VIC"/>
                <w:i w:val="0"/>
                <w:iCs w:val="0"/>
              </w:rPr>
              <w:t>North East</w:t>
            </w:r>
            <w:proofErr w:type="gramEnd"/>
          </w:p>
          <w:p w14:paraId="2343D699" w14:textId="77777777" w:rsidR="005732C9" w:rsidRPr="005732C9" w:rsidRDefault="005732C9" w:rsidP="00FB4300">
            <w:pPr>
              <w:pStyle w:val="BodyText"/>
              <w:spacing w:line="256" w:lineRule="auto"/>
            </w:pPr>
            <w:r w:rsidRPr="005732C9">
              <w:t>27–29 Faithfull Street</w:t>
            </w:r>
            <w:r w:rsidRPr="005732C9">
              <w:br/>
              <w:t>Wangaratta 3677</w:t>
            </w:r>
          </w:p>
        </w:tc>
        <w:tc>
          <w:tcPr>
            <w:tcW w:w="3213" w:type="dxa"/>
            <w:hideMark/>
          </w:tcPr>
          <w:p w14:paraId="7C8C6A85" w14:textId="77777777" w:rsidR="005732C9" w:rsidRPr="00383BA9" w:rsidRDefault="005732C9" w:rsidP="00FB4300">
            <w:pPr>
              <w:pStyle w:val="Heading4"/>
              <w:spacing w:before="480" w:line="256" w:lineRule="auto"/>
              <w:rPr>
                <w:rFonts w:ascii="VIC" w:hAnsi="VIC"/>
                <w:i w:val="0"/>
                <w:iCs w:val="0"/>
              </w:rPr>
            </w:pPr>
            <w:r w:rsidRPr="00383BA9">
              <w:rPr>
                <w:rFonts w:ascii="VIC" w:hAnsi="VIC"/>
                <w:i w:val="0"/>
                <w:iCs w:val="0"/>
              </w:rPr>
              <w:t>Gippsland</w:t>
            </w:r>
          </w:p>
          <w:p w14:paraId="31DF6056" w14:textId="77777777" w:rsidR="005732C9" w:rsidRPr="005732C9" w:rsidRDefault="005732C9" w:rsidP="00FB4300">
            <w:pPr>
              <w:pStyle w:val="BodyText"/>
              <w:spacing w:line="256" w:lineRule="auto"/>
            </w:pPr>
            <w:r w:rsidRPr="005732C9">
              <w:t>8-12 Seymour St</w:t>
            </w:r>
            <w:r w:rsidRPr="005732C9">
              <w:br/>
            </w:r>
            <w:proofErr w:type="spellStart"/>
            <w:r w:rsidRPr="005732C9">
              <w:t>Traralgon</w:t>
            </w:r>
            <w:proofErr w:type="spellEnd"/>
            <w:r w:rsidRPr="005732C9">
              <w:t xml:space="preserve"> 3844</w:t>
            </w:r>
          </w:p>
        </w:tc>
      </w:tr>
      <w:tr w:rsidR="005732C9" w:rsidRPr="005732C9" w14:paraId="0BEDE60C" w14:textId="77777777" w:rsidTr="00FB4300">
        <w:tc>
          <w:tcPr>
            <w:tcW w:w="3212" w:type="dxa"/>
            <w:hideMark/>
          </w:tcPr>
          <w:p w14:paraId="752A9DC9" w14:textId="77777777" w:rsidR="005732C9" w:rsidRPr="00383BA9" w:rsidRDefault="005732C9" w:rsidP="00FB4300">
            <w:pPr>
              <w:pStyle w:val="Heading4"/>
              <w:spacing w:before="480" w:line="256" w:lineRule="auto"/>
              <w:rPr>
                <w:rFonts w:ascii="VIC" w:hAnsi="VIC"/>
                <w:i w:val="0"/>
                <w:iCs w:val="0"/>
              </w:rPr>
            </w:pPr>
            <w:r w:rsidRPr="00383BA9">
              <w:rPr>
                <w:rFonts w:ascii="VIC" w:hAnsi="VIC"/>
                <w:i w:val="0"/>
                <w:iCs w:val="0"/>
              </w:rPr>
              <w:t>North Metro</w:t>
            </w:r>
          </w:p>
          <w:p w14:paraId="7EF4144A" w14:textId="77777777" w:rsidR="005732C9" w:rsidRPr="005732C9" w:rsidRDefault="005732C9" w:rsidP="00FB4300">
            <w:pPr>
              <w:pStyle w:val="BodyText"/>
              <w:spacing w:line="256" w:lineRule="auto"/>
            </w:pPr>
            <w:r w:rsidRPr="005732C9">
              <w:t xml:space="preserve">Building One, </w:t>
            </w:r>
            <w:r w:rsidRPr="005732C9">
              <w:br/>
              <w:t xml:space="preserve">13a Albert Street </w:t>
            </w:r>
            <w:r w:rsidRPr="005732C9">
              <w:br/>
              <w:t>Preston 3072</w:t>
            </w:r>
          </w:p>
        </w:tc>
        <w:tc>
          <w:tcPr>
            <w:tcW w:w="3213" w:type="dxa"/>
            <w:hideMark/>
          </w:tcPr>
          <w:p w14:paraId="74BB46DA" w14:textId="77777777" w:rsidR="005732C9" w:rsidRPr="00383BA9" w:rsidRDefault="005732C9" w:rsidP="00FB4300">
            <w:pPr>
              <w:pStyle w:val="Heading4"/>
              <w:spacing w:before="480" w:line="256" w:lineRule="auto"/>
              <w:rPr>
                <w:rFonts w:ascii="VIC" w:hAnsi="VIC"/>
                <w:i w:val="0"/>
                <w:iCs w:val="0"/>
              </w:rPr>
            </w:pPr>
            <w:proofErr w:type="gramStart"/>
            <w:r w:rsidRPr="00383BA9">
              <w:rPr>
                <w:rFonts w:ascii="VIC" w:hAnsi="VIC"/>
                <w:i w:val="0"/>
                <w:iCs w:val="0"/>
              </w:rPr>
              <w:t>North West</w:t>
            </w:r>
            <w:proofErr w:type="gramEnd"/>
          </w:p>
          <w:p w14:paraId="4F9A0FA8" w14:textId="77777777" w:rsidR="005732C9" w:rsidRPr="005732C9" w:rsidRDefault="005732C9" w:rsidP="00FB4300">
            <w:pPr>
              <w:pStyle w:val="BodyText"/>
              <w:spacing w:line="256" w:lineRule="auto"/>
            </w:pPr>
            <w:r w:rsidRPr="005732C9">
              <w:t>Level 1, 47–51 Queen Street</w:t>
            </w:r>
            <w:r w:rsidRPr="005732C9">
              <w:br/>
              <w:t>Bendigo 3550</w:t>
            </w:r>
          </w:p>
        </w:tc>
        <w:tc>
          <w:tcPr>
            <w:tcW w:w="3213" w:type="dxa"/>
          </w:tcPr>
          <w:p w14:paraId="6457809D" w14:textId="77777777" w:rsidR="005732C9" w:rsidRPr="005732C9" w:rsidRDefault="005732C9" w:rsidP="00FB4300">
            <w:pPr>
              <w:spacing w:line="256" w:lineRule="auto"/>
            </w:pPr>
          </w:p>
        </w:tc>
      </w:tr>
    </w:tbl>
    <w:p w14:paraId="409F1A20" w14:textId="77777777" w:rsidR="005732C9" w:rsidRDefault="005732C9" w:rsidP="005732C9">
      <w:r>
        <w:br w:type="page"/>
      </w:r>
      <w:bookmarkStart w:id="318" w:name="AppendixA"/>
      <w:bookmarkStart w:id="319" w:name="Volumeresources"/>
      <w:bookmarkEnd w:id="318"/>
      <w:bookmarkEnd w:id="319"/>
    </w:p>
    <w:p w14:paraId="3B417953" w14:textId="77777777" w:rsidR="00DA4ED2" w:rsidRPr="00383BA9" w:rsidRDefault="00DA4ED2" w:rsidP="005D42BC">
      <w:pPr>
        <w:pStyle w:val="Heading1"/>
        <w:rPr>
          <w:b/>
          <w:bCs/>
        </w:rPr>
      </w:pPr>
      <w:bookmarkStart w:id="320" w:name="_Toc467837113"/>
      <w:bookmarkStart w:id="321" w:name="_Toc85802377"/>
      <w:bookmarkStart w:id="322" w:name="_Toc87612608"/>
      <w:bookmarkStart w:id="323" w:name="_Toc112341048"/>
      <w:bookmarkStart w:id="324" w:name="_Toc114566233"/>
      <w:r w:rsidRPr="00383BA9">
        <w:rPr>
          <w:b/>
          <w:bCs/>
        </w:rPr>
        <w:lastRenderedPageBreak/>
        <w:t>Other stakeholders and networks</w:t>
      </w:r>
      <w:bookmarkEnd w:id="320"/>
      <w:bookmarkEnd w:id="321"/>
      <w:bookmarkEnd w:id="322"/>
      <w:bookmarkEnd w:id="323"/>
      <w:bookmarkEnd w:id="324"/>
    </w:p>
    <w:p w14:paraId="59D8425D" w14:textId="77777777" w:rsidR="00DA4ED2" w:rsidRDefault="00DA4ED2" w:rsidP="00DA4ED2">
      <w:pPr>
        <w:pStyle w:val="Heading2Unnumbered"/>
      </w:pPr>
      <w:bookmarkStart w:id="325" w:name="_Toc474583949"/>
      <w:bookmarkStart w:id="326" w:name="_Toc474662579"/>
      <w:r>
        <w:t>Department of Environment, Land, Water and Planning</w:t>
      </w:r>
      <w:bookmarkEnd w:id="325"/>
      <w:bookmarkEnd w:id="326"/>
    </w:p>
    <w:p w14:paraId="5876C220" w14:textId="77777777" w:rsidR="00DA4ED2" w:rsidRDefault="00DA4ED2" w:rsidP="00DA4ED2">
      <w:pPr>
        <w:pStyle w:val="BodyText"/>
      </w:pPr>
      <w:r>
        <w:t>The Department of Environment, Land, Water and Planning (DELWP) works in partnership with a range of agencies and stakeholders to protect and preserve Victoria’s native landscape. DELWP directs environmental policy development for Victoria and coordinates the environment portfolio with support from EPA and Sustainability Victoria.</w:t>
      </w:r>
      <w:r>
        <w:rPr>
          <w:rFonts w:cs="Arial"/>
        </w:rPr>
        <w:br/>
      </w:r>
      <w:hyperlink r:id="rId165" w:history="1">
        <w:r>
          <w:rPr>
            <w:rStyle w:val="Hyperlink"/>
          </w:rPr>
          <w:t>environment.</w:t>
        </w:r>
        <w:r>
          <w:rPr>
            <w:rStyle w:val="Hyperlink"/>
          </w:rPr>
          <w:fldChar w:fldCharType="begin"/>
        </w:r>
        <w:r>
          <w:rPr>
            <w:rStyle w:val="Hyperlink"/>
          </w:rPr>
          <w:instrText xml:space="preserve">  </w:instrText>
        </w:r>
        <w:r>
          <w:rPr>
            <w:rStyle w:val="Hyperlink"/>
          </w:rPr>
          <w:fldChar w:fldCharType="end"/>
        </w:r>
        <w:r>
          <w:rPr>
            <w:rStyle w:val="Hyperlink"/>
          </w:rPr>
          <w:t>vic.gov.au</w:t>
        </w:r>
      </w:hyperlink>
    </w:p>
    <w:p w14:paraId="5F022562" w14:textId="77777777" w:rsidR="00DA4ED2" w:rsidRDefault="00DA4ED2" w:rsidP="00DA4ED2">
      <w:pPr>
        <w:pStyle w:val="Heading2Unnumbered"/>
      </w:pPr>
      <w:bookmarkStart w:id="327" w:name="_Toc474662580"/>
      <w:bookmarkStart w:id="328" w:name="_Toc474583950"/>
      <w:r>
        <w:t>Sustainability Victoria</w:t>
      </w:r>
      <w:bookmarkEnd w:id="327"/>
    </w:p>
    <w:p w14:paraId="7060FFAF" w14:textId="77777777" w:rsidR="00DA4ED2" w:rsidRDefault="00DA4ED2" w:rsidP="00DA4ED2">
      <w:pPr>
        <w:pStyle w:val="BodyText"/>
      </w:pPr>
      <w:r>
        <w:t>Sustainability Victoria (SV) is a Victorian State Government statutory authority established under the Sustainability Victoria Act 2005. SV facilitates and promotes environmental sustainability in the use of resources by delivering programs addressing integrated waste management and resource efficiency. SV is responsible for statewide waste management strategy and planning, including alternatives to waste disposal.</w:t>
      </w:r>
      <w:r>
        <w:br/>
      </w:r>
      <w:bookmarkEnd w:id="328"/>
      <w:r>
        <w:fldChar w:fldCharType="begin"/>
      </w:r>
      <w:r>
        <w:instrText xml:space="preserve"> HYPERLINK "https://www.sustainability.vic.gov.au/" \t "_blank" </w:instrText>
      </w:r>
      <w:r>
        <w:fldChar w:fldCharType="separate"/>
      </w:r>
      <w:r>
        <w:rPr>
          <w:rStyle w:val="Hyperlink"/>
        </w:rPr>
        <w:t>sustainability.vic.gov.au</w:t>
      </w:r>
      <w:r>
        <w:fldChar w:fldCharType="end"/>
      </w:r>
    </w:p>
    <w:p w14:paraId="2B5ACA59" w14:textId="77777777" w:rsidR="00DC1787" w:rsidRPr="00DC1787" w:rsidRDefault="00DC1787" w:rsidP="00DC1787"/>
    <w:p w14:paraId="74C05DD8" w14:textId="35DE471C" w:rsidR="00DC1787" w:rsidRPr="00DC1787" w:rsidRDefault="00DC1787" w:rsidP="00DC1787">
      <w:pPr>
        <w:sectPr w:rsidR="00DC1787" w:rsidRPr="00DC1787" w:rsidSect="00212A74">
          <w:footerReference w:type="default" r:id="rId166"/>
          <w:pgSz w:w="16840" w:h="11900" w:orient="landscape"/>
          <w:pgMar w:top="987" w:right="1194" w:bottom="740" w:left="999" w:header="735" w:footer="798" w:gutter="0"/>
          <w:cols w:space="720"/>
          <w:docGrid w:linePitch="272"/>
        </w:sectPr>
      </w:pPr>
    </w:p>
    <w:p w14:paraId="1C28AA11" w14:textId="77777777" w:rsidR="00927E13" w:rsidRPr="006B02DF" w:rsidRDefault="00927E13" w:rsidP="001200DE">
      <w:pPr>
        <w:pStyle w:val="BodyText"/>
        <w:tabs>
          <w:tab w:val="left" w:pos="426"/>
        </w:tabs>
        <w:spacing w:before="4"/>
        <w:rPr>
          <w:szCs w:val="20"/>
        </w:rPr>
      </w:pPr>
    </w:p>
    <w:p w14:paraId="52EB3334" w14:textId="6A495A01" w:rsidR="00E20996" w:rsidRDefault="00AE1996" w:rsidP="00212E99">
      <w:pPr>
        <w:pStyle w:val="BodyText"/>
        <w:tabs>
          <w:tab w:val="left" w:pos="426"/>
        </w:tabs>
        <w:spacing w:before="122"/>
        <w:ind w:right="205"/>
        <w:rPr>
          <w:szCs w:val="20"/>
        </w:rPr>
      </w:pPr>
      <w:r>
        <w:rPr>
          <w:szCs w:val="20"/>
        </w:rPr>
        <w:br/>
      </w:r>
    </w:p>
    <w:p w14:paraId="3BC12D9B" w14:textId="380E2A02" w:rsidR="00572CA7" w:rsidRDefault="00FF0159" w:rsidP="00212E99">
      <w:pPr>
        <w:pStyle w:val="BodyText"/>
        <w:tabs>
          <w:tab w:val="left" w:pos="426"/>
        </w:tabs>
        <w:spacing w:before="122"/>
        <w:ind w:right="205"/>
        <w:rPr>
          <w:szCs w:val="20"/>
        </w:rPr>
        <w:sectPr w:rsidR="00572CA7" w:rsidSect="00435653">
          <w:headerReference w:type="even" r:id="rId167"/>
          <w:footerReference w:type="default" r:id="rId168"/>
          <w:headerReference w:type="first" r:id="rId169"/>
          <w:pgSz w:w="11900" w:h="16840"/>
          <w:pgMar w:top="1194" w:right="740" w:bottom="1320" w:left="987" w:header="283" w:footer="784" w:gutter="0"/>
          <w:cols w:space="720"/>
        </w:sectPr>
      </w:pPr>
      <w:r>
        <w:rPr>
          <w:noProof/>
        </w:rPr>
        <w:drawing>
          <wp:anchor distT="0" distB="0" distL="114300" distR="114300" simplePos="0" relativeHeight="251658243" behindDoc="1" locked="0" layoutInCell="1" allowOverlap="1" wp14:anchorId="1C3003D8" wp14:editId="4D52DD89">
            <wp:simplePos x="0" y="0"/>
            <wp:positionH relativeFrom="page">
              <wp:align>left</wp:align>
            </wp:positionH>
            <wp:positionV relativeFrom="page">
              <wp:align>top</wp:align>
            </wp:positionV>
            <wp:extent cx="7560000" cy="10684800"/>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262E382" w14:textId="23A87ACA" w:rsidR="0079361E" w:rsidRPr="006B02DF" w:rsidRDefault="00E33788" w:rsidP="00212E99">
      <w:pPr>
        <w:pStyle w:val="BodyText"/>
        <w:tabs>
          <w:tab w:val="left" w:pos="426"/>
        </w:tabs>
        <w:spacing w:before="122"/>
        <w:ind w:right="205"/>
        <w:rPr>
          <w:szCs w:val="20"/>
        </w:rPr>
      </w:pPr>
      <w:r>
        <w:rPr>
          <w:noProof/>
          <w:szCs w:val="20"/>
        </w:rPr>
        <mc:AlternateContent>
          <mc:Choice Requires="wps">
            <w:drawing>
              <wp:anchor distT="0" distB="0" distL="114300" distR="114300" simplePos="0" relativeHeight="251658244" behindDoc="0" locked="0" layoutInCell="1" allowOverlap="1" wp14:anchorId="117B59B3" wp14:editId="5E1B5ABD">
                <wp:simplePos x="0" y="0"/>
                <wp:positionH relativeFrom="column">
                  <wp:posOffset>-271145</wp:posOffset>
                </wp:positionH>
                <wp:positionV relativeFrom="paragraph">
                  <wp:posOffset>7592060</wp:posOffset>
                </wp:positionV>
                <wp:extent cx="2971800" cy="1409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171"/>
                                          </pic:cNvPr>
                                          <pic:cNvPicPr/>
                                        </pic:nvPicPr>
                                        <pic:blipFill>
                                          <a:blip r:embed="rId17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173"/>
                                          </pic:cNvPr>
                                          <pic:cNvPicPr/>
                                        </pic:nvPicPr>
                                        <pic:blipFill>
                                          <a:blip r:embed="rId17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75"/>
                                          </pic:cNvPr>
                                          <pic:cNvPicPr/>
                                        </pic:nvPicPr>
                                        <pic:blipFill>
                                          <a:blip r:embed="rId17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77"/>
                                          </pic:cNvPr>
                                          <pic:cNvPicPr/>
                                        </pic:nvPicPr>
                                        <pic:blipFill>
                                          <a:blip r:embed="rId17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179"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7B59B3" id="Text Box 57" o:spid="_x0000_s1030" type="#_x0000_t202" style="position:absolute;margin-left:-21.35pt;margin-top:597.8pt;width:234pt;height:11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" filled="f" stroked="f" strokeweight=".5pt">
                <v:textbo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171"/>
                                    </pic:cNvPr>
                                    <pic:cNvPicPr/>
                                  </pic:nvPicPr>
                                  <pic:blipFill>
                                    <a:blip r:embed="rId17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173"/>
                                    </pic:cNvPr>
                                    <pic:cNvPicPr/>
                                  </pic:nvPicPr>
                                  <pic:blipFill>
                                    <a:blip r:embed="rId17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75"/>
                                    </pic:cNvPr>
                                    <pic:cNvPicPr/>
                                  </pic:nvPicPr>
                                  <pic:blipFill>
                                    <a:blip r:embed="rId17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77"/>
                                    </pic:cNvPr>
                                    <pic:cNvPicPr/>
                                  </pic:nvPicPr>
                                  <pic:blipFill>
                                    <a:blip r:embed="rId17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180"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v:textbox>
              </v:shape>
            </w:pict>
          </mc:Fallback>
        </mc:AlternateContent>
      </w:r>
    </w:p>
    <w:sectPr w:rsidR="0079361E" w:rsidRPr="006B02DF"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2965" w14:textId="77777777" w:rsidR="00863A5B" w:rsidRDefault="00863A5B" w:rsidP="00284CBB">
      <w:pPr>
        <w:spacing w:after="0"/>
      </w:pPr>
      <w:r>
        <w:separator/>
      </w:r>
    </w:p>
    <w:p w14:paraId="4A04C8E1" w14:textId="77777777" w:rsidR="00863A5B" w:rsidRDefault="00863A5B"/>
    <w:p w14:paraId="349B3AA1" w14:textId="77777777" w:rsidR="00863A5B" w:rsidRDefault="00863A5B"/>
    <w:p w14:paraId="4224F2A1" w14:textId="77777777" w:rsidR="00863A5B" w:rsidRDefault="00863A5B"/>
    <w:p w14:paraId="1E7CD08C" w14:textId="77777777" w:rsidR="00863A5B" w:rsidRDefault="00863A5B"/>
  </w:endnote>
  <w:endnote w:type="continuationSeparator" w:id="0">
    <w:p w14:paraId="4084A3B1" w14:textId="77777777" w:rsidR="00863A5B" w:rsidRDefault="00863A5B" w:rsidP="00284CBB">
      <w:pPr>
        <w:spacing w:after="0"/>
      </w:pPr>
      <w:r>
        <w:continuationSeparator/>
      </w:r>
    </w:p>
    <w:p w14:paraId="3B889BB6" w14:textId="77777777" w:rsidR="00863A5B" w:rsidRDefault="00863A5B"/>
    <w:p w14:paraId="02CA69DD" w14:textId="77777777" w:rsidR="00863A5B" w:rsidRDefault="00863A5B"/>
    <w:p w14:paraId="2A4C0779" w14:textId="77777777" w:rsidR="00863A5B" w:rsidRDefault="00863A5B"/>
    <w:p w14:paraId="41C76BAD" w14:textId="77777777" w:rsidR="00863A5B" w:rsidRDefault="00863A5B"/>
  </w:endnote>
  <w:endnote w:type="continuationNotice" w:id="1">
    <w:p w14:paraId="6C16BAEC" w14:textId="77777777" w:rsidR="00863A5B" w:rsidRDefault="00863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VIC"/>
    <w:charset w:val="00"/>
    <w:family w:val="roman"/>
    <w:pitch w:val="variable"/>
  </w:font>
  <w:font w:name="VIC SemiBold">
    <w:altName w:val="Calibri"/>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IC SemiBold" w:hAnsi="VIC SemiBold"/>
        <w:b/>
        <w:bCs/>
        <w:szCs w:val="16"/>
      </w:rPr>
      <w:id w:val="-1853862618"/>
      <w:docPartObj>
        <w:docPartGallery w:val="Page Numbers (Top of Page)"/>
        <w:docPartUnique/>
      </w:docPartObj>
    </w:sdtPr>
    <w:sdtEndPr/>
    <w:sdtContent>
      <w:p w14:paraId="238108E1" w14:textId="77777777" w:rsidR="00394700" w:rsidRPr="00950A12" w:rsidRDefault="00394700" w:rsidP="00950A12">
        <w:pPr>
          <w:pStyle w:val="Footertext"/>
          <w:rPr>
            <w:rFonts w:ascii="VIC SemiBold" w:hAnsi="VIC SemiBold"/>
            <w:b/>
            <w:bCs/>
            <w:szCs w:val="16"/>
          </w:rPr>
        </w:pPr>
        <w:r w:rsidRPr="00950A12">
          <w:rPr>
            <w:rFonts w:ascii="VIC SemiBold" w:hAnsi="VIC SemiBold"/>
            <w:b/>
            <w:bCs/>
            <w:noProof/>
            <w:szCs w:val="16"/>
          </w:rPr>
          <mc:AlternateContent>
            <mc:Choice Requires="wps">
              <w:drawing>
                <wp:anchor distT="0" distB="0" distL="114300" distR="114300" simplePos="0" relativeHeight="251658250" behindDoc="0" locked="0" layoutInCell="1" allowOverlap="1" wp14:anchorId="77F812FD" wp14:editId="02FD5BB1">
                  <wp:simplePos x="0" y="0"/>
                  <wp:positionH relativeFrom="column">
                    <wp:posOffset>5229860</wp:posOffset>
                  </wp:positionH>
                  <wp:positionV relativeFrom="paragraph">
                    <wp:posOffset>-116782</wp:posOffset>
                  </wp:positionV>
                  <wp:extent cx="1334308" cy="7518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3B9660D5" w14:textId="77777777" w:rsidR="00394700" w:rsidRDefault="00394700">
                              <w:pPr>
                                <w:ind w:left="-113"/>
                              </w:pPr>
                              <w:r>
                                <w:rPr>
                                  <w:noProof/>
                                </w:rPr>
                                <w:drawing>
                                  <wp:inline distT="0" distB="0" distL="0" distR="0" wp14:anchorId="0AE4A569" wp14:editId="00AA698A">
                                    <wp:extent cx="1290939" cy="70334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812FD" id="_x0000_t202" coordsize="21600,21600" o:spt="202" path="m,l,21600r21600,l21600,xe">
                  <v:stroke joinstyle="miter"/>
                  <v:path gradientshapeok="t" o:connecttype="rect"/>
                </v:shapetype>
                <v:shape id="Text Box 29" o:spid="_x0000_s1032" type="#_x0000_t202" style="position:absolute;margin-left:411.8pt;margin-top:-9.2pt;width:105.05pt;height:59.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ilFw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" filled="f" stroked="f" strokeweight=".5pt">
                  <v:textbox>
                    <w:txbxContent>
                      <w:p w14:paraId="3B9660D5" w14:textId="77777777" w:rsidR="00394700" w:rsidRDefault="00394700">
                        <w:pPr>
                          <w:ind w:left="-113"/>
                        </w:pPr>
                        <w:r>
                          <w:rPr>
                            <w:noProof/>
                          </w:rPr>
                          <w:drawing>
                            <wp:inline distT="0" distB="0" distL="0" distR="0" wp14:anchorId="0AE4A569" wp14:editId="00AA698A">
                              <wp:extent cx="1290939" cy="70334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50A12">
          <w:rPr>
            <w:rFonts w:ascii="VIC SemiBold" w:hAnsi="VIC SemiBold"/>
            <w:b/>
            <w:bCs/>
            <w:szCs w:val="16"/>
          </w:rPr>
          <w:t xml:space="preserve"> </w:t>
        </w:r>
        <w:r w:rsidRPr="00950A12">
          <w:rPr>
            <w:rFonts w:ascii="VIC SemiBold" w:hAnsi="VIC SemiBold"/>
            <w:b/>
            <w:bCs/>
            <w:noProof/>
            <w:szCs w:val="16"/>
          </w:rPr>
          <mc:AlternateContent>
            <mc:Choice Requires="wps">
              <w:drawing>
                <wp:anchor distT="0" distB="0" distL="114300" distR="114300" simplePos="0" relativeHeight="251658252" behindDoc="0" locked="0" layoutInCell="1" allowOverlap="1" wp14:anchorId="4CB33871" wp14:editId="1289282A">
                  <wp:simplePos x="0" y="0"/>
                  <wp:positionH relativeFrom="column">
                    <wp:posOffset>5229860</wp:posOffset>
                  </wp:positionH>
                  <wp:positionV relativeFrom="paragraph">
                    <wp:posOffset>-116782</wp:posOffset>
                  </wp:positionV>
                  <wp:extent cx="1334308" cy="75184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249F960C" w14:textId="77777777" w:rsidR="00394700" w:rsidRDefault="00394700" w:rsidP="0079301E">
                              <w:pPr>
                                <w:ind w:left="-113"/>
                              </w:pPr>
                              <w:r>
                                <w:rPr>
                                  <w:noProof/>
                                </w:rPr>
                                <w:drawing>
                                  <wp:inline distT="0" distB="0" distL="0" distR="0" wp14:anchorId="1483AA57" wp14:editId="1A2A8291">
                                    <wp:extent cx="1290939" cy="7033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3871" id="Text Box 30" o:spid="_x0000_s1033" type="#_x0000_t202" style="position:absolute;margin-left:411.8pt;margin-top:-9.2pt;width:105.05pt;height:59.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kBGQ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" filled="f" stroked="f" strokeweight=".5pt">
                  <v:textbox>
                    <w:txbxContent>
                      <w:p w14:paraId="249F960C" w14:textId="77777777" w:rsidR="00394700" w:rsidRDefault="00394700" w:rsidP="0079301E">
                        <w:pPr>
                          <w:ind w:left="-113"/>
                        </w:pPr>
                        <w:r>
                          <w:rPr>
                            <w:noProof/>
                          </w:rPr>
                          <w:drawing>
                            <wp:inline distT="0" distB="0" distL="0" distR="0" wp14:anchorId="1483AA57" wp14:editId="1A2A8291">
                              <wp:extent cx="1290939" cy="7033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50A12">
          <w:rPr>
            <w:rFonts w:ascii="VIC SemiBold" w:hAnsi="VIC SemiBold"/>
            <w:b/>
            <w:bCs/>
            <w:szCs w:val="16"/>
          </w:rPr>
          <w:t>Guideline for minimising greenhouse gas emissions</w:t>
        </w:r>
      </w:p>
      <w:p w14:paraId="283E662C" w14:textId="38ED2995" w:rsidR="00394700" w:rsidRPr="00950A12" w:rsidRDefault="000E52E2" w:rsidP="00950A12">
        <w:pPr>
          <w:pStyle w:val="Footertext"/>
          <w:rPr>
            <w:rFonts w:ascii="VIC SemiBold" w:hAnsi="VIC SemiBold"/>
            <w:b/>
            <w:bCs/>
            <w:szCs w:val="16"/>
          </w:rPr>
        </w:pPr>
        <w:r w:rsidRPr="00FF6807">
          <w:rPr>
            <w:rFonts w:ascii="VIC SemiBold" w:hAnsi="VIC SemiBold"/>
            <w:b/>
            <w:bCs/>
            <w:szCs w:val="16"/>
          </w:rPr>
          <w:t xml:space="preserve">Page </w:t>
        </w:r>
        <w:r w:rsidR="000B15CD">
          <w:rPr>
            <w:rFonts w:ascii="VIC SemiBold" w:hAnsi="VIC SemiBold"/>
            <w:b/>
            <w:bCs/>
            <w:szCs w:val="16"/>
          </w:rPr>
          <w:fldChar w:fldCharType="begin"/>
        </w:r>
        <w:r w:rsidR="000B15CD">
          <w:rPr>
            <w:rFonts w:ascii="VIC SemiBold" w:hAnsi="VIC SemiBold"/>
            <w:b/>
            <w:bCs/>
            <w:szCs w:val="16"/>
          </w:rPr>
          <w:instrText xml:space="preserve"> PAGE   </w:instrText>
        </w:r>
        <w:r w:rsidR="000B15CD">
          <w:rPr>
            <w:rFonts w:ascii="VIC SemiBold" w:hAnsi="VIC SemiBold"/>
            <w:b/>
            <w:bCs/>
            <w:szCs w:val="16"/>
          </w:rPr>
          <w:fldChar w:fldCharType="separate"/>
        </w:r>
        <w:r w:rsidR="000B15CD">
          <w:rPr>
            <w:rFonts w:ascii="VIC SemiBold" w:hAnsi="VIC SemiBold"/>
            <w:b/>
            <w:bCs/>
            <w:szCs w:val="16"/>
          </w:rPr>
          <w:t>3</w:t>
        </w:r>
        <w:r w:rsidR="000B15CD">
          <w:rPr>
            <w:rFonts w:ascii="VIC SemiBold" w:hAnsi="VIC SemiBold"/>
            <w:b/>
            <w:bCs/>
            <w:szCs w:val="16"/>
          </w:rPr>
          <w:fldChar w:fldCharType="end"/>
        </w:r>
      </w:p>
    </w:sdtContent>
  </w:sdt>
  <w:p w14:paraId="7CE275EE" w14:textId="77777777" w:rsidR="00394700" w:rsidRPr="00C6258A" w:rsidRDefault="00394700">
    <w:pPr>
      <w:pStyle w:val="Footer"/>
    </w:pPr>
    <w:r>
      <w:rPr>
        <w:noProof/>
        <w:szCs w:val="16"/>
      </w:rPr>
      <mc:AlternateContent>
        <mc:Choice Requires="wps">
          <w:drawing>
            <wp:anchor distT="0" distB="0" distL="114300" distR="114300" simplePos="0" relativeHeight="251658251" behindDoc="0" locked="0" layoutInCell="1" allowOverlap="1" wp14:anchorId="32D686F6" wp14:editId="6B044B94">
              <wp:simplePos x="0" y="0"/>
              <wp:positionH relativeFrom="column">
                <wp:posOffset>-20320</wp:posOffset>
              </wp:positionH>
              <wp:positionV relativeFrom="paragraph">
                <wp:posOffset>228658</wp:posOffset>
              </wp:positionV>
              <wp:extent cx="6492875" cy="0"/>
              <wp:effectExtent l="0" t="0" r="9525" b="12700"/>
              <wp:wrapNone/>
              <wp:docPr id="33" name="Straight Connector 33"/>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96B9C" id="Straight Connector 33"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p w14:paraId="3D281720" w14:textId="77777777" w:rsidR="00394700" w:rsidRDefault="003947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934482455"/>
      <w:docPartObj>
        <w:docPartGallery w:val="Page Numbers (Top of Page)"/>
        <w:docPartUnique/>
      </w:docPartObj>
    </w:sdtPr>
    <w:sdtEndPr>
      <w:rPr>
        <w:b/>
        <w:bCs/>
        <w:sz w:val="16"/>
      </w:rPr>
    </w:sdtEndPr>
    <w:sdtContent>
      <w:p w14:paraId="691F8045" w14:textId="183ED48B" w:rsidR="00742582" w:rsidRPr="002D4A6C" w:rsidRDefault="006D6328" w:rsidP="00CB7FC0">
        <w:pPr>
          <w:pStyle w:val="FooterDocDescription"/>
        </w:pPr>
        <w:r>
          <w:rPr>
            <w:noProof/>
          </w:rPr>
          <w:drawing>
            <wp:anchor distT="0" distB="0" distL="114300" distR="114300" simplePos="0" relativeHeight="251658253" behindDoc="1" locked="0" layoutInCell="1" allowOverlap="1" wp14:anchorId="7A7ED3C8" wp14:editId="58AE70ED">
              <wp:simplePos x="0" y="0"/>
              <wp:positionH relativeFrom="margin">
                <wp:posOffset>5233035</wp:posOffset>
              </wp:positionH>
              <wp:positionV relativeFrom="bottomMargin">
                <wp:posOffset>0</wp:posOffset>
              </wp:positionV>
              <wp:extent cx="1288800" cy="702000"/>
              <wp:effectExtent l="0" t="0" r="6985" b="0"/>
              <wp:wrapNone/>
              <wp:docPr id="55"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5E">
          <w:t>Guideline for minimising greenhouse gas emissions</w:t>
        </w:r>
      </w:p>
      <w:p w14:paraId="7888CEE0" w14:textId="129FACF7" w:rsidR="00742582" w:rsidRPr="00FF6807" w:rsidRDefault="00742582" w:rsidP="00742582">
        <w:pPr>
          <w:pStyle w:val="Footertext"/>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3</w:t>
        </w:r>
        <w:r w:rsidRPr="00FF6807">
          <w:rPr>
            <w:rFonts w:ascii="VIC SemiBold" w:hAnsi="VIC SemiBold"/>
            <w:b/>
            <w:bCs/>
            <w:szCs w:val="16"/>
          </w:rPr>
          <w:fldChar w:fldCharType="end"/>
        </w:r>
      </w:p>
    </w:sdtContent>
  </w:sdt>
  <w:p w14:paraId="3F3B7FE6" w14:textId="4566EA7F" w:rsidR="00742582" w:rsidRDefault="00742582" w:rsidP="0073211D">
    <w:pPr>
      <w:pStyle w:val="Footer"/>
      <w:pBdr>
        <w:bottom w:val="single" w:sz="8" w:space="1" w:color="00B4E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1799186995"/>
      <w:docPartObj>
        <w:docPartGallery w:val="Page Numbers (Top of Page)"/>
        <w:docPartUnique/>
      </w:docPartObj>
    </w:sdtPr>
    <w:sdtEndPr>
      <w:rPr>
        <w:b/>
        <w:bCs/>
        <w:sz w:val="16"/>
      </w:rPr>
    </w:sdtEndPr>
    <w:sdtContent>
      <w:p w14:paraId="406D49D2" w14:textId="77777777" w:rsidR="002246BC" w:rsidRPr="002D4A6C" w:rsidRDefault="002246BC" w:rsidP="00CB7FC0">
        <w:pPr>
          <w:pStyle w:val="FooterDocDescription"/>
        </w:pPr>
        <w:r>
          <w:rPr>
            <w:noProof/>
          </w:rPr>
          <w:drawing>
            <wp:anchor distT="0" distB="0" distL="114300" distR="114300" simplePos="0" relativeHeight="251658254" behindDoc="1" locked="0" layoutInCell="1" allowOverlap="1" wp14:anchorId="02D0C85C" wp14:editId="1EA322F4">
              <wp:simplePos x="0" y="0"/>
              <wp:positionH relativeFrom="margin">
                <wp:posOffset>5233035</wp:posOffset>
              </wp:positionH>
              <wp:positionV relativeFrom="page">
                <wp:posOffset>9185275</wp:posOffset>
              </wp:positionV>
              <wp:extent cx="1288415" cy="701675"/>
              <wp:effectExtent l="0" t="0" r="698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41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Guideline for minimising greenhouse gas emissions</w:t>
        </w:r>
      </w:p>
      <w:p w14:paraId="3BB5C9B7" w14:textId="77777777" w:rsidR="002246BC" w:rsidRPr="00FF6807" w:rsidRDefault="002246BC" w:rsidP="00742582">
        <w:pPr>
          <w:pStyle w:val="Footertext"/>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3</w:t>
        </w:r>
        <w:r w:rsidRPr="00FF6807">
          <w:rPr>
            <w:rFonts w:ascii="VIC SemiBold" w:hAnsi="VIC SemiBold"/>
            <w:b/>
            <w:bCs/>
            <w:szCs w:val="16"/>
          </w:rPr>
          <w:fldChar w:fldCharType="end"/>
        </w:r>
      </w:p>
    </w:sdtContent>
  </w:sdt>
  <w:p w14:paraId="480855CF" w14:textId="03230034" w:rsidR="002246BC" w:rsidRDefault="007C2AC8" w:rsidP="0073211D">
    <w:pPr>
      <w:pStyle w:val="Footer"/>
      <w:pBdr>
        <w:bottom w:val="single" w:sz="8" w:space="1" w:color="00B4E1"/>
      </w:pBdr>
    </w:pPr>
    <w:r>
      <w:rPr>
        <w:noProof/>
      </w:rPr>
      <w:drawing>
        <wp:anchor distT="0" distB="0" distL="114300" distR="114300" simplePos="0" relativeHeight="251658255" behindDoc="1" locked="0" layoutInCell="1" allowOverlap="1" wp14:anchorId="70CB893A" wp14:editId="64D73FCE">
          <wp:simplePos x="0" y="0"/>
          <wp:positionH relativeFrom="margin">
            <wp:align>right</wp:align>
          </wp:positionH>
          <wp:positionV relativeFrom="bottomMargin">
            <wp:posOffset>0</wp:posOffset>
          </wp:positionV>
          <wp:extent cx="1288800" cy="702000"/>
          <wp:effectExtent l="0" t="0" r="6985"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352929937"/>
      <w:docPartObj>
        <w:docPartGallery w:val="Page Numbers (Top of Page)"/>
        <w:docPartUnique/>
      </w:docPartObj>
    </w:sdtPr>
    <w:sdtEndPr>
      <w:rPr>
        <w:rFonts w:eastAsia="Times New Roman" w:cstheme="minorBidi"/>
        <w:b/>
        <w:bCs/>
        <w:sz w:val="16"/>
      </w:rPr>
    </w:sdtEndPr>
    <w:sdtContent>
      <w:p w14:paraId="19489768" w14:textId="6A8B545F" w:rsidR="0079301E" w:rsidRPr="002D4A6C" w:rsidRDefault="00E20996" w:rsidP="0079301E">
        <w:pPr>
          <w:pStyle w:val="FooterDocDescription"/>
        </w:pPr>
        <w:r>
          <w:rPr>
            <w:noProof/>
          </w:rPr>
          <mc:AlternateContent>
            <mc:Choice Requires="wps">
              <w:drawing>
                <wp:anchor distT="0" distB="0" distL="114300" distR="114300" simplePos="0" relativeHeight="251658245" behindDoc="0" locked="0" layoutInCell="1" allowOverlap="1" wp14:anchorId="47AE5674" wp14:editId="16F9CED5">
                  <wp:simplePos x="0" y="0"/>
                  <wp:positionH relativeFrom="column">
                    <wp:posOffset>5229860</wp:posOffset>
                  </wp:positionH>
                  <wp:positionV relativeFrom="paragraph">
                    <wp:posOffset>-116782</wp:posOffset>
                  </wp:positionV>
                  <wp:extent cx="1334308" cy="7518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6441D25C" w14:textId="77777777" w:rsidR="00E20996" w:rsidRDefault="00E20996">
                              <w:pPr>
                                <w:ind w:left="-113"/>
                              </w:pPr>
                              <w:r>
                                <w:rPr>
                                  <w:noProof/>
                                </w:rPr>
                                <w:drawing>
                                  <wp:inline distT="0" distB="0" distL="0" distR="0" wp14:anchorId="682378B0" wp14:editId="33D9E389">
                                    <wp:extent cx="1290939" cy="7033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5674" id="_x0000_t202" coordsize="21600,21600" o:spt="202" path="m,l,21600r21600,l21600,xe">
                  <v:stroke joinstyle="miter"/>
                  <v:path gradientshapeok="t" o:connecttype="rect"/>
                </v:shapetype>
                <v:shape id="Text Box 45" o:spid="_x0000_s1039" type="#_x0000_t202" style="position:absolute;margin-left:411.8pt;margin-top:-9.2pt;width:105.05pt;height:5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ArCl9sGgIAADMEAAAOAAAAAAAAAAAAAAAAAC4CAABkcnMvZTJvRG9jLnhtbFBL&#10;AQItABQABgAIAAAAIQBLNigZ4wAAAAwBAAAPAAAAAAAAAAAAAAAAAHQEAABkcnMvZG93bnJldi54&#10;bWxQSwUGAAAAAAQABADzAAAAhAUAAAAA&#10;" filled="f" stroked="f" strokeweight=".5pt">
                  <v:textbox>
                    <w:txbxContent>
                      <w:p w14:paraId="6441D25C" w14:textId="77777777" w:rsidR="00E20996" w:rsidRDefault="00E20996">
                        <w:pPr>
                          <w:ind w:left="-113"/>
                        </w:pPr>
                        <w:r>
                          <w:rPr>
                            <w:noProof/>
                          </w:rPr>
                          <w:drawing>
                            <wp:inline distT="0" distB="0" distL="0" distR="0" wp14:anchorId="682378B0" wp14:editId="33D9E389">
                              <wp:extent cx="1290939" cy="7033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9301E" w:rsidRPr="0079301E">
          <w:rPr>
            <w:noProof/>
          </w:rPr>
          <w:t xml:space="preserve"> </w:t>
        </w:r>
        <w:r w:rsidR="0079301E">
          <w:rPr>
            <w:noProof/>
          </w:rPr>
          <mc:AlternateContent>
            <mc:Choice Requires="wps">
              <w:drawing>
                <wp:anchor distT="0" distB="0" distL="114300" distR="114300" simplePos="0" relativeHeight="251658247" behindDoc="0" locked="0" layoutInCell="1" allowOverlap="1" wp14:anchorId="43A3D304" wp14:editId="7EE3218F">
                  <wp:simplePos x="0" y="0"/>
                  <wp:positionH relativeFrom="column">
                    <wp:posOffset>5229860</wp:posOffset>
                  </wp:positionH>
                  <wp:positionV relativeFrom="paragraph">
                    <wp:posOffset>-116782</wp:posOffset>
                  </wp:positionV>
                  <wp:extent cx="1334308" cy="7518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716B429B" w14:textId="77777777" w:rsidR="0079301E" w:rsidRDefault="0079301E" w:rsidP="0079301E">
                              <w:pPr>
                                <w:ind w:left="-113"/>
                              </w:pPr>
                              <w:r>
                                <w:rPr>
                                  <w:noProof/>
                                </w:rPr>
                                <w:drawing>
                                  <wp:inline distT="0" distB="0" distL="0" distR="0" wp14:anchorId="4E97C839" wp14:editId="2FE903EE">
                                    <wp:extent cx="1290939" cy="7033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D304" id="Text Box 26" o:spid="_x0000_s1040" type="#_x0000_t202" style="position:absolute;margin-left:411.8pt;margin-top:-9.2pt;width:105.05pt;height:5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C5Gg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BUuBC5GgIAADMEAAAOAAAAAAAAAAAAAAAAAC4CAABkcnMvZTJvRG9jLnhtbFBL&#10;AQItABQABgAIAAAAIQBLNigZ4wAAAAwBAAAPAAAAAAAAAAAAAAAAAHQEAABkcnMvZG93bnJldi54&#10;bWxQSwUGAAAAAAQABADzAAAAhAUAAAAA&#10;" filled="f" stroked="f" strokeweight=".5pt">
                  <v:textbox>
                    <w:txbxContent>
                      <w:p w14:paraId="716B429B" w14:textId="77777777" w:rsidR="0079301E" w:rsidRDefault="0079301E" w:rsidP="0079301E">
                        <w:pPr>
                          <w:ind w:left="-113"/>
                        </w:pPr>
                        <w:r>
                          <w:rPr>
                            <w:noProof/>
                          </w:rPr>
                          <w:drawing>
                            <wp:inline distT="0" distB="0" distL="0" distR="0" wp14:anchorId="4E97C839" wp14:editId="2FE903EE">
                              <wp:extent cx="1290939" cy="7033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9301E">
          <w:t>Guideline for minimising greenhouse gas emissions</w:t>
        </w:r>
      </w:p>
      <w:p w14:paraId="1290C274" w14:textId="67618818" w:rsidR="00E20996" w:rsidRPr="00FF6807" w:rsidRDefault="00E20996" w:rsidP="0079301E">
        <w:pPr>
          <w:pStyle w:val="FooterDocDescription"/>
          <w:rPr>
            <w:b/>
            <w:bCs/>
            <w:color w:val="auto"/>
            <w:sz w:val="22"/>
            <w:lang w:eastAsia="en-AU" w:bidi="ar-SA"/>
          </w:rPr>
        </w:pPr>
        <w:r w:rsidRPr="00FF6807">
          <w:rPr>
            <w:rFonts w:ascii="VIC SemiBold" w:hAnsi="VIC SemiBold"/>
            <w:b/>
            <w:bCs/>
            <w:szCs w:val="16"/>
          </w:rPr>
          <w:t xml:space="preserve">Page </w:t>
        </w:r>
        <w:r w:rsidR="00DD1C5B">
          <w:rPr>
            <w:rFonts w:ascii="VIC SemiBold" w:hAnsi="VIC SemiBold"/>
            <w:b/>
            <w:bCs/>
            <w:szCs w:val="16"/>
          </w:rPr>
          <w:t>4</w:t>
        </w:r>
        <w:r w:rsidR="00E56EEB">
          <w:rPr>
            <w:rFonts w:ascii="VIC SemiBold" w:hAnsi="VIC SemiBold"/>
            <w:b/>
            <w:bCs/>
            <w:szCs w:val="16"/>
          </w:rPr>
          <w:t>0</w:t>
        </w:r>
      </w:p>
    </w:sdtContent>
  </w:sdt>
  <w:p w14:paraId="5680A26C" w14:textId="77777777" w:rsidR="00E20996" w:rsidRPr="00C6258A" w:rsidRDefault="00E20996">
    <w:pPr>
      <w:pStyle w:val="Footer"/>
    </w:pPr>
    <w:r>
      <w:rPr>
        <w:noProof/>
        <w:szCs w:val="16"/>
      </w:rPr>
      <mc:AlternateContent>
        <mc:Choice Requires="wps">
          <w:drawing>
            <wp:anchor distT="0" distB="0" distL="114300" distR="114300" simplePos="0" relativeHeight="251658246" behindDoc="0" locked="0" layoutInCell="1" allowOverlap="1" wp14:anchorId="17A5F700" wp14:editId="55016A21">
              <wp:simplePos x="0" y="0"/>
              <wp:positionH relativeFrom="column">
                <wp:posOffset>-20320</wp:posOffset>
              </wp:positionH>
              <wp:positionV relativeFrom="paragraph">
                <wp:posOffset>228658</wp:posOffset>
              </wp:positionV>
              <wp:extent cx="6492875" cy="0"/>
              <wp:effectExtent l="0" t="0" r="9525" b="12700"/>
              <wp:wrapNone/>
              <wp:docPr id="47" name="Straight Connector 47"/>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5D447" id="Straight Connector 47"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p w14:paraId="1FE3F19D" w14:textId="77777777" w:rsidR="00E20996" w:rsidRPr="00754BB0" w:rsidRDefault="00E20996">
    <w:pPr>
      <w:pStyle w:val="Footer"/>
      <w:rPr>
        <w:lang w:bidi="he-IL"/>
      </w:rPr>
    </w:pPr>
  </w:p>
  <w:p w14:paraId="06B8C87D" w14:textId="77777777" w:rsidR="00E20996" w:rsidRDefault="00E20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C8EF" w14:textId="77777777" w:rsidR="00863A5B" w:rsidRDefault="00863A5B" w:rsidP="00284CBB">
      <w:pPr>
        <w:spacing w:after="0"/>
      </w:pPr>
      <w:r>
        <w:separator/>
      </w:r>
    </w:p>
    <w:p w14:paraId="2AF3603A" w14:textId="77777777" w:rsidR="00863A5B" w:rsidRDefault="00863A5B"/>
    <w:p w14:paraId="55BF5E05" w14:textId="77777777" w:rsidR="00863A5B" w:rsidRDefault="00863A5B"/>
    <w:p w14:paraId="2986D490" w14:textId="77777777" w:rsidR="00863A5B" w:rsidRDefault="00863A5B"/>
    <w:p w14:paraId="34955D9F" w14:textId="77777777" w:rsidR="00863A5B" w:rsidRDefault="00863A5B"/>
  </w:footnote>
  <w:footnote w:type="continuationSeparator" w:id="0">
    <w:p w14:paraId="5B2DA274" w14:textId="77777777" w:rsidR="00863A5B" w:rsidRDefault="00863A5B" w:rsidP="00284CBB">
      <w:pPr>
        <w:spacing w:after="0"/>
      </w:pPr>
      <w:r>
        <w:continuationSeparator/>
      </w:r>
    </w:p>
    <w:p w14:paraId="00BE16CF" w14:textId="77777777" w:rsidR="00863A5B" w:rsidRDefault="00863A5B"/>
    <w:p w14:paraId="177DAE70" w14:textId="77777777" w:rsidR="00863A5B" w:rsidRDefault="00863A5B"/>
    <w:p w14:paraId="4B99AABF" w14:textId="77777777" w:rsidR="00863A5B" w:rsidRDefault="00863A5B"/>
    <w:p w14:paraId="61383F3C" w14:textId="77777777" w:rsidR="00863A5B" w:rsidRDefault="00863A5B"/>
  </w:footnote>
  <w:footnote w:type="continuationNotice" w:id="1">
    <w:p w14:paraId="0CB37081" w14:textId="77777777" w:rsidR="00863A5B" w:rsidRDefault="00863A5B">
      <w:pPr>
        <w:spacing w:after="0"/>
      </w:pPr>
    </w:p>
  </w:footnote>
  <w:footnote w:id="2">
    <w:p w14:paraId="46CBD1D0" w14:textId="657F8073" w:rsidR="00091B32" w:rsidRPr="0092768B" w:rsidRDefault="00091B32">
      <w:pPr>
        <w:pStyle w:val="FootnoteText"/>
        <w:rPr>
          <w:sz w:val="16"/>
          <w:szCs w:val="16"/>
        </w:rPr>
      </w:pPr>
      <w:r w:rsidRPr="0092768B">
        <w:rPr>
          <w:rStyle w:val="FootnoteReference"/>
          <w:sz w:val="16"/>
          <w:szCs w:val="16"/>
        </w:rPr>
        <w:footnoteRef/>
      </w:r>
      <w:r w:rsidRPr="0092768B">
        <w:rPr>
          <w:sz w:val="16"/>
          <w:szCs w:val="16"/>
        </w:rPr>
        <w:t xml:space="preserve"> </w:t>
      </w:r>
      <w:r w:rsidR="0080056D" w:rsidRPr="0092768B">
        <w:rPr>
          <w:sz w:val="16"/>
          <w:szCs w:val="16"/>
        </w:rPr>
        <w:t>Department of Environment, Land, Water and Planning, 2021</w:t>
      </w:r>
    </w:p>
  </w:footnote>
  <w:footnote w:id="3">
    <w:p w14:paraId="2033F971" w14:textId="589C9EA0" w:rsidR="0080056D" w:rsidRPr="0092768B" w:rsidRDefault="0080056D">
      <w:pPr>
        <w:pStyle w:val="FootnoteText"/>
        <w:rPr>
          <w:sz w:val="16"/>
          <w:szCs w:val="16"/>
        </w:rPr>
      </w:pPr>
      <w:r w:rsidRPr="0092768B">
        <w:rPr>
          <w:rStyle w:val="FootnoteReference"/>
          <w:sz w:val="16"/>
          <w:szCs w:val="16"/>
        </w:rPr>
        <w:footnoteRef/>
      </w:r>
      <w:r w:rsidRPr="0092768B">
        <w:rPr>
          <w:sz w:val="16"/>
          <w:szCs w:val="16"/>
        </w:rPr>
        <w:t xml:space="preserve"> </w:t>
      </w:r>
      <w:r w:rsidR="006557DC" w:rsidRPr="0092768B">
        <w:rPr>
          <w:sz w:val="16"/>
          <w:szCs w:val="16"/>
        </w:rPr>
        <w:t>Department of Health and the Department of Families, Fairness and Housing, 2022</w:t>
      </w:r>
    </w:p>
  </w:footnote>
  <w:footnote w:id="4">
    <w:p w14:paraId="33426E8B" w14:textId="33949460" w:rsidR="006557DC" w:rsidRDefault="006557DC">
      <w:pPr>
        <w:pStyle w:val="FootnoteText"/>
      </w:pPr>
      <w:r w:rsidRPr="0092768B">
        <w:rPr>
          <w:rStyle w:val="FootnoteReference"/>
          <w:sz w:val="16"/>
          <w:szCs w:val="16"/>
        </w:rPr>
        <w:footnoteRef/>
      </w:r>
      <w:r w:rsidRPr="0092768B">
        <w:rPr>
          <w:sz w:val="16"/>
          <w:szCs w:val="16"/>
        </w:rPr>
        <w:t xml:space="preserve"> </w:t>
      </w:r>
      <w:hyperlink r:id="rId1" w:history="1">
        <w:r w:rsidR="00D96EA2" w:rsidRPr="006700ED">
          <w:rPr>
            <w:rStyle w:val="Hyperlink"/>
            <w:rFonts w:ascii="VIC" w:hAnsi="VIC"/>
            <w:sz w:val="16"/>
            <w:szCs w:val="16"/>
          </w:rPr>
          <w:t>https://www.ipcc.ch/report/ar6/wg1/</w:t>
        </w:r>
      </w:hyperlink>
    </w:p>
  </w:footnote>
  <w:footnote w:id="5">
    <w:p w14:paraId="3BAFA229" w14:textId="20E61497" w:rsidR="00B358B2" w:rsidRPr="00DA1A3D" w:rsidRDefault="00B358B2" w:rsidP="00570CCB">
      <w:pPr>
        <w:spacing w:after="0"/>
        <w:rPr>
          <w:sz w:val="16"/>
          <w:szCs w:val="16"/>
        </w:rPr>
      </w:pPr>
      <w:r w:rsidRPr="00DA1A3D">
        <w:rPr>
          <w:rStyle w:val="FootnoteReference"/>
          <w:sz w:val="16"/>
          <w:szCs w:val="16"/>
        </w:rPr>
        <w:footnoteRef/>
      </w:r>
      <w:r w:rsidRPr="00DA1A3D">
        <w:rPr>
          <w:sz w:val="16"/>
          <w:szCs w:val="16"/>
        </w:rPr>
        <w:t xml:space="preserve"> </w:t>
      </w:r>
      <w:r w:rsidR="00F40A8C" w:rsidRPr="00DA1A3D">
        <w:rPr>
          <w:sz w:val="16"/>
          <w:szCs w:val="16"/>
        </w:rPr>
        <w:t>Department of Environment, Land, Water and Planning</w:t>
      </w:r>
    </w:p>
  </w:footnote>
  <w:footnote w:id="6">
    <w:p w14:paraId="4424A713" w14:textId="565B0AB4" w:rsidR="00DD57F7" w:rsidRPr="00DA1A3D" w:rsidRDefault="00DD57F7" w:rsidP="00570CCB">
      <w:pPr>
        <w:spacing w:after="0"/>
        <w:rPr>
          <w:sz w:val="16"/>
          <w:szCs w:val="16"/>
        </w:rPr>
      </w:pPr>
      <w:r w:rsidRPr="00DA1A3D">
        <w:rPr>
          <w:rStyle w:val="FootnoteReference"/>
          <w:sz w:val="16"/>
          <w:szCs w:val="16"/>
        </w:rPr>
        <w:footnoteRef/>
      </w:r>
      <w:r w:rsidRPr="00DA1A3D">
        <w:rPr>
          <w:sz w:val="16"/>
          <w:szCs w:val="16"/>
        </w:rPr>
        <w:t xml:space="preserve"> </w:t>
      </w:r>
      <w:r w:rsidR="00425E0D" w:rsidRPr="00DA1A3D">
        <w:rPr>
          <w:sz w:val="16"/>
          <w:szCs w:val="16"/>
        </w:rPr>
        <w:t>The ‘state of knowledge’ is the body of accepted knowledge that is known or ought reasonably to be known about the harm or risks of harm to human health and the environment and how to eliminate or reduce those risks.</w:t>
      </w:r>
    </w:p>
  </w:footnote>
  <w:footnote w:id="7">
    <w:p w14:paraId="7D05CAA4" w14:textId="243E23D3" w:rsidR="004204A5" w:rsidRPr="00200FDF" w:rsidRDefault="004204A5" w:rsidP="0009059C">
      <w:pPr>
        <w:pStyle w:val="FootnoteText"/>
        <w:rPr>
          <w:sz w:val="16"/>
          <w:szCs w:val="16"/>
        </w:rPr>
      </w:pPr>
      <w:r>
        <w:rPr>
          <w:rStyle w:val="FootnoteReference"/>
        </w:rPr>
        <w:t>7</w:t>
      </w:r>
      <w:r>
        <w:rPr>
          <w:sz w:val="16"/>
          <w:szCs w:val="16"/>
        </w:rPr>
        <w:t xml:space="preserve"> </w:t>
      </w:r>
      <w:r w:rsidRPr="00200FDF">
        <w:rPr>
          <w:sz w:val="16"/>
          <w:szCs w:val="16"/>
        </w:rPr>
        <w:t>World Resources Institute and World Business Council for Sustainable Development</w:t>
      </w:r>
    </w:p>
  </w:footnote>
  <w:footnote w:id="8">
    <w:p w14:paraId="691E3A6F" w14:textId="530EF147" w:rsidR="00501F9B" w:rsidRPr="00200FDF" w:rsidRDefault="00501F9B" w:rsidP="0009059C">
      <w:pPr>
        <w:pStyle w:val="FootnoteText"/>
        <w:rPr>
          <w:sz w:val="16"/>
          <w:szCs w:val="16"/>
        </w:rPr>
      </w:pPr>
      <w:r>
        <w:rPr>
          <w:rStyle w:val="FootnoteReference"/>
        </w:rPr>
        <w:t>8</w:t>
      </w:r>
      <w:r>
        <w:rPr>
          <w:sz w:val="16"/>
          <w:szCs w:val="16"/>
        </w:rPr>
        <w:t xml:space="preserve"> </w:t>
      </w:r>
      <w:r w:rsidRPr="00200FDF">
        <w:rPr>
          <w:sz w:val="16"/>
          <w:szCs w:val="16"/>
        </w:rPr>
        <w:t>United States Environment Protection Agency</w:t>
      </w:r>
    </w:p>
  </w:footnote>
  <w:footnote w:id="9">
    <w:p w14:paraId="6957F105" w14:textId="460E9733" w:rsidR="00501F9B" w:rsidRDefault="00501F9B" w:rsidP="0009059C">
      <w:pPr>
        <w:pStyle w:val="FootnoteText"/>
      </w:pPr>
      <w:r>
        <w:rPr>
          <w:rStyle w:val="FootnoteReference"/>
        </w:rPr>
        <w:t>9</w:t>
      </w:r>
      <w:r>
        <w:rPr>
          <w:sz w:val="16"/>
          <w:szCs w:val="16"/>
        </w:rPr>
        <w:t xml:space="preserve"> </w:t>
      </w:r>
      <w:r w:rsidRPr="00200FDF">
        <w:rPr>
          <w:sz w:val="16"/>
          <w:szCs w:val="16"/>
        </w:rPr>
        <w:t xml:space="preserve">NGER is a national framework for reporting GHG emissions, and energy production and consumption. Methods used in NGER reporting are defined in the </w:t>
      </w:r>
      <w:hyperlink r:id="rId2" w:history="1">
        <w:r w:rsidRPr="00000161">
          <w:rPr>
            <w:rStyle w:val="Hyperlink"/>
            <w:rFonts w:ascii="VIC" w:hAnsi="VIC"/>
            <w:sz w:val="16"/>
            <w:szCs w:val="16"/>
          </w:rPr>
          <w:t>National Greenhouse and Energy Reporting (Measurement) Determination 2008</w:t>
        </w:r>
      </w:hyperlink>
      <w:r w:rsidRPr="00200FDF">
        <w:rPr>
          <w:sz w:val="16"/>
          <w:szCs w:val="16"/>
        </w:rPr>
        <w:t xml:space="preserve">. </w:t>
      </w:r>
    </w:p>
  </w:footnote>
  <w:footnote w:id="10">
    <w:p w14:paraId="32F44FB3" w14:textId="7D864967" w:rsidR="009769EC" w:rsidRPr="00A25983" w:rsidRDefault="009769EC" w:rsidP="00A71453">
      <w:pPr>
        <w:pStyle w:val="FootnoteText"/>
        <w:rPr>
          <w:sz w:val="16"/>
          <w:szCs w:val="16"/>
        </w:rPr>
      </w:pPr>
      <w:r>
        <w:rPr>
          <w:rStyle w:val="FootnoteReference"/>
        </w:rPr>
        <w:t>10</w:t>
      </w:r>
      <w:r w:rsidRPr="00A25983">
        <w:rPr>
          <w:sz w:val="16"/>
          <w:szCs w:val="16"/>
        </w:rPr>
        <w:t xml:space="preserve"> </w:t>
      </w:r>
      <w:r w:rsidRPr="00A25983">
        <w:rPr>
          <w:rFonts w:eastAsia="Calibri"/>
          <w:sz w:val="16"/>
          <w:szCs w:val="16"/>
        </w:rPr>
        <w:t>Ellen MacArthur Foundation 2019</w:t>
      </w:r>
    </w:p>
  </w:footnote>
  <w:footnote w:id="11">
    <w:p w14:paraId="42046428" w14:textId="16C38CF0" w:rsidR="008A0138" w:rsidRPr="00906BE8" w:rsidRDefault="008A0138" w:rsidP="00DA64A8">
      <w:pPr>
        <w:pStyle w:val="FootnoteText"/>
        <w:rPr>
          <w:sz w:val="16"/>
          <w:szCs w:val="16"/>
        </w:rPr>
      </w:pPr>
      <w:r>
        <w:rPr>
          <w:rStyle w:val="FootnoteReference"/>
        </w:rPr>
        <w:t>11</w:t>
      </w:r>
      <w:r w:rsidRPr="00906BE8">
        <w:rPr>
          <w:sz w:val="16"/>
          <w:szCs w:val="16"/>
        </w:rPr>
        <w:t xml:space="preserve"> IPCC, 2014: Climate Change 2014: Synthesis Report</w:t>
      </w:r>
      <w:r>
        <w:rPr>
          <w:sz w:val="16"/>
          <w:szCs w:val="16"/>
        </w:rPr>
        <w:t>;</w:t>
      </w:r>
      <w:r w:rsidRPr="00906BE8">
        <w:rPr>
          <w:sz w:val="16"/>
          <w:szCs w:val="16"/>
        </w:rPr>
        <w:t xml:space="preserve"> IPCC, 2021: Summary for Policymakers. In: Climate Change 2021: The Physical Science Basis</w:t>
      </w:r>
    </w:p>
  </w:footnote>
  <w:footnote w:id="12">
    <w:p w14:paraId="5A791C5C" w14:textId="79C468EC" w:rsidR="00BB3328" w:rsidRDefault="00BB3328" w:rsidP="00DA5379">
      <w:pPr>
        <w:pStyle w:val="FootnoteText"/>
      </w:pPr>
      <w:r>
        <w:rPr>
          <w:rStyle w:val="FootnoteReference"/>
        </w:rPr>
        <w:t>12</w:t>
      </w:r>
      <w:r w:rsidRPr="00C52D32">
        <w:rPr>
          <w:sz w:val="16"/>
          <w:szCs w:val="16"/>
        </w:rPr>
        <w:t xml:space="preserve"> CDP, 2021</w:t>
      </w:r>
      <w:r w:rsidR="00005F31">
        <w:rPr>
          <w:sz w:val="16"/>
          <w:szCs w:val="16"/>
        </w:rPr>
        <w:t>.</w:t>
      </w:r>
    </w:p>
  </w:footnote>
  <w:footnote w:id="13">
    <w:p w14:paraId="15265E55" w14:textId="11B55026" w:rsidR="00290642" w:rsidRDefault="00290642" w:rsidP="00AD2F80">
      <w:pPr>
        <w:pStyle w:val="FootnoteText"/>
        <w:rPr>
          <w:lang w:val="en-US"/>
        </w:rPr>
      </w:pPr>
      <w:r>
        <w:rPr>
          <w:rStyle w:val="FootnoteReference"/>
        </w:rPr>
        <w:t>13</w:t>
      </w:r>
      <w:r>
        <w:t xml:space="preserve"> </w:t>
      </w:r>
      <w:r w:rsidRPr="00750B66">
        <w:rPr>
          <w:sz w:val="16"/>
          <w:szCs w:val="16"/>
        </w:rPr>
        <w:t>Emissions intensity is a ratio comparing the GHG emissions of an activity or economic sector to the economic value it generates. For example, tonnes of CO2-e per dollar of revenue earned, tonnes of CO2-e per megawatt-hour of electricity consumed, or tonnes of CO2-e per tonne of steel produced. Emissions intensity reductions can be an important part of GHG management and measurement. But since modest improvements in intensity combined with increases in activity can produce increases in total emissions, absolute emissions outcomes need to be kept in 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B07B" w14:textId="77777777" w:rsidR="00394700" w:rsidRDefault="00394700">
    <w:pPr>
      <w:pStyle w:val="Header"/>
    </w:pPr>
    <w:r>
      <w:rPr>
        <w:noProof/>
      </w:rPr>
      <mc:AlternateContent>
        <mc:Choice Requires="wps">
          <w:drawing>
            <wp:anchor distT="0" distB="0" distL="0" distR="0" simplePos="0" relativeHeight="251658249" behindDoc="0" locked="0" layoutInCell="1" allowOverlap="1" wp14:anchorId="08FA8E34" wp14:editId="0F2E22C2">
              <wp:simplePos x="635" y="635"/>
              <wp:positionH relativeFrom="column">
                <wp:align>center</wp:align>
              </wp:positionH>
              <wp:positionV relativeFrom="paragraph">
                <wp:posOffset>635</wp:posOffset>
              </wp:positionV>
              <wp:extent cx="443865" cy="443865"/>
              <wp:effectExtent l="0" t="0" r="10160" b="10160"/>
              <wp:wrapSquare wrapText="bothSides"/>
              <wp:docPr id="28" name="Text Box 28"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EE4EA"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FA8E34" id="_x0000_t202" coordsize="21600,21600" o:spt="202" path="m,l,21600r21600,l21600,xe">
              <v:stroke joinstyle="miter"/>
              <v:path gradientshapeok="t" o:connecttype="rect"/>
            </v:shapetype>
            <v:shape id="Text Box 28" o:spid="_x0000_s1031"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9EE4EA"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2F801071" w14:textId="77777777" w:rsidR="00394700" w:rsidRDefault="00394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5608" w14:textId="77777777" w:rsidR="00394700" w:rsidRDefault="00394700">
    <w:pPr>
      <w:pStyle w:val="Header"/>
    </w:pPr>
    <w:r>
      <w:rPr>
        <w:noProof/>
      </w:rPr>
      <mc:AlternateContent>
        <mc:Choice Requires="wps">
          <w:drawing>
            <wp:anchor distT="0" distB="0" distL="0" distR="0" simplePos="0" relativeHeight="251658248" behindDoc="0" locked="0" layoutInCell="1" allowOverlap="1" wp14:anchorId="1ED46028" wp14:editId="5479ADE1">
              <wp:simplePos x="635" y="635"/>
              <wp:positionH relativeFrom="column">
                <wp:align>center</wp:align>
              </wp:positionH>
              <wp:positionV relativeFrom="paragraph">
                <wp:posOffset>635</wp:posOffset>
              </wp:positionV>
              <wp:extent cx="443865" cy="443865"/>
              <wp:effectExtent l="0" t="0" r="10160" b="10160"/>
              <wp:wrapSquare wrapText="bothSides"/>
              <wp:docPr id="34" name="Text Box 3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FC449"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D46028" id="_x0000_t202" coordsize="21600,21600" o:spt="202" path="m,l,21600r21600,l21600,xe">
              <v:stroke joinstyle="miter"/>
              <v:path gradientshapeok="t" o:connecttype="rect"/>
            </v:shapetype>
            <v:shape id="Text Box 34" o:spid="_x0000_s1034"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DFC449"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544" w14:textId="5E6FC627" w:rsidR="00D5480E" w:rsidRDefault="00D5480E">
    <w:pPr>
      <w:pStyle w:val="Header"/>
    </w:pPr>
    <w:r>
      <w:rPr>
        <w:noProof/>
      </w:rPr>
      <mc:AlternateContent>
        <mc:Choice Requires="wps">
          <w:drawing>
            <wp:anchor distT="0" distB="0" distL="0" distR="0" simplePos="0" relativeHeight="251658241" behindDoc="0" locked="0" layoutInCell="1" allowOverlap="1" wp14:anchorId="0111B8E3" wp14:editId="33A090D9">
              <wp:simplePos x="635" y="635"/>
              <wp:positionH relativeFrom="column">
                <wp:align>center</wp:align>
              </wp:positionH>
              <wp:positionV relativeFrom="paragraph">
                <wp:posOffset>635</wp:posOffset>
              </wp:positionV>
              <wp:extent cx="443865" cy="443865"/>
              <wp:effectExtent l="0" t="0" r="10160" b="10160"/>
              <wp:wrapSquare wrapText="bothSides"/>
              <wp:docPr id="22" name="Text Box 2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1B8E3" id="_x0000_t202" coordsize="21600,21600" o:spt="202" path="m,l,21600r21600,l21600,xe">
              <v:stroke joinstyle="miter"/>
              <v:path gradientshapeok="t" o:connecttype="rect"/>
            </v:shapetype>
            <v:shape id="Text Box 22" o:spid="_x0000_s1035" type="#_x0000_t202" alt="OFFIC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91B2" w14:textId="4A756C3A" w:rsidR="00D5480E" w:rsidRDefault="00D5480E">
    <w:pPr>
      <w:pStyle w:val="Header"/>
    </w:pPr>
    <w:r>
      <w:rPr>
        <w:noProof/>
      </w:rPr>
      <mc:AlternateContent>
        <mc:Choice Requires="wps">
          <w:drawing>
            <wp:anchor distT="0" distB="0" distL="0" distR="0" simplePos="0" relativeHeight="251658242" behindDoc="0" locked="0" layoutInCell="1" allowOverlap="1" wp14:anchorId="4ED22385" wp14:editId="15C5B920">
              <wp:simplePos x="0" y="0"/>
              <wp:positionH relativeFrom="column">
                <wp:align>center</wp:align>
              </wp:positionH>
              <wp:positionV relativeFrom="paragraph">
                <wp:posOffset>3922</wp:posOffset>
              </wp:positionV>
              <wp:extent cx="443865" cy="443865"/>
              <wp:effectExtent l="0" t="0" r="10160" b="10160"/>
              <wp:wrapSquare wrapText="bothSides"/>
              <wp:docPr id="23" name="Text Box 2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7726D" w14:textId="36ACF3AF" w:rsidR="00D5480E" w:rsidRPr="00D5480E" w:rsidRDefault="00D5480E">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D22385" id="_x0000_t202" coordsize="21600,21600" o:spt="202" path="m,l,21600r21600,l21600,xe">
              <v:stroke joinstyle="miter"/>
              <v:path gradientshapeok="t" o:connecttype="rect"/>
            </v:shapetype>
            <v:shape id="Text Box 23" o:spid="_x0000_s1036" type="#_x0000_t202" alt="OFFICIAL " style="position:absolute;margin-left:0;margin-top:.3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" filled="f" stroked="f">
              <v:textbox style="mso-fit-shape-to-text:t" inset="0,0,0,0">
                <w:txbxContent>
                  <w:p w14:paraId="7107726D" w14:textId="36ACF3AF" w:rsidR="00D5480E" w:rsidRPr="00D5480E" w:rsidRDefault="00D5480E">
                    <w:pPr>
                      <w:rPr>
                        <w:rFonts w:ascii="Calibri" w:eastAsia="Calibri" w:hAnsi="Calibri" w:cs="Calibri"/>
                        <w:noProof/>
                        <w:color w:val="000000"/>
                      </w:rPr>
                    </w:pP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489" w14:textId="45BC16AA" w:rsidR="00D5480E" w:rsidRDefault="00D5480E">
    <w:pPr>
      <w:pStyle w:val="Header"/>
    </w:pPr>
    <w:r>
      <w:rPr>
        <w:noProof/>
      </w:rPr>
      <mc:AlternateContent>
        <mc:Choice Requires="wps">
          <w:drawing>
            <wp:anchor distT="0" distB="0" distL="0" distR="0" simplePos="0" relativeHeight="251658240" behindDoc="0" locked="0" layoutInCell="1" allowOverlap="1" wp14:anchorId="5BBE41EF" wp14:editId="79601505">
              <wp:simplePos x="635" y="635"/>
              <wp:positionH relativeFrom="column">
                <wp:align>center</wp:align>
              </wp:positionH>
              <wp:positionV relativeFrom="paragraph">
                <wp:posOffset>635</wp:posOffset>
              </wp:positionV>
              <wp:extent cx="443865" cy="443865"/>
              <wp:effectExtent l="0" t="0" r="4445" b="635"/>
              <wp:wrapSquare wrapText="bothSides"/>
              <wp:docPr id="21" name="Text Box 2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BE41EF" id="_x0000_t202" coordsize="21600,21600" o:spt="202" path="m,l,21600r21600,l21600,xe">
              <v:stroke joinstyle="miter"/>
              <v:path gradientshapeok="t" o:connecttype="rect"/>
            </v:shapetype>
            <v:shape id="Text Box 21" o:spid="_x0000_s1037" type="#_x0000_t202" alt="OFFIC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C8B" w14:textId="77777777" w:rsidR="00E20996" w:rsidRDefault="00E20996">
    <w:pPr>
      <w:pStyle w:val="Header"/>
    </w:pPr>
    <w:r>
      <w:rPr>
        <w:noProof/>
      </w:rPr>
      <mc:AlternateContent>
        <mc:Choice Requires="wps">
          <w:drawing>
            <wp:anchor distT="0" distB="0" distL="0" distR="0" simplePos="0" relativeHeight="251658244" behindDoc="0" locked="0" layoutInCell="1" allowOverlap="1" wp14:anchorId="4585952F" wp14:editId="30B916D9">
              <wp:simplePos x="635" y="635"/>
              <wp:positionH relativeFrom="column">
                <wp:align>center</wp:align>
              </wp:positionH>
              <wp:positionV relativeFrom="paragraph">
                <wp:posOffset>635</wp:posOffset>
              </wp:positionV>
              <wp:extent cx="443865" cy="443865"/>
              <wp:effectExtent l="0" t="0" r="10160" b="10160"/>
              <wp:wrapSquare wrapText="bothSides"/>
              <wp:docPr id="39" name="Text Box 3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5952F" id="_x0000_t202" coordsize="21600,21600" o:spt="202" path="m,l,21600r21600,l21600,xe">
              <v:stroke joinstyle="miter"/>
              <v:path gradientshapeok="t" o:connecttype="rect"/>
            </v:shapetype>
            <v:shape id="Text Box 39" o:spid="_x0000_s1038" type="#_x0000_t202" alt="OFFICIAL "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7FD7059C" w14:textId="77777777" w:rsidR="00E20996" w:rsidRDefault="00E209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A50" w14:textId="77777777" w:rsidR="00E20996" w:rsidRDefault="00E20996">
    <w:pPr>
      <w:pStyle w:val="Header"/>
    </w:pPr>
    <w:r>
      <w:rPr>
        <w:noProof/>
      </w:rPr>
      <mc:AlternateContent>
        <mc:Choice Requires="wps">
          <w:drawing>
            <wp:anchor distT="0" distB="0" distL="0" distR="0" simplePos="0" relativeHeight="251658243" behindDoc="0" locked="0" layoutInCell="1" allowOverlap="1" wp14:anchorId="3251577F" wp14:editId="75965F00">
              <wp:simplePos x="635" y="635"/>
              <wp:positionH relativeFrom="column">
                <wp:align>center</wp:align>
              </wp:positionH>
              <wp:positionV relativeFrom="paragraph">
                <wp:posOffset>635</wp:posOffset>
              </wp:positionV>
              <wp:extent cx="443865" cy="443865"/>
              <wp:effectExtent l="0" t="0" r="10160" b="10160"/>
              <wp:wrapSquare wrapText="bothSides"/>
              <wp:docPr id="40" name="Text Box 4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1577F" id="_x0000_t202" coordsize="21600,21600" o:spt="202" path="m,l,21600r21600,l21600,xe">
              <v:stroke joinstyle="miter"/>
              <v:path gradientshapeok="t" o:connecttype="rect"/>
            </v:shapetype>
            <v:shape id="Text Box 40" o:spid="_x0000_s1041" type="#_x0000_t202" alt="OFFICIAL "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F6E"/>
    <w:multiLevelType w:val="multilevel"/>
    <w:tmpl w:val="DAC420D2"/>
    <w:lvl w:ilvl="0">
      <w:start w:val="1"/>
      <w:numFmt w:val="lowerLetter"/>
      <w:lvlText w:val="%1)"/>
      <w:lvlJc w:val="left"/>
      <w:pPr>
        <w:tabs>
          <w:tab w:val="num" w:pos="850"/>
        </w:tabs>
        <w:ind w:left="850" w:hanging="425"/>
      </w:pPr>
      <w:rPr>
        <w:rFonts w:hint="default"/>
      </w:rPr>
    </w:lvl>
    <w:lvl w:ilvl="1">
      <w:start w:val="1"/>
      <w:numFmt w:val="bullet"/>
      <w:lvlText w:val="–"/>
      <w:lvlJc w:val="left"/>
      <w:pPr>
        <w:tabs>
          <w:tab w:val="num" w:pos="1275"/>
        </w:tabs>
        <w:ind w:left="1275" w:hanging="425"/>
      </w:pPr>
      <w:rPr>
        <w:rFonts w:ascii="Arial Rounded MT" w:hAnsi="Arial Rounded MT" w:hint="default"/>
        <w:color w:val="auto"/>
      </w:rPr>
    </w:lvl>
    <w:lvl w:ilvl="2">
      <w:start w:val="1"/>
      <w:numFmt w:val="bullet"/>
      <w:lvlText w:val=""/>
      <w:lvlJc w:val="left"/>
      <w:pPr>
        <w:tabs>
          <w:tab w:val="num" w:pos="1700"/>
        </w:tabs>
        <w:ind w:left="1700" w:hanging="425"/>
      </w:pPr>
      <w:rPr>
        <w:rFonts w:ascii="Symbol" w:hAnsi="Symbol" w:hint="default"/>
      </w:rPr>
    </w:lvl>
    <w:lvl w:ilvl="3">
      <w:start w:val="1"/>
      <w:numFmt w:val="bullet"/>
      <w:lvlText w:val="–"/>
      <w:lvlJc w:val="left"/>
      <w:pPr>
        <w:tabs>
          <w:tab w:val="num" w:pos="2125"/>
        </w:tabs>
        <w:ind w:left="2125" w:hanging="425"/>
      </w:pPr>
      <w:rPr>
        <w:rFonts w:ascii="Arial Rounded MT" w:hAnsi="Arial Rounded MT" w:hint="default"/>
      </w:rPr>
    </w:lvl>
    <w:lvl w:ilvl="4">
      <w:start w:val="1"/>
      <w:numFmt w:val="bullet"/>
      <w:lvlText w:val=""/>
      <w:lvlJc w:val="left"/>
      <w:pPr>
        <w:tabs>
          <w:tab w:val="num" w:pos="2550"/>
        </w:tabs>
        <w:ind w:left="2550" w:hanging="425"/>
      </w:pPr>
      <w:rPr>
        <w:rFonts w:ascii="Symbol" w:hAnsi="Symbol" w:hint="default"/>
        <w:color w:val="auto"/>
      </w:rPr>
    </w:lvl>
    <w:lvl w:ilvl="5">
      <w:start w:val="1"/>
      <w:numFmt w:val="bullet"/>
      <w:lvlText w:val="–"/>
      <w:lvlJc w:val="left"/>
      <w:pPr>
        <w:tabs>
          <w:tab w:val="num" w:pos="2975"/>
        </w:tabs>
        <w:ind w:left="2975" w:hanging="425"/>
      </w:pPr>
      <w:rPr>
        <w:rFonts w:ascii="Arial Rounded MT" w:hAnsi="Arial Rounded MT" w:hint="default"/>
      </w:rPr>
    </w:lvl>
    <w:lvl w:ilvl="6">
      <w:start w:val="1"/>
      <w:numFmt w:val="none"/>
      <w:lvlText w:val="%7"/>
      <w:lvlJc w:val="left"/>
      <w:pPr>
        <w:tabs>
          <w:tab w:val="num" w:pos="-31255"/>
        </w:tabs>
        <w:ind w:left="-32342" w:firstLine="0"/>
      </w:pPr>
      <w:rPr>
        <w:rFonts w:hint="default"/>
      </w:rPr>
    </w:lvl>
    <w:lvl w:ilvl="7">
      <w:start w:val="1"/>
      <w:numFmt w:val="none"/>
      <w:lvlText w:val=""/>
      <w:lvlJc w:val="left"/>
      <w:pPr>
        <w:tabs>
          <w:tab w:val="num" w:pos="-31255"/>
        </w:tabs>
        <w:ind w:left="-32342" w:firstLine="0"/>
      </w:pPr>
      <w:rPr>
        <w:rFonts w:hint="default"/>
      </w:rPr>
    </w:lvl>
    <w:lvl w:ilvl="8">
      <w:start w:val="1"/>
      <w:numFmt w:val="none"/>
      <w:lvlText w:val=""/>
      <w:lvlJc w:val="left"/>
      <w:pPr>
        <w:tabs>
          <w:tab w:val="num" w:pos="-31255"/>
        </w:tabs>
        <w:ind w:left="-32342" w:firstLine="0"/>
      </w:pPr>
      <w:rPr>
        <w:rFonts w:hint="default"/>
      </w:rPr>
    </w:lvl>
  </w:abstractNum>
  <w:abstractNum w:abstractNumId="1" w15:restartNumberingAfterBreak="0">
    <w:nsid w:val="1D737170"/>
    <w:multiLevelType w:val="multilevel"/>
    <w:tmpl w:val="3462DB76"/>
    <w:styleLink w:val="ListNbr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Restart w:val="0"/>
      <w:suff w:val="nothing"/>
      <w:lvlText w:val="Guidance sheet %6"/>
      <w:lvlJc w:val="left"/>
      <w:pPr>
        <w:ind w:left="0" w:firstLine="0"/>
      </w:pPr>
      <w:rPr>
        <w:rFonts w:hint="default"/>
      </w:rPr>
    </w:lvl>
    <w:lvl w:ilvl="6">
      <w:start w:val="4"/>
      <w:numFmt w:val="decimal"/>
      <w:lvlRestart w:val="0"/>
      <w:suff w:val="nothing"/>
      <w:lvlText w:val="Guidance sheet %7"/>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48068C7"/>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725B532E"/>
    <w:multiLevelType w:val="multilevel"/>
    <w:tmpl w:val="0C06B1EE"/>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250847660">
    <w:abstractNumId w:val="4"/>
  </w:num>
  <w:num w:numId="2" w16cid:durableId="41366456">
    <w:abstractNumId w:val="3"/>
  </w:num>
  <w:num w:numId="3" w16cid:durableId="12419841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750365">
    <w:abstractNumId w:val="2"/>
  </w:num>
  <w:num w:numId="5" w16cid:durableId="1271621457">
    <w:abstractNumId w:val="0"/>
  </w:num>
  <w:num w:numId="6" w16cid:durableId="54198927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BB"/>
    <w:rsid w:val="00000161"/>
    <w:rsid w:val="00005F31"/>
    <w:rsid w:val="0001072A"/>
    <w:rsid w:val="00010FA6"/>
    <w:rsid w:val="00011A70"/>
    <w:rsid w:val="00012342"/>
    <w:rsid w:val="000130D0"/>
    <w:rsid w:val="000170D7"/>
    <w:rsid w:val="00017495"/>
    <w:rsid w:val="00017F6C"/>
    <w:rsid w:val="00022E45"/>
    <w:rsid w:val="000311C8"/>
    <w:rsid w:val="00031894"/>
    <w:rsid w:val="00033A07"/>
    <w:rsid w:val="00035FFF"/>
    <w:rsid w:val="0003710E"/>
    <w:rsid w:val="0004015E"/>
    <w:rsid w:val="00040504"/>
    <w:rsid w:val="00040D14"/>
    <w:rsid w:val="00046F2B"/>
    <w:rsid w:val="00050837"/>
    <w:rsid w:val="00052294"/>
    <w:rsid w:val="00053AA9"/>
    <w:rsid w:val="00057276"/>
    <w:rsid w:val="00063F29"/>
    <w:rsid w:val="00067C5D"/>
    <w:rsid w:val="0007129C"/>
    <w:rsid w:val="0007129F"/>
    <w:rsid w:val="00071A35"/>
    <w:rsid w:val="000750C6"/>
    <w:rsid w:val="00076B52"/>
    <w:rsid w:val="0008292D"/>
    <w:rsid w:val="0009059C"/>
    <w:rsid w:val="00091B32"/>
    <w:rsid w:val="00091F61"/>
    <w:rsid w:val="000A3EB3"/>
    <w:rsid w:val="000A51DC"/>
    <w:rsid w:val="000B10B8"/>
    <w:rsid w:val="000B15CD"/>
    <w:rsid w:val="000B2084"/>
    <w:rsid w:val="000B3CEB"/>
    <w:rsid w:val="000B4826"/>
    <w:rsid w:val="000B60D9"/>
    <w:rsid w:val="000B7F34"/>
    <w:rsid w:val="000B7F70"/>
    <w:rsid w:val="000C0488"/>
    <w:rsid w:val="000C11D4"/>
    <w:rsid w:val="000C6B6D"/>
    <w:rsid w:val="000C7764"/>
    <w:rsid w:val="000D09D5"/>
    <w:rsid w:val="000D09EC"/>
    <w:rsid w:val="000D7A3A"/>
    <w:rsid w:val="000E4E6B"/>
    <w:rsid w:val="000E52E2"/>
    <w:rsid w:val="000E60F7"/>
    <w:rsid w:val="000E6D84"/>
    <w:rsid w:val="000E7A26"/>
    <w:rsid w:val="000F172C"/>
    <w:rsid w:val="000F385E"/>
    <w:rsid w:val="0010795F"/>
    <w:rsid w:val="001117DF"/>
    <w:rsid w:val="00111982"/>
    <w:rsid w:val="00113826"/>
    <w:rsid w:val="00114179"/>
    <w:rsid w:val="001148D2"/>
    <w:rsid w:val="0011783E"/>
    <w:rsid w:val="001200C5"/>
    <w:rsid w:val="001200DE"/>
    <w:rsid w:val="001225D3"/>
    <w:rsid w:val="001263DD"/>
    <w:rsid w:val="00126E7C"/>
    <w:rsid w:val="001276C0"/>
    <w:rsid w:val="001300DA"/>
    <w:rsid w:val="00130A70"/>
    <w:rsid w:val="001368EF"/>
    <w:rsid w:val="0014366F"/>
    <w:rsid w:val="00143FA9"/>
    <w:rsid w:val="00144D9D"/>
    <w:rsid w:val="001455ED"/>
    <w:rsid w:val="00152838"/>
    <w:rsid w:val="001570F3"/>
    <w:rsid w:val="00160EEE"/>
    <w:rsid w:val="00161ED9"/>
    <w:rsid w:val="001650EE"/>
    <w:rsid w:val="00166B4A"/>
    <w:rsid w:val="0017397C"/>
    <w:rsid w:val="001742FA"/>
    <w:rsid w:val="00176B31"/>
    <w:rsid w:val="00185B33"/>
    <w:rsid w:val="00186EAF"/>
    <w:rsid w:val="001922AB"/>
    <w:rsid w:val="00192C0C"/>
    <w:rsid w:val="001942DA"/>
    <w:rsid w:val="001947CD"/>
    <w:rsid w:val="00194A39"/>
    <w:rsid w:val="001A29E6"/>
    <w:rsid w:val="001A65E5"/>
    <w:rsid w:val="001A7862"/>
    <w:rsid w:val="001A7A63"/>
    <w:rsid w:val="001B1BD1"/>
    <w:rsid w:val="001B2C6C"/>
    <w:rsid w:val="001B403E"/>
    <w:rsid w:val="001C3314"/>
    <w:rsid w:val="001C3443"/>
    <w:rsid w:val="001C4719"/>
    <w:rsid w:val="001D096B"/>
    <w:rsid w:val="001D13A6"/>
    <w:rsid w:val="001D2D2C"/>
    <w:rsid w:val="001D7D7C"/>
    <w:rsid w:val="001E1704"/>
    <w:rsid w:val="001E38DD"/>
    <w:rsid w:val="001F1815"/>
    <w:rsid w:val="001F6967"/>
    <w:rsid w:val="00200FDF"/>
    <w:rsid w:val="00201CC9"/>
    <w:rsid w:val="00204679"/>
    <w:rsid w:val="00211F90"/>
    <w:rsid w:val="00212A74"/>
    <w:rsid w:val="00212E99"/>
    <w:rsid w:val="00215740"/>
    <w:rsid w:val="002170F6"/>
    <w:rsid w:val="002246BC"/>
    <w:rsid w:val="00227EE8"/>
    <w:rsid w:val="00230583"/>
    <w:rsid w:val="002343A6"/>
    <w:rsid w:val="00234D15"/>
    <w:rsid w:val="00241130"/>
    <w:rsid w:val="0024436D"/>
    <w:rsid w:val="0025073B"/>
    <w:rsid w:val="002509C1"/>
    <w:rsid w:val="00253075"/>
    <w:rsid w:val="002565C2"/>
    <w:rsid w:val="00262745"/>
    <w:rsid w:val="002638DD"/>
    <w:rsid w:val="00270F1C"/>
    <w:rsid w:val="0027147C"/>
    <w:rsid w:val="00274DDA"/>
    <w:rsid w:val="00275908"/>
    <w:rsid w:val="00284CBB"/>
    <w:rsid w:val="00285198"/>
    <w:rsid w:val="0028739D"/>
    <w:rsid w:val="00287480"/>
    <w:rsid w:val="00287A01"/>
    <w:rsid w:val="00290642"/>
    <w:rsid w:val="00292DD6"/>
    <w:rsid w:val="0029340E"/>
    <w:rsid w:val="002958E6"/>
    <w:rsid w:val="002A2E4F"/>
    <w:rsid w:val="002A76DC"/>
    <w:rsid w:val="002B1FBA"/>
    <w:rsid w:val="002B5EAF"/>
    <w:rsid w:val="002D698E"/>
    <w:rsid w:val="002D7699"/>
    <w:rsid w:val="002D79B8"/>
    <w:rsid w:val="002E1F00"/>
    <w:rsid w:val="002E271D"/>
    <w:rsid w:val="002E527C"/>
    <w:rsid w:val="002F08C9"/>
    <w:rsid w:val="002F2338"/>
    <w:rsid w:val="002F6391"/>
    <w:rsid w:val="002F730A"/>
    <w:rsid w:val="00303758"/>
    <w:rsid w:val="003037AE"/>
    <w:rsid w:val="00304144"/>
    <w:rsid w:val="00304B9D"/>
    <w:rsid w:val="0031313C"/>
    <w:rsid w:val="003200E5"/>
    <w:rsid w:val="00326216"/>
    <w:rsid w:val="00327393"/>
    <w:rsid w:val="003279DC"/>
    <w:rsid w:val="00331569"/>
    <w:rsid w:val="003434AA"/>
    <w:rsid w:val="00350669"/>
    <w:rsid w:val="00360EA8"/>
    <w:rsid w:val="00361EC3"/>
    <w:rsid w:val="00372217"/>
    <w:rsid w:val="0037725F"/>
    <w:rsid w:val="00383BA9"/>
    <w:rsid w:val="0038639B"/>
    <w:rsid w:val="00392BB0"/>
    <w:rsid w:val="00394700"/>
    <w:rsid w:val="00396634"/>
    <w:rsid w:val="003A4964"/>
    <w:rsid w:val="003A5B3E"/>
    <w:rsid w:val="003B7298"/>
    <w:rsid w:val="003C0C68"/>
    <w:rsid w:val="003C2ADE"/>
    <w:rsid w:val="003C3B92"/>
    <w:rsid w:val="003C4DA8"/>
    <w:rsid w:val="003C585B"/>
    <w:rsid w:val="003C5E4B"/>
    <w:rsid w:val="003C610A"/>
    <w:rsid w:val="003C61C8"/>
    <w:rsid w:val="003C712F"/>
    <w:rsid w:val="003C73FC"/>
    <w:rsid w:val="003D346C"/>
    <w:rsid w:val="003D3ADF"/>
    <w:rsid w:val="003D45C4"/>
    <w:rsid w:val="003D64EB"/>
    <w:rsid w:val="003E3BFC"/>
    <w:rsid w:val="003E4752"/>
    <w:rsid w:val="003E5D0E"/>
    <w:rsid w:val="003E69B5"/>
    <w:rsid w:val="003F1F47"/>
    <w:rsid w:val="003F3EF4"/>
    <w:rsid w:val="003F5946"/>
    <w:rsid w:val="003F5ACE"/>
    <w:rsid w:val="003F6AA8"/>
    <w:rsid w:val="00403188"/>
    <w:rsid w:val="00415D8D"/>
    <w:rsid w:val="004204A5"/>
    <w:rsid w:val="00425E0D"/>
    <w:rsid w:val="00426DD4"/>
    <w:rsid w:val="004314A4"/>
    <w:rsid w:val="00433836"/>
    <w:rsid w:val="00435653"/>
    <w:rsid w:val="004361BC"/>
    <w:rsid w:val="00452228"/>
    <w:rsid w:val="00452CFD"/>
    <w:rsid w:val="004531B3"/>
    <w:rsid w:val="00453AB4"/>
    <w:rsid w:val="00455E51"/>
    <w:rsid w:val="00455EF2"/>
    <w:rsid w:val="00460771"/>
    <w:rsid w:val="004751A4"/>
    <w:rsid w:val="00475F85"/>
    <w:rsid w:val="0047754A"/>
    <w:rsid w:val="00483FC6"/>
    <w:rsid w:val="0048699D"/>
    <w:rsid w:val="00490613"/>
    <w:rsid w:val="004A2EF8"/>
    <w:rsid w:val="004A372D"/>
    <w:rsid w:val="004B11C6"/>
    <w:rsid w:val="004B1A73"/>
    <w:rsid w:val="004B263A"/>
    <w:rsid w:val="004B428C"/>
    <w:rsid w:val="004B44EB"/>
    <w:rsid w:val="004C1761"/>
    <w:rsid w:val="004C5114"/>
    <w:rsid w:val="004D29EF"/>
    <w:rsid w:val="004D3093"/>
    <w:rsid w:val="004D4C00"/>
    <w:rsid w:val="004D67F9"/>
    <w:rsid w:val="004E3480"/>
    <w:rsid w:val="004E705F"/>
    <w:rsid w:val="004F1090"/>
    <w:rsid w:val="004F1BCC"/>
    <w:rsid w:val="004F35D0"/>
    <w:rsid w:val="004F7919"/>
    <w:rsid w:val="00500793"/>
    <w:rsid w:val="00501F9B"/>
    <w:rsid w:val="00510B9A"/>
    <w:rsid w:val="00517DF7"/>
    <w:rsid w:val="00523D31"/>
    <w:rsid w:val="00525522"/>
    <w:rsid w:val="00536048"/>
    <w:rsid w:val="005375BF"/>
    <w:rsid w:val="00541913"/>
    <w:rsid w:val="00543557"/>
    <w:rsid w:val="00544D09"/>
    <w:rsid w:val="005454EF"/>
    <w:rsid w:val="005548C4"/>
    <w:rsid w:val="00554E04"/>
    <w:rsid w:val="005675FD"/>
    <w:rsid w:val="00570CCB"/>
    <w:rsid w:val="00572CA7"/>
    <w:rsid w:val="005732C9"/>
    <w:rsid w:val="005749BA"/>
    <w:rsid w:val="00587F2A"/>
    <w:rsid w:val="0059289E"/>
    <w:rsid w:val="0059441F"/>
    <w:rsid w:val="00594A97"/>
    <w:rsid w:val="00597EFD"/>
    <w:rsid w:val="005A0802"/>
    <w:rsid w:val="005A2AA9"/>
    <w:rsid w:val="005A2AD6"/>
    <w:rsid w:val="005B70C8"/>
    <w:rsid w:val="005C4A58"/>
    <w:rsid w:val="005C65EC"/>
    <w:rsid w:val="005C7690"/>
    <w:rsid w:val="005D42BC"/>
    <w:rsid w:val="005E2666"/>
    <w:rsid w:val="005E6751"/>
    <w:rsid w:val="0060360D"/>
    <w:rsid w:val="0061619F"/>
    <w:rsid w:val="006211C8"/>
    <w:rsid w:val="0062134D"/>
    <w:rsid w:val="0062643F"/>
    <w:rsid w:val="006271E5"/>
    <w:rsid w:val="00627FB3"/>
    <w:rsid w:val="0063089C"/>
    <w:rsid w:val="006330A2"/>
    <w:rsid w:val="00634941"/>
    <w:rsid w:val="00635345"/>
    <w:rsid w:val="006379F7"/>
    <w:rsid w:val="006414A3"/>
    <w:rsid w:val="00641A27"/>
    <w:rsid w:val="00653038"/>
    <w:rsid w:val="00654B60"/>
    <w:rsid w:val="006557DC"/>
    <w:rsid w:val="006568C2"/>
    <w:rsid w:val="00660626"/>
    <w:rsid w:val="00664040"/>
    <w:rsid w:val="00665ECA"/>
    <w:rsid w:val="0067001B"/>
    <w:rsid w:val="006700ED"/>
    <w:rsid w:val="006719F3"/>
    <w:rsid w:val="00675852"/>
    <w:rsid w:val="006802D7"/>
    <w:rsid w:val="00680894"/>
    <w:rsid w:val="00680F30"/>
    <w:rsid w:val="00684A0F"/>
    <w:rsid w:val="00686BA7"/>
    <w:rsid w:val="006A5F76"/>
    <w:rsid w:val="006A62F5"/>
    <w:rsid w:val="006A7EDB"/>
    <w:rsid w:val="006B02DF"/>
    <w:rsid w:val="006B3771"/>
    <w:rsid w:val="006B72BC"/>
    <w:rsid w:val="006B75DC"/>
    <w:rsid w:val="006C7BCF"/>
    <w:rsid w:val="006D4D81"/>
    <w:rsid w:val="006D5A39"/>
    <w:rsid w:val="006D5B1B"/>
    <w:rsid w:val="006D6328"/>
    <w:rsid w:val="006F3160"/>
    <w:rsid w:val="006F38DC"/>
    <w:rsid w:val="006F3943"/>
    <w:rsid w:val="006F7AA9"/>
    <w:rsid w:val="00701930"/>
    <w:rsid w:val="00702A76"/>
    <w:rsid w:val="00704053"/>
    <w:rsid w:val="00712A58"/>
    <w:rsid w:val="0071683A"/>
    <w:rsid w:val="00723686"/>
    <w:rsid w:val="00723E5D"/>
    <w:rsid w:val="00724E13"/>
    <w:rsid w:val="007272EA"/>
    <w:rsid w:val="00727E86"/>
    <w:rsid w:val="0073211D"/>
    <w:rsid w:val="00734C4E"/>
    <w:rsid w:val="00735CBB"/>
    <w:rsid w:val="0073737A"/>
    <w:rsid w:val="00742582"/>
    <w:rsid w:val="007438D0"/>
    <w:rsid w:val="00747C12"/>
    <w:rsid w:val="00750B66"/>
    <w:rsid w:val="00751CC0"/>
    <w:rsid w:val="00752D69"/>
    <w:rsid w:val="00752E8D"/>
    <w:rsid w:val="0075443F"/>
    <w:rsid w:val="0075487C"/>
    <w:rsid w:val="00760FC7"/>
    <w:rsid w:val="00761410"/>
    <w:rsid w:val="007729FD"/>
    <w:rsid w:val="007742BF"/>
    <w:rsid w:val="00781FDE"/>
    <w:rsid w:val="0078451B"/>
    <w:rsid w:val="00784DA1"/>
    <w:rsid w:val="0078552D"/>
    <w:rsid w:val="0079301E"/>
    <w:rsid w:val="0079361E"/>
    <w:rsid w:val="0079441D"/>
    <w:rsid w:val="007958F2"/>
    <w:rsid w:val="007A20FE"/>
    <w:rsid w:val="007A357E"/>
    <w:rsid w:val="007A552A"/>
    <w:rsid w:val="007A5B2A"/>
    <w:rsid w:val="007A631C"/>
    <w:rsid w:val="007A7A4A"/>
    <w:rsid w:val="007B302B"/>
    <w:rsid w:val="007B420E"/>
    <w:rsid w:val="007B5E55"/>
    <w:rsid w:val="007C11D0"/>
    <w:rsid w:val="007C2AC8"/>
    <w:rsid w:val="007C308A"/>
    <w:rsid w:val="007C41CF"/>
    <w:rsid w:val="007C52CF"/>
    <w:rsid w:val="007C60B3"/>
    <w:rsid w:val="007D792C"/>
    <w:rsid w:val="007E7C53"/>
    <w:rsid w:val="007F4DDD"/>
    <w:rsid w:val="007F640D"/>
    <w:rsid w:val="007F703D"/>
    <w:rsid w:val="007F757E"/>
    <w:rsid w:val="0080056D"/>
    <w:rsid w:val="00801519"/>
    <w:rsid w:val="0080541E"/>
    <w:rsid w:val="00805511"/>
    <w:rsid w:val="008148F2"/>
    <w:rsid w:val="008171EF"/>
    <w:rsid w:val="008228C8"/>
    <w:rsid w:val="00824023"/>
    <w:rsid w:val="008319B9"/>
    <w:rsid w:val="00833F6A"/>
    <w:rsid w:val="008350A4"/>
    <w:rsid w:val="0083608D"/>
    <w:rsid w:val="00837A6A"/>
    <w:rsid w:val="00840BD8"/>
    <w:rsid w:val="00847534"/>
    <w:rsid w:val="00847B45"/>
    <w:rsid w:val="00850FDC"/>
    <w:rsid w:val="00862100"/>
    <w:rsid w:val="00863A5B"/>
    <w:rsid w:val="00863CCD"/>
    <w:rsid w:val="00865CB3"/>
    <w:rsid w:val="00867481"/>
    <w:rsid w:val="00873187"/>
    <w:rsid w:val="008751DA"/>
    <w:rsid w:val="00875D0E"/>
    <w:rsid w:val="00883494"/>
    <w:rsid w:val="00885110"/>
    <w:rsid w:val="008862FA"/>
    <w:rsid w:val="008910E0"/>
    <w:rsid w:val="00892EAD"/>
    <w:rsid w:val="00894F33"/>
    <w:rsid w:val="00897318"/>
    <w:rsid w:val="008A0138"/>
    <w:rsid w:val="008A775F"/>
    <w:rsid w:val="008A7A45"/>
    <w:rsid w:val="008B0708"/>
    <w:rsid w:val="008B1A69"/>
    <w:rsid w:val="008B20F5"/>
    <w:rsid w:val="008B6479"/>
    <w:rsid w:val="008C0A28"/>
    <w:rsid w:val="008C43ED"/>
    <w:rsid w:val="008D3B46"/>
    <w:rsid w:val="008D4FBB"/>
    <w:rsid w:val="008D77F0"/>
    <w:rsid w:val="008E27AA"/>
    <w:rsid w:val="008E435C"/>
    <w:rsid w:val="008E5350"/>
    <w:rsid w:val="008F042D"/>
    <w:rsid w:val="008F0DAE"/>
    <w:rsid w:val="008F6392"/>
    <w:rsid w:val="00903653"/>
    <w:rsid w:val="00903E53"/>
    <w:rsid w:val="00904CF7"/>
    <w:rsid w:val="009057B8"/>
    <w:rsid w:val="00906330"/>
    <w:rsid w:val="009065BD"/>
    <w:rsid w:val="0090672B"/>
    <w:rsid w:val="00906BE8"/>
    <w:rsid w:val="009152C3"/>
    <w:rsid w:val="009167A9"/>
    <w:rsid w:val="00916E49"/>
    <w:rsid w:val="00923146"/>
    <w:rsid w:val="00925765"/>
    <w:rsid w:val="009257AF"/>
    <w:rsid w:val="0092768B"/>
    <w:rsid w:val="00927E13"/>
    <w:rsid w:val="0093504A"/>
    <w:rsid w:val="00950A12"/>
    <w:rsid w:val="00961826"/>
    <w:rsid w:val="00961B1F"/>
    <w:rsid w:val="00973118"/>
    <w:rsid w:val="009769EC"/>
    <w:rsid w:val="00980074"/>
    <w:rsid w:val="0098038A"/>
    <w:rsid w:val="009815E4"/>
    <w:rsid w:val="009822DD"/>
    <w:rsid w:val="009841BB"/>
    <w:rsid w:val="00986957"/>
    <w:rsid w:val="009940F2"/>
    <w:rsid w:val="00995542"/>
    <w:rsid w:val="00997D9F"/>
    <w:rsid w:val="009A7198"/>
    <w:rsid w:val="009A7E63"/>
    <w:rsid w:val="009B014C"/>
    <w:rsid w:val="009B2835"/>
    <w:rsid w:val="009B6141"/>
    <w:rsid w:val="009B61D7"/>
    <w:rsid w:val="009B63B2"/>
    <w:rsid w:val="009C45D7"/>
    <w:rsid w:val="009C492A"/>
    <w:rsid w:val="009D17F9"/>
    <w:rsid w:val="009E01BF"/>
    <w:rsid w:val="009F1959"/>
    <w:rsid w:val="009F47DD"/>
    <w:rsid w:val="009F6FE1"/>
    <w:rsid w:val="009F7204"/>
    <w:rsid w:val="009F7DDF"/>
    <w:rsid w:val="00A04D78"/>
    <w:rsid w:val="00A1631E"/>
    <w:rsid w:val="00A16C7D"/>
    <w:rsid w:val="00A176AD"/>
    <w:rsid w:val="00A25983"/>
    <w:rsid w:val="00A260D2"/>
    <w:rsid w:val="00A26B1C"/>
    <w:rsid w:val="00A342E8"/>
    <w:rsid w:val="00A36A5E"/>
    <w:rsid w:val="00A43C66"/>
    <w:rsid w:val="00A45D32"/>
    <w:rsid w:val="00A50069"/>
    <w:rsid w:val="00A5076A"/>
    <w:rsid w:val="00A71453"/>
    <w:rsid w:val="00A94D46"/>
    <w:rsid w:val="00AA17AE"/>
    <w:rsid w:val="00AA326E"/>
    <w:rsid w:val="00AA5240"/>
    <w:rsid w:val="00AA6DA7"/>
    <w:rsid w:val="00AB4181"/>
    <w:rsid w:val="00AB655E"/>
    <w:rsid w:val="00AB70A4"/>
    <w:rsid w:val="00AC36AC"/>
    <w:rsid w:val="00AC426B"/>
    <w:rsid w:val="00AC4A4D"/>
    <w:rsid w:val="00AD2F80"/>
    <w:rsid w:val="00AD47D0"/>
    <w:rsid w:val="00AD5A2E"/>
    <w:rsid w:val="00AD6786"/>
    <w:rsid w:val="00AD6A3D"/>
    <w:rsid w:val="00AE1996"/>
    <w:rsid w:val="00B021B3"/>
    <w:rsid w:val="00B0421E"/>
    <w:rsid w:val="00B11989"/>
    <w:rsid w:val="00B20577"/>
    <w:rsid w:val="00B25373"/>
    <w:rsid w:val="00B31D21"/>
    <w:rsid w:val="00B32AD7"/>
    <w:rsid w:val="00B358B2"/>
    <w:rsid w:val="00B35C8B"/>
    <w:rsid w:val="00B35CDC"/>
    <w:rsid w:val="00B365A9"/>
    <w:rsid w:val="00B4094B"/>
    <w:rsid w:val="00B44516"/>
    <w:rsid w:val="00B53EE6"/>
    <w:rsid w:val="00B54C0D"/>
    <w:rsid w:val="00B56A8E"/>
    <w:rsid w:val="00B60AD1"/>
    <w:rsid w:val="00B676F3"/>
    <w:rsid w:val="00B67846"/>
    <w:rsid w:val="00B67DB2"/>
    <w:rsid w:val="00B72D75"/>
    <w:rsid w:val="00B73524"/>
    <w:rsid w:val="00B73846"/>
    <w:rsid w:val="00B760A5"/>
    <w:rsid w:val="00B8092B"/>
    <w:rsid w:val="00B80E85"/>
    <w:rsid w:val="00B90327"/>
    <w:rsid w:val="00B90AEF"/>
    <w:rsid w:val="00B93256"/>
    <w:rsid w:val="00BA3155"/>
    <w:rsid w:val="00BA6BF0"/>
    <w:rsid w:val="00BB3328"/>
    <w:rsid w:val="00BB394C"/>
    <w:rsid w:val="00BB6010"/>
    <w:rsid w:val="00BB7DB8"/>
    <w:rsid w:val="00BD0738"/>
    <w:rsid w:val="00BD14EB"/>
    <w:rsid w:val="00BD59DD"/>
    <w:rsid w:val="00BE2239"/>
    <w:rsid w:val="00BE2D3E"/>
    <w:rsid w:val="00BE6BAD"/>
    <w:rsid w:val="00BE6F6B"/>
    <w:rsid w:val="00BF4418"/>
    <w:rsid w:val="00C00CA9"/>
    <w:rsid w:val="00C0542F"/>
    <w:rsid w:val="00C07C3D"/>
    <w:rsid w:val="00C134B6"/>
    <w:rsid w:val="00C2114A"/>
    <w:rsid w:val="00C21990"/>
    <w:rsid w:val="00C27670"/>
    <w:rsid w:val="00C33D71"/>
    <w:rsid w:val="00C34301"/>
    <w:rsid w:val="00C37B37"/>
    <w:rsid w:val="00C42D7D"/>
    <w:rsid w:val="00C45184"/>
    <w:rsid w:val="00C46194"/>
    <w:rsid w:val="00C46389"/>
    <w:rsid w:val="00C514F7"/>
    <w:rsid w:val="00C51C0C"/>
    <w:rsid w:val="00C52D32"/>
    <w:rsid w:val="00C661D2"/>
    <w:rsid w:val="00C66D52"/>
    <w:rsid w:val="00C67109"/>
    <w:rsid w:val="00C70772"/>
    <w:rsid w:val="00C73B6A"/>
    <w:rsid w:val="00C75F9F"/>
    <w:rsid w:val="00C80383"/>
    <w:rsid w:val="00C82F5F"/>
    <w:rsid w:val="00C906D7"/>
    <w:rsid w:val="00C91894"/>
    <w:rsid w:val="00CB0343"/>
    <w:rsid w:val="00CB6782"/>
    <w:rsid w:val="00CB7593"/>
    <w:rsid w:val="00CB7FC0"/>
    <w:rsid w:val="00CC0C7E"/>
    <w:rsid w:val="00CC2151"/>
    <w:rsid w:val="00CC779C"/>
    <w:rsid w:val="00CD1758"/>
    <w:rsid w:val="00CD2C89"/>
    <w:rsid w:val="00CD746D"/>
    <w:rsid w:val="00CD7C0B"/>
    <w:rsid w:val="00CE028F"/>
    <w:rsid w:val="00CE585C"/>
    <w:rsid w:val="00D00176"/>
    <w:rsid w:val="00D02324"/>
    <w:rsid w:val="00D0440B"/>
    <w:rsid w:val="00D04636"/>
    <w:rsid w:val="00D04913"/>
    <w:rsid w:val="00D15334"/>
    <w:rsid w:val="00D23B00"/>
    <w:rsid w:val="00D24ECA"/>
    <w:rsid w:val="00D277AE"/>
    <w:rsid w:val="00D32069"/>
    <w:rsid w:val="00D33689"/>
    <w:rsid w:val="00D40B46"/>
    <w:rsid w:val="00D428EE"/>
    <w:rsid w:val="00D444A3"/>
    <w:rsid w:val="00D5480E"/>
    <w:rsid w:val="00D549A3"/>
    <w:rsid w:val="00D5556E"/>
    <w:rsid w:val="00D62E01"/>
    <w:rsid w:val="00D63138"/>
    <w:rsid w:val="00D66A22"/>
    <w:rsid w:val="00D66C09"/>
    <w:rsid w:val="00D84E66"/>
    <w:rsid w:val="00D8570C"/>
    <w:rsid w:val="00D866DC"/>
    <w:rsid w:val="00D87E3F"/>
    <w:rsid w:val="00D96EA2"/>
    <w:rsid w:val="00DA1A3D"/>
    <w:rsid w:val="00DA42D1"/>
    <w:rsid w:val="00DA4ED2"/>
    <w:rsid w:val="00DA5379"/>
    <w:rsid w:val="00DA64A8"/>
    <w:rsid w:val="00DB32A0"/>
    <w:rsid w:val="00DC1787"/>
    <w:rsid w:val="00DC3B04"/>
    <w:rsid w:val="00DD0621"/>
    <w:rsid w:val="00DD0BD3"/>
    <w:rsid w:val="00DD1C5B"/>
    <w:rsid w:val="00DD4203"/>
    <w:rsid w:val="00DD4743"/>
    <w:rsid w:val="00DD57F7"/>
    <w:rsid w:val="00DE2AAE"/>
    <w:rsid w:val="00DE6878"/>
    <w:rsid w:val="00DE6949"/>
    <w:rsid w:val="00DF7186"/>
    <w:rsid w:val="00DF7ADB"/>
    <w:rsid w:val="00E001CA"/>
    <w:rsid w:val="00E07B7D"/>
    <w:rsid w:val="00E1073C"/>
    <w:rsid w:val="00E1532E"/>
    <w:rsid w:val="00E1654A"/>
    <w:rsid w:val="00E20996"/>
    <w:rsid w:val="00E21E00"/>
    <w:rsid w:val="00E24F9F"/>
    <w:rsid w:val="00E33788"/>
    <w:rsid w:val="00E400C8"/>
    <w:rsid w:val="00E4085A"/>
    <w:rsid w:val="00E44863"/>
    <w:rsid w:val="00E51C11"/>
    <w:rsid w:val="00E55C2E"/>
    <w:rsid w:val="00E56EEB"/>
    <w:rsid w:val="00E57F1C"/>
    <w:rsid w:val="00E6353A"/>
    <w:rsid w:val="00E669C5"/>
    <w:rsid w:val="00E71A20"/>
    <w:rsid w:val="00E76931"/>
    <w:rsid w:val="00E771D6"/>
    <w:rsid w:val="00E77F04"/>
    <w:rsid w:val="00E81423"/>
    <w:rsid w:val="00E86D62"/>
    <w:rsid w:val="00E93CF3"/>
    <w:rsid w:val="00EA1F1B"/>
    <w:rsid w:val="00EA28A0"/>
    <w:rsid w:val="00EA4C1E"/>
    <w:rsid w:val="00EA785B"/>
    <w:rsid w:val="00EB1589"/>
    <w:rsid w:val="00EB7743"/>
    <w:rsid w:val="00EB77B6"/>
    <w:rsid w:val="00EC4D11"/>
    <w:rsid w:val="00EC6D80"/>
    <w:rsid w:val="00ED0E0A"/>
    <w:rsid w:val="00ED1754"/>
    <w:rsid w:val="00ED48CF"/>
    <w:rsid w:val="00ED6784"/>
    <w:rsid w:val="00ED6DA7"/>
    <w:rsid w:val="00EE58DF"/>
    <w:rsid w:val="00EE6886"/>
    <w:rsid w:val="00EF2AB1"/>
    <w:rsid w:val="00F005EC"/>
    <w:rsid w:val="00F04C1E"/>
    <w:rsid w:val="00F0567F"/>
    <w:rsid w:val="00F06D42"/>
    <w:rsid w:val="00F07440"/>
    <w:rsid w:val="00F13F4F"/>
    <w:rsid w:val="00F16D94"/>
    <w:rsid w:val="00F20369"/>
    <w:rsid w:val="00F25DCD"/>
    <w:rsid w:val="00F313C1"/>
    <w:rsid w:val="00F31AB1"/>
    <w:rsid w:val="00F34493"/>
    <w:rsid w:val="00F363D5"/>
    <w:rsid w:val="00F40A8C"/>
    <w:rsid w:val="00F44FF7"/>
    <w:rsid w:val="00F52021"/>
    <w:rsid w:val="00F5610A"/>
    <w:rsid w:val="00F603F3"/>
    <w:rsid w:val="00F64C68"/>
    <w:rsid w:val="00F71667"/>
    <w:rsid w:val="00F724BD"/>
    <w:rsid w:val="00F73117"/>
    <w:rsid w:val="00F73919"/>
    <w:rsid w:val="00F747A6"/>
    <w:rsid w:val="00F76EC3"/>
    <w:rsid w:val="00F8164C"/>
    <w:rsid w:val="00F818DC"/>
    <w:rsid w:val="00F82C8A"/>
    <w:rsid w:val="00F835D3"/>
    <w:rsid w:val="00F84284"/>
    <w:rsid w:val="00F92822"/>
    <w:rsid w:val="00F94955"/>
    <w:rsid w:val="00F94A1F"/>
    <w:rsid w:val="00F95F3E"/>
    <w:rsid w:val="00FA386A"/>
    <w:rsid w:val="00FA3C53"/>
    <w:rsid w:val="00FA5A68"/>
    <w:rsid w:val="00FA63E7"/>
    <w:rsid w:val="00FB4753"/>
    <w:rsid w:val="00FB5674"/>
    <w:rsid w:val="00FC52B4"/>
    <w:rsid w:val="00FD2DC8"/>
    <w:rsid w:val="00FD3406"/>
    <w:rsid w:val="00FD60D3"/>
    <w:rsid w:val="00FE16A9"/>
    <w:rsid w:val="00FE4E94"/>
    <w:rsid w:val="00FF0159"/>
    <w:rsid w:val="00FF18C3"/>
    <w:rsid w:val="00FF2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F0FF"/>
  <w15:chartTrackingRefBased/>
  <w15:docId w15:val="{E07794CE-9623-4BA6-A0EE-29315B9C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1B"/>
    <w:pPr>
      <w:spacing w:after="120"/>
    </w:pPr>
    <w:rPr>
      <w:rFonts w:ascii="VIC" w:hAnsi="VIC" w:cs="Arial"/>
      <w:sz w:val="20"/>
      <w:szCs w:val="20"/>
      <w:lang w:eastAsia="en-AU"/>
    </w:rPr>
  </w:style>
  <w:style w:type="paragraph" w:styleId="Heading1">
    <w:name w:val="heading 1"/>
    <w:basedOn w:val="Normal"/>
    <w:next w:val="Normal"/>
    <w:link w:val="Heading1Char"/>
    <w:uiPriority w:val="1"/>
    <w:qFormat/>
    <w:rsid w:val="00AE1996"/>
    <w:pPr>
      <w:keepNext/>
      <w:keepLines/>
      <w:spacing w:before="240" w:after="240"/>
      <w:outlineLvl w:val="0"/>
    </w:pPr>
    <w:rPr>
      <w:rFonts w:eastAsiaTheme="majorEastAsia" w:cstheme="majorBidi"/>
      <w:color w:val="005FB4"/>
      <w:sz w:val="36"/>
      <w:szCs w:val="32"/>
    </w:rPr>
  </w:style>
  <w:style w:type="paragraph" w:styleId="Heading2">
    <w:name w:val="heading 2"/>
    <w:basedOn w:val="Normal"/>
    <w:next w:val="Normal"/>
    <w:link w:val="Heading2Char"/>
    <w:uiPriority w:val="1"/>
    <w:unhideWhenUsed/>
    <w:qFormat/>
    <w:rsid w:val="00AE1996"/>
    <w:pPr>
      <w:keepNext/>
      <w:keepLines/>
      <w:spacing w:before="120"/>
      <w:outlineLvl w:val="1"/>
    </w:pPr>
    <w:rPr>
      <w:rFonts w:eastAsiaTheme="majorEastAsia" w:cs="Times New Roman (Headings CS)"/>
      <w:color w:val="005FB4"/>
      <w:sz w:val="26"/>
      <w:szCs w:val="26"/>
    </w:rPr>
  </w:style>
  <w:style w:type="paragraph" w:styleId="Heading3">
    <w:name w:val="heading 3"/>
    <w:basedOn w:val="Normal"/>
    <w:next w:val="Normal"/>
    <w:link w:val="Heading3Char"/>
    <w:uiPriority w:val="1"/>
    <w:unhideWhenUsed/>
    <w:qFormat/>
    <w:rsid w:val="003E5D0E"/>
    <w:pPr>
      <w:keepNext/>
      <w:keepLines/>
      <w:spacing w:before="40"/>
      <w:outlineLvl w:val="2"/>
    </w:pPr>
    <w:rPr>
      <w:rFonts w:eastAsiaTheme="majorEastAsia" w:cstheme="majorBidi"/>
      <w:color w:val="005FB4"/>
      <w:sz w:val="24"/>
      <w:szCs w:val="24"/>
    </w:rPr>
  </w:style>
  <w:style w:type="paragraph" w:styleId="Heading4">
    <w:name w:val="heading 4"/>
    <w:basedOn w:val="Normal"/>
    <w:next w:val="Normal"/>
    <w:link w:val="Heading4Char"/>
    <w:uiPriority w:val="9"/>
    <w:semiHidden/>
    <w:unhideWhenUsed/>
    <w:qFormat/>
    <w:rsid w:val="005732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aliases w:val="Waste Guidance Sheet"/>
    <w:basedOn w:val="Normal"/>
    <w:next w:val="Normal"/>
    <w:link w:val="Heading7Char"/>
    <w:uiPriority w:val="99"/>
    <w:qFormat/>
    <w:rsid w:val="009940F2"/>
    <w:pPr>
      <w:keepNext/>
      <w:keepLines/>
      <w:pageBreakBefore/>
      <w:spacing w:after="360"/>
      <w:outlineLvl w:val="6"/>
    </w:pPr>
    <w:rPr>
      <w:rFonts w:ascii="Arial" w:eastAsia="MS Gothic" w:hAnsi="Arial" w:cs="Times New Roman"/>
      <w:iCs/>
      <w:color w:val="4472C4" w:themeColor="accent1"/>
      <w:sz w:val="36"/>
      <w:szCs w:val="24"/>
      <w:lang w:eastAsia="en-US"/>
    </w:rPr>
  </w:style>
  <w:style w:type="paragraph" w:styleId="Heading8">
    <w:name w:val="heading 8"/>
    <w:aliases w:val="Erosion Guidance Sheet"/>
    <w:basedOn w:val="Normal"/>
    <w:next w:val="Normal"/>
    <w:link w:val="Heading8Char"/>
    <w:uiPriority w:val="99"/>
    <w:qFormat/>
    <w:rsid w:val="009940F2"/>
    <w:pPr>
      <w:keepNext/>
      <w:keepLines/>
      <w:pageBreakBefore/>
      <w:spacing w:after="360"/>
      <w:outlineLvl w:val="7"/>
    </w:pPr>
    <w:rPr>
      <w:rFonts w:asciiTheme="majorHAnsi" w:eastAsiaTheme="majorEastAsia" w:hAnsiTheme="majorHAnsi" w:cstheme="majorBidi"/>
      <w:color w:val="4472C4" w:themeColor="accent1"/>
      <w:sz w:val="36"/>
      <w:szCs w:val="21"/>
      <w:lang w:eastAsia="en-US"/>
    </w:rPr>
  </w:style>
  <w:style w:type="paragraph" w:styleId="Heading9">
    <w:name w:val="heading 9"/>
    <w:basedOn w:val="Normal"/>
    <w:next w:val="Normal"/>
    <w:link w:val="Heading9Char"/>
    <w:uiPriority w:val="9"/>
    <w:semiHidden/>
    <w:unhideWhenUsed/>
    <w:qFormat/>
    <w:rsid w:val="007A20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next w:val="Normal"/>
    <w:autoRedefine/>
    <w:uiPriority w:val="5"/>
    <w:qFormat/>
    <w:rsid w:val="00EF2AB1"/>
    <w:pPr>
      <w:spacing w:before="120"/>
    </w:pPr>
    <w:rPr>
      <w:rFonts w:ascii="VIC" w:hAnsi="VIC" w:cs="Arial"/>
      <w:b/>
      <w:bCs/>
      <w:color w:val="005FB4"/>
      <w:sz w:val="20"/>
      <w:szCs w:val="16"/>
      <w:lang w:bidi="he-IL"/>
    </w:rPr>
  </w:style>
  <w:style w:type="paragraph" w:styleId="BodyText">
    <w:name w:val="Body Text"/>
    <w:basedOn w:val="Normal"/>
    <w:link w:val="BodyTextChar"/>
    <w:uiPriority w:val="1"/>
    <w:qFormat/>
    <w:rsid w:val="00E76931"/>
    <w:pPr>
      <w:widowControl w:val="0"/>
      <w:autoSpaceDE w:val="0"/>
      <w:autoSpaceDN w:val="0"/>
      <w:spacing w:after="0"/>
    </w:pPr>
    <w:rPr>
      <w:rFonts w:eastAsia="VIC" w:cs="VIC"/>
      <w:szCs w:val="22"/>
      <w:lang w:val="en-US" w:eastAsia="en-US"/>
    </w:rPr>
  </w:style>
  <w:style w:type="character" w:customStyle="1" w:styleId="BodyTextChar">
    <w:name w:val="Body Text Char"/>
    <w:basedOn w:val="DefaultParagraphFont"/>
    <w:link w:val="BodyText"/>
    <w:uiPriority w:val="1"/>
    <w:rsid w:val="00E76931"/>
    <w:rPr>
      <w:rFonts w:ascii="VIC" w:eastAsia="VIC" w:hAnsi="VIC" w:cs="VIC"/>
      <w:sz w:val="20"/>
      <w:szCs w:val="22"/>
      <w:lang w:val="en-US"/>
    </w:rPr>
  </w:style>
  <w:style w:type="paragraph" w:styleId="NoSpacing">
    <w:name w:val="No Spacing"/>
    <w:link w:val="NoSpacingChar"/>
    <w:uiPriority w:val="1"/>
    <w:qFormat/>
    <w:rsid w:val="00E76931"/>
    <w:rPr>
      <w:rFonts w:ascii="VIC" w:eastAsiaTheme="minorEastAsia" w:hAnsi="VIC"/>
      <w:sz w:val="20"/>
      <w:szCs w:val="22"/>
      <w:lang w:val="en-US" w:eastAsia="zh-CN"/>
    </w:rPr>
  </w:style>
  <w:style w:type="character" w:customStyle="1" w:styleId="NoSpacingChar">
    <w:name w:val="No Spacing Char"/>
    <w:basedOn w:val="DefaultParagraphFont"/>
    <w:link w:val="NoSpacing"/>
    <w:uiPriority w:val="1"/>
    <w:rsid w:val="00E76931"/>
    <w:rPr>
      <w:rFonts w:ascii="VIC" w:eastAsiaTheme="minorEastAsia" w:hAnsi="VIC"/>
      <w:sz w:val="20"/>
      <w:szCs w:val="22"/>
      <w:lang w:val="en-US" w:eastAsia="zh-CN"/>
    </w:rPr>
  </w:style>
  <w:style w:type="paragraph" w:styleId="Header">
    <w:name w:val="header"/>
    <w:aliases w:val="Disclaimer"/>
    <w:basedOn w:val="Normal"/>
    <w:link w:val="HeaderChar"/>
    <w:uiPriority w:val="99"/>
    <w:unhideWhenUsed/>
    <w:rsid w:val="00FD3406"/>
    <w:pPr>
      <w:tabs>
        <w:tab w:val="center" w:pos="4513"/>
        <w:tab w:val="right" w:pos="9026"/>
      </w:tabs>
      <w:spacing w:after="0"/>
    </w:pPr>
    <w:rPr>
      <w:color w:val="595959" w:themeColor="text1" w:themeTint="A6"/>
      <w:sz w:val="16"/>
    </w:rPr>
  </w:style>
  <w:style w:type="character" w:customStyle="1" w:styleId="HeaderChar">
    <w:name w:val="Header Char"/>
    <w:aliases w:val="Disclaimer Char"/>
    <w:basedOn w:val="DefaultParagraphFont"/>
    <w:link w:val="Header"/>
    <w:uiPriority w:val="99"/>
    <w:rsid w:val="00FD3406"/>
    <w:rPr>
      <w:rFonts w:ascii="VIC" w:hAnsi="VIC" w:cs="Arial"/>
      <w:color w:val="595959" w:themeColor="text1" w:themeTint="A6"/>
      <w:sz w:val="16"/>
      <w:szCs w:val="20"/>
      <w:lang w:eastAsia="en-AU"/>
    </w:rPr>
  </w:style>
  <w:style w:type="paragraph" w:styleId="Footer">
    <w:name w:val="footer"/>
    <w:basedOn w:val="Normal"/>
    <w:link w:val="FooterChar"/>
    <w:uiPriority w:val="99"/>
    <w:unhideWhenUsed/>
    <w:rsid w:val="00FD3406"/>
    <w:pPr>
      <w:tabs>
        <w:tab w:val="center" w:pos="4513"/>
        <w:tab w:val="right" w:pos="9026"/>
      </w:tabs>
      <w:spacing w:before="240" w:after="240"/>
    </w:pPr>
    <w:rPr>
      <w:color w:val="0A3C73"/>
      <w:sz w:val="16"/>
    </w:rPr>
  </w:style>
  <w:style w:type="character" w:customStyle="1" w:styleId="FooterChar">
    <w:name w:val="Footer Char"/>
    <w:basedOn w:val="DefaultParagraphFont"/>
    <w:link w:val="Footer"/>
    <w:uiPriority w:val="99"/>
    <w:rsid w:val="00FD3406"/>
    <w:rPr>
      <w:rFonts w:ascii="VIC" w:hAnsi="VIC" w:cs="Arial"/>
      <w:color w:val="0A3C73"/>
      <w:sz w:val="16"/>
      <w:szCs w:val="20"/>
      <w:lang w:eastAsia="en-AU"/>
    </w:rPr>
  </w:style>
  <w:style w:type="character" w:customStyle="1" w:styleId="FootertextChar">
    <w:name w:val="Footer text Char"/>
    <w:basedOn w:val="FooterChar"/>
    <w:link w:val="Footertext"/>
    <w:locked/>
    <w:rsid w:val="00284CBB"/>
    <w:rPr>
      <w:rFonts w:ascii="VIC" w:eastAsia="VIC" w:hAnsi="VIC" w:cs="VIC"/>
      <w:color w:val="0A3C73"/>
      <w:sz w:val="16"/>
      <w:szCs w:val="20"/>
      <w:lang w:eastAsia="en-AU" w:bidi="he-IL"/>
    </w:rPr>
  </w:style>
  <w:style w:type="paragraph" w:customStyle="1" w:styleId="Footertext">
    <w:name w:val="Footer text"/>
    <w:basedOn w:val="Footer"/>
    <w:link w:val="FootertextChar"/>
    <w:qFormat/>
    <w:rsid w:val="00284CBB"/>
    <w:pPr>
      <w:tabs>
        <w:tab w:val="clear" w:pos="4513"/>
        <w:tab w:val="clear" w:pos="9026"/>
        <w:tab w:val="center" w:pos="4680"/>
        <w:tab w:val="right" w:pos="9360"/>
      </w:tabs>
    </w:pPr>
    <w:rPr>
      <w:rFonts w:eastAsia="VIC" w:cs="VIC"/>
      <w:lang w:eastAsia="en-US" w:bidi="he-IL"/>
    </w:rPr>
  </w:style>
  <w:style w:type="paragraph" w:styleId="Subtitle">
    <w:name w:val="Subtitle"/>
    <w:basedOn w:val="Normal"/>
    <w:next w:val="Normal"/>
    <w:link w:val="SubtitleChar"/>
    <w:uiPriority w:val="11"/>
    <w:qFormat/>
    <w:rsid w:val="004E3480"/>
    <w:pPr>
      <w:numPr>
        <w:ilvl w:val="1"/>
      </w:numPr>
      <w:spacing w:after="160"/>
      <w:jc w:val="right"/>
    </w:pPr>
    <w:rPr>
      <w:rFonts w:eastAsiaTheme="minorEastAsia" w:cs="Times New Roman (Body CS)"/>
      <w:color w:val="FFFFFF" w:themeColor="background1"/>
      <w:sz w:val="40"/>
      <w:szCs w:val="22"/>
    </w:rPr>
  </w:style>
  <w:style w:type="character" w:customStyle="1" w:styleId="SubtitleChar">
    <w:name w:val="Subtitle Char"/>
    <w:basedOn w:val="DefaultParagraphFont"/>
    <w:link w:val="Subtitle"/>
    <w:uiPriority w:val="11"/>
    <w:rsid w:val="004E3480"/>
    <w:rPr>
      <w:rFonts w:ascii="VIC" w:eastAsiaTheme="minorEastAsia" w:hAnsi="VIC" w:cs="Times New Roman (Body CS)"/>
      <w:color w:val="FFFFFF" w:themeColor="background1"/>
      <w:sz w:val="40"/>
      <w:szCs w:val="22"/>
      <w:lang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basedOn w:val="DefaultParagraphFont"/>
    <w:uiPriority w:val="22"/>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00E76931"/>
    <w:pPr>
      <w:spacing w:before="200" w:after="160"/>
      <w:ind w:left="864" w:right="864"/>
      <w:jc w:val="center"/>
    </w:pPr>
    <w:rPr>
      <w:iCs/>
      <w:color w:val="005FB4"/>
    </w:rPr>
  </w:style>
  <w:style w:type="character" w:customStyle="1" w:styleId="QuoteChar">
    <w:name w:val="Quote Char"/>
    <w:basedOn w:val="DefaultParagraphFont"/>
    <w:link w:val="Quote"/>
    <w:uiPriority w:val="29"/>
    <w:rsid w:val="00E76931"/>
    <w:rPr>
      <w:rFonts w:ascii="VIC" w:hAnsi="VIC" w:cs="Arial"/>
      <w:iCs/>
      <w:color w:val="005FB4"/>
      <w:sz w:val="20"/>
      <w:szCs w:val="20"/>
      <w:lang w:eastAsia="en-AU"/>
    </w:rPr>
  </w:style>
  <w:style w:type="paragraph" w:styleId="IntenseQuote">
    <w:name w:val="Intense Quote"/>
    <w:basedOn w:val="Normal"/>
    <w:next w:val="Normal"/>
    <w:link w:val="IntenseQuoteChar"/>
    <w:uiPriority w:val="30"/>
    <w:qFormat/>
    <w:rsid w:val="00E76931"/>
    <w:pPr>
      <w:pBdr>
        <w:top w:val="single" w:sz="4" w:space="10" w:color="4472C4" w:themeColor="accent1"/>
        <w:bottom w:val="single" w:sz="4" w:space="10" w:color="4472C4" w:themeColor="accent1"/>
      </w:pBdr>
      <w:spacing w:before="360" w:after="360"/>
      <w:ind w:left="864" w:right="864"/>
      <w:jc w:val="center"/>
    </w:pPr>
    <w:rPr>
      <w:rFonts w:ascii="VIC Medium" w:hAnsi="VIC Medium"/>
      <w:iCs/>
      <w:color w:val="005FB4"/>
    </w:rPr>
  </w:style>
  <w:style w:type="character" w:customStyle="1" w:styleId="IntenseQuoteChar">
    <w:name w:val="Intense Quote Char"/>
    <w:basedOn w:val="DefaultParagraphFont"/>
    <w:link w:val="IntenseQuote"/>
    <w:uiPriority w:val="30"/>
    <w:rsid w:val="00E76931"/>
    <w:rPr>
      <w:rFonts w:ascii="VIC Medium" w:hAnsi="VIC Medium" w:cs="Arial"/>
      <w:iCs/>
      <w:color w:val="005FB4"/>
      <w:sz w:val="20"/>
      <w:szCs w:val="20"/>
      <w:lang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uiPriority w:val="1"/>
    <w:qFormat/>
    <w:rsid w:val="00E76931"/>
    <w:pPr>
      <w:ind w:left="720"/>
      <w:contextualSpacing/>
    </w:pPr>
  </w:style>
  <w:style w:type="character" w:styleId="Hyperlink">
    <w:name w:val="Hyperlink"/>
    <w:basedOn w:val="DefaultParagraphFont"/>
    <w:uiPriority w:val="99"/>
    <w:unhideWhenUsed/>
    <w:rsid w:val="00F73919"/>
    <w:rPr>
      <w:rFonts w:ascii="VIC Medium" w:hAnsi="VIC Medium"/>
      <w:b w:val="0"/>
      <w:i w:val="0"/>
      <w:color w:val="0A3C73"/>
      <w:sz w:val="20"/>
      <w:u w:val="none"/>
    </w:rPr>
  </w:style>
  <w:style w:type="paragraph" w:styleId="TOC1">
    <w:name w:val="toc 1"/>
    <w:basedOn w:val="Normal"/>
    <w:uiPriority w:val="39"/>
    <w:qFormat/>
    <w:rsid w:val="00525522"/>
    <w:pPr>
      <w:widowControl w:val="0"/>
      <w:autoSpaceDE w:val="0"/>
      <w:autoSpaceDN w:val="0"/>
      <w:spacing w:before="120" w:after="0"/>
      <w:ind w:left="588" w:hanging="443"/>
    </w:pPr>
    <w:rPr>
      <w:rFonts w:ascii="VIC-Medium" w:eastAsia="VIC-Medium" w:hAnsi="VIC-Medium" w:cs="VIC-Medium"/>
      <w:color w:val="0A3C73"/>
      <w:szCs w:val="24"/>
      <w:lang w:val="en-US" w:eastAsia="en-US"/>
    </w:rPr>
  </w:style>
  <w:style w:type="paragraph" w:styleId="TOC2">
    <w:name w:val="toc 2"/>
    <w:basedOn w:val="Normal"/>
    <w:uiPriority w:val="39"/>
    <w:qFormat/>
    <w:rsid w:val="00525522"/>
    <w:pPr>
      <w:widowControl w:val="0"/>
      <w:autoSpaceDE w:val="0"/>
      <w:autoSpaceDN w:val="0"/>
      <w:spacing w:after="0"/>
      <w:ind w:left="1025" w:hanging="659"/>
    </w:pPr>
    <w:rPr>
      <w:rFonts w:ascii="VIC-Medium" w:eastAsia="VIC-Medium" w:hAnsi="VIC-Medium" w:cs="VIC-Medium"/>
      <w:color w:val="0A3C73"/>
      <w:szCs w:val="22"/>
      <w:lang w:val="en-US" w:eastAsia="en-US"/>
    </w:rPr>
  </w:style>
  <w:style w:type="paragraph" w:styleId="TOC3">
    <w:name w:val="toc 3"/>
    <w:basedOn w:val="Normal"/>
    <w:uiPriority w:val="39"/>
    <w:qFormat/>
    <w:rsid w:val="00525522"/>
    <w:pPr>
      <w:widowControl w:val="0"/>
      <w:autoSpaceDE w:val="0"/>
      <w:autoSpaceDN w:val="0"/>
      <w:spacing w:before="1" w:after="0"/>
      <w:ind w:left="1467" w:hanging="880"/>
    </w:pPr>
    <w:rPr>
      <w:rFonts w:ascii="VIC-Medium" w:eastAsia="VIC-Medium" w:hAnsi="VIC-Medium" w:cs="VIC-Medium"/>
      <w:color w:val="0A3C73"/>
      <w:szCs w:val="22"/>
      <w:lang w:val="en-US" w:eastAsia="en-US"/>
    </w:rPr>
  </w:style>
  <w:style w:type="character" w:customStyle="1" w:styleId="Heading1Char">
    <w:name w:val="Heading 1 Char"/>
    <w:basedOn w:val="DefaultParagraphFont"/>
    <w:link w:val="Heading1"/>
    <w:uiPriority w:val="9"/>
    <w:rsid w:val="00AE1996"/>
    <w:rPr>
      <w:rFonts w:ascii="VIC" w:eastAsiaTheme="majorEastAsia" w:hAnsi="VIC" w:cstheme="majorBidi"/>
      <w:color w:val="005FB4"/>
      <w:sz w:val="36"/>
      <w:szCs w:val="32"/>
      <w:lang w:eastAsia="en-AU"/>
    </w:rPr>
  </w:style>
  <w:style w:type="character" w:customStyle="1" w:styleId="Heading2Char">
    <w:name w:val="Heading 2 Char"/>
    <w:basedOn w:val="DefaultParagraphFont"/>
    <w:link w:val="Heading2"/>
    <w:uiPriority w:val="9"/>
    <w:rsid w:val="00AE1996"/>
    <w:rPr>
      <w:rFonts w:ascii="VIC" w:eastAsiaTheme="majorEastAsia" w:hAnsi="VIC" w:cs="Times New Roman (Headings CS)"/>
      <w:color w:val="005FB4"/>
      <w:sz w:val="26"/>
      <w:szCs w:val="26"/>
      <w:lang w:eastAsia="en-AU"/>
    </w:rPr>
  </w:style>
  <w:style w:type="character" w:styleId="UnresolvedMention">
    <w:name w:val="Unresolved Mention"/>
    <w:basedOn w:val="DefaultParagraphFont"/>
    <w:uiPriority w:val="99"/>
    <w:semiHidden/>
    <w:unhideWhenUsed/>
    <w:rsid w:val="007C52CF"/>
    <w:rPr>
      <w:color w:val="605E5C"/>
      <w:shd w:val="clear" w:color="auto" w:fill="E1DFDD"/>
    </w:rPr>
  </w:style>
  <w:style w:type="paragraph" w:styleId="Title">
    <w:name w:val="Title"/>
    <w:basedOn w:val="Normal"/>
    <w:link w:val="TitleChar"/>
    <w:uiPriority w:val="10"/>
    <w:qFormat/>
    <w:rsid w:val="004E3480"/>
    <w:pPr>
      <w:widowControl w:val="0"/>
      <w:autoSpaceDE w:val="0"/>
      <w:autoSpaceDN w:val="0"/>
      <w:spacing w:before="120" w:after="600" w:line="180" w:lineRule="auto"/>
      <w:jc w:val="right"/>
    </w:pPr>
    <w:rPr>
      <w:rFonts w:eastAsia="Arial"/>
      <w:bCs/>
      <w:color w:val="0A3C73"/>
      <w:sz w:val="80"/>
      <w:szCs w:val="47"/>
      <w:lang w:val="en-US" w:eastAsia="en-US"/>
    </w:rPr>
  </w:style>
  <w:style w:type="character" w:customStyle="1" w:styleId="TitleChar">
    <w:name w:val="Title Char"/>
    <w:basedOn w:val="DefaultParagraphFont"/>
    <w:link w:val="Title"/>
    <w:uiPriority w:val="10"/>
    <w:rsid w:val="004E3480"/>
    <w:rPr>
      <w:rFonts w:ascii="VIC" w:eastAsia="Arial" w:hAnsi="VIC" w:cs="Arial"/>
      <w:bCs/>
      <w:color w:val="0A3C73"/>
      <w:sz w:val="80"/>
      <w:szCs w:val="47"/>
      <w:lang w:val="en-US"/>
    </w:rPr>
  </w:style>
  <w:style w:type="paragraph" w:customStyle="1" w:styleId="TableParagraph">
    <w:name w:val="Table Paragraph"/>
    <w:basedOn w:val="Normal"/>
    <w:uiPriority w:val="1"/>
    <w:qFormat/>
    <w:rsid w:val="00927E13"/>
    <w:pPr>
      <w:widowControl w:val="0"/>
      <w:autoSpaceDE w:val="0"/>
      <w:autoSpaceDN w:val="0"/>
      <w:spacing w:after="0"/>
      <w:ind w:left="431"/>
    </w:pPr>
    <w:rPr>
      <w:rFonts w:eastAsia="VIC" w:cs="VIC"/>
      <w:szCs w:val="22"/>
      <w:lang w:val="en-US" w:eastAsia="en-US"/>
    </w:rPr>
  </w:style>
  <w:style w:type="character" w:customStyle="1" w:styleId="FooterDocDescriptionChar">
    <w:name w:val="Footer Doc Description Char"/>
    <w:basedOn w:val="DefaultParagraphFont"/>
    <w:link w:val="FooterDocDescription"/>
    <w:locked/>
    <w:rsid w:val="00CB7FC0"/>
    <w:rPr>
      <w:rFonts w:ascii="VIC" w:hAnsi="VIC"/>
      <w:color w:val="0A3C73"/>
      <w:sz w:val="16"/>
      <w:szCs w:val="20"/>
      <w:lang w:bidi="he-IL"/>
    </w:rPr>
  </w:style>
  <w:style w:type="paragraph" w:customStyle="1" w:styleId="FooterDocDescription">
    <w:name w:val="Footer Doc Description"/>
    <w:basedOn w:val="Footertext"/>
    <w:link w:val="FooterDocDescriptionChar"/>
    <w:autoRedefine/>
    <w:qFormat/>
    <w:rsid w:val="00CB7FC0"/>
    <w:rPr>
      <w:rFonts w:eastAsia="Times New Roman" w:cstheme="minorBidi"/>
    </w:rPr>
  </w:style>
  <w:style w:type="character" w:customStyle="1" w:styleId="SmallBodyChar">
    <w:name w:val="Small Body Char"/>
    <w:basedOn w:val="DefaultParagraphFont"/>
    <w:link w:val="SmallBody"/>
    <w:locked/>
    <w:rsid w:val="00E20996"/>
    <w:rPr>
      <w:rFonts w:ascii="VIC" w:hAnsi="VIC"/>
      <w:color w:val="000000" w:themeColor="text1"/>
      <w:sz w:val="20"/>
      <w:szCs w:val="20"/>
    </w:rPr>
  </w:style>
  <w:style w:type="paragraph" w:customStyle="1" w:styleId="SmallBody">
    <w:name w:val="Small Body"/>
    <w:basedOn w:val="Normal"/>
    <w:link w:val="SmallBodyChar"/>
    <w:qFormat/>
    <w:rsid w:val="00E20996"/>
    <w:rPr>
      <w:rFonts w:cstheme="minorBidi"/>
      <w:color w:val="000000" w:themeColor="text1"/>
      <w:lang w:eastAsia="en-US"/>
    </w:rPr>
  </w:style>
  <w:style w:type="character" w:customStyle="1" w:styleId="Heading3Char">
    <w:name w:val="Heading 3 Char"/>
    <w:basedOn w:val="DefaultParagraphFont"/>
    <w:link w:val="Heading3"/>
    <w:uiPriority w:val="9"/>
    <w:rsid w:val="003E5D0E"/>
    <w:rPr>
      <w:rFonts w:ascii="VIC" w:eastAsiaTheme="majorEastAsia" w:hAnsi="VIC" w:cstheme="majorBidi"/>
      <w:color w:val="005FB4"/>
      <w:lang w:eastAsia="en-AU"/>
    </w:rPr>
  </w:style>
  <w:style w:type="character" w:styleId="CommentReference">
    <w:name w:val="annotation reference"/>
    <w:basedOn w:val="DefaultParagraphFont"/>
    <w:uiPriority w:val="99"/>
    <w:semiHidden/>
    <w:unhideWhenUsed/>
    <w:rsid w:val="009F1959"/>
    <w:rPr>
      <w:sz w:val="16"/>
      <w:szCs w:val="16"/>
    </w:rPr>
  </w:style>
  <w:style w:type="paragraph" w:styleId="CommentText">
    <w:name w:val="annotation text"/>
    <w:basedOn w:val="Normal"/>
    <w:link w:val="CommentTextChar"/>
    <w:uiPriority w:val="99"/>
    <w:unhideWhenUsed/>
    <w:rsid w:val="009F1959"/>
  </w:style>
  <w:style w:type="character" w:customStyle="1" w:styleId="CommentTextChar">
    <w:name w:val="Comment Text Char"/>
    <w:basedOn w:val="DefaultParagraphFont"/>
    <w:link w:val="CommentText"/>
    <w:uiPriority w:val="99"/>
    <w:rsid w:val="009F1959"/>
    <w:rPr>
      <w:rFonts w:ascii="VIC" w:hAnsi="VIC" w:cs="Arial"/>
      <w:sz w:val="20"/>
      <w:szCs w:val="20"/>
      <w:lang w:eastAsia="en-AU"/>
    </w:rPr>
  </w:style>
  <w:style w:type="paragraph" w:styleId="CommentSubject">
    <w:name w:val="annotation subject"/>
    <w:basedOn w:val="CommentText"/>
    <w:next w:val="CommentText"/>
    <w:link w:val="CommentSubjectChar"/>
    <w:uiPriority w:val="99"/>
    <w:semiHidden/>
    <w:unhideWhenUsed/>
    <w:rsid w:val="009F1959"/>
    <w:rPr>
      <w:b/>
      <w:bCs/>
    </w:rPr>
  </w:style>
  <w:style w:type="character" w:customStyle="1" w:styleId="CommentSubjectChar">
    <w:name w:val="Comment Subject Char"/>
    <w:basedOn w:val="CommentTextChar"/>
    <w:link w:val="CommentSubject"/>
    <w:uiPriority w:val="99"/>
    <w:semiHidden/>
    <w:rsid w:val="009F1959"/>
    <w:rPr>
      <w:rFonts w:ascii="VIC" w:hAnsi="VIC" w:cs="Arial"/>
      <w:b/>
      <w:bCs/>
      <w:sz w:val="20"/>
      <w:szCs w:val="20"/>
      <w:lang w:eastAsia="en-AU"/>
    </w:rPr>
  </w:style>
  <w:style w:type="paragraph" w:styleId="ListBullet0">
    <w:name w:val="List Bullet"/>
    <w:basedOn w:val="BodyText"/>
    <w:uiPriority w:val="2"/>
    <w:qFormat/>
    <w:rsid w:val="000E60F7"/>
    <w:pPr>
      <w:widowControl/>
      <w:numPr>
        <w:numId w:val="1"/>
      </w:numPr>
      <w:autoSpaceDE/>
      <w:autoSpaceDN/>
      <w:spacing w:before="60" w:after="60"/>
    </w:pPr>
    <w:rPr>
      <w:rFonts w:asciiTheme="minorHAnsi" w:eastAsiaTheme="minorEastAsia" w:hAnsiTheme="minorHAnsi" w:cstheme="minorBidi"/>
      <w:sz w:val="22"/>
      <w:lang w:val="en-AU"/>
    </w:rPr>
  </w:style>
  <w:style w:type="numbering" w:customStyle="1" w:styleId="ListBullet">
    <w:name w:val="List_Bullet"/>
    <w:uiPriority w:val="99"/>
    <w:rsid w:val="000E60F7"/>
    <w:pPr>
      <w:numPr>
        <w:numId w:val="1"/>
      </w:numPr>
    </w:pPr>
  </w:style>
  <w:style w:type="paragraph" w:customStyle="1" w:styleId="ListBullet6">
    <w:name w:val="List Bullet 6"/>
    <w:basedOn w:val="ListBullet0"/>
    <w:uiPriority w:val="19"/>
    <w:rsid w:val="000E60F7"/>
    <w:pPr>
      <w:numPr>
        <w:ilvl w:val="5"/>
      </w:numPr>
    </w:pPr>
  </w:style>
  <w:style w:type="paragraph" w:styleId="ListBullet2">
    <w:name w:val="List Bullet 2"/>
    <w:basedOn w:val="ListBullet0"/>
    <w:uiPriority w:val="19"/>
    <w:rsid w:val="000E60F7"/>
    <w:pPr>
      <w:numPr>
        <w:ilvl w:val="1"/>
      </w:numPr>
    </w:pPr>
  </w:style>
  <w:style w:type="paragraph" w:styleId="ListBullet3">
    <w:name w:val="List Bullet 3"/>
    <w:basedOn w:val="ListBullet0"/>
    <w:uiPriority w:val="19"/>
    <w:rsid w:val="000E60F7"/>
    <w:pPr>
      <w:numPr>
        <w:ilvl w:val="2"/>
      </w:numPr>
    </w:pPr>
  </w:style>
  <w:style w:type="paragraph" w:styleId="ListBullet4">
    <w:name w:val="List Bullet 4"/>
    <w:basedOn w:val="ListBullet0"/>
    <w:uiPriority w:val="19"/>
    <w:rsid w:val="000E60F7"/>
    <w:pPr>
      <w:numPr>
        <w:ilvl w:val="3"/>
      </w:numPr>
    </w:pPr>
  </w:style>
  <w:style w:type="paragraph" w:styleId="ListBullet5">
    <w:name w:val="List Bullet 5"/>
    <w:basedOn w:val="ListBullet0"/>
    <w:uiPriority w:val="19"/>
    <w:rsid w:val="000E60F7"/>
    <w:pPr>
      <w:numPr>
        <w:ilvl w:val="4"/>
      </w:numPr>
    </w:pPr>
  </w:style>
  <w:style w:type="paragraph" w:styleId="FootnoteText">
    <w:name w:val="footnote text"/>
    <w:basedOn w:val="Normal"/>
    <w:link w:val="FootnoteTextChar"/>
    <w:uiPriority w:val="99"/>
    <w:unhideWhenUsed/>
    <w:rsid w:val="00091B32"/>
    <w:pPr>
      <w:spacing w:after="0"/>
    </w:pPr>
  </w:style>
  <w:style w:type="character" w:customStyle="1" w:styleId="FootnoteTextChar">
    <w:name w:val="Footnote Text Char"/>
    <w:basedOn w:val="DefaultParagraphFont"/>
    <w:link w:val="FootnoteText"/>
    <w:uiPriority w:val="99"/>
    <w:rsid w:val="00091B32"/>
    <w:rPr>
      <w:rFonts w:ascii="VIC" w:hAnsi="VIC" w:cs="Arial"/>
      <w:sz w:val="20"/>
      <w:szCs w:val="20"/>
      <w:lang w:eastAsia="en-AU"/>
    </w:rPr>
  </w:style>
  <w:style w:type="character" w:styleId="FootnoteReference">
    <w:name w:val="footnote reference"/>
    <w:basedOn w:val="DefaultParagraphFont"/>
    <w:uiPriority w:val="99"/>
    <w:unhideWhenUsed/>
    <w:rsid w:val="00091B32"/>
    <w:rPr>
      <w:vertAlign w:val="superscript"/>
    </w:rPr>
  </w:style>
  <w:style w:type="paragraph" w:customStyle="1" w:styleId="TableHeading">
    <w:name w:val="Table Heading"/>
    <w:basedOn w:val="Normal"/>
    <w:uiPriority w:val="3"/>
    <w:qFormat/>
    <w:rsid w:val="009057B8"/>
    <w:pPr>
      <w:spacing w:before="60" w:after="60"/>
      <w:ind w:left="113" w:right="113"/>
    </w:pPr>
    <w:rPr>
      <w:rFonts w:asciiTheme="minorHAnsi" w:eastAsiaTheme="minorEastAsia" w:hAnsiTheme="minorHAnsi" w:cstheme="minorBidi"/>
      <w:b/>
      <w:sz w:val="22"/>
      <w:szCs w:val="22"/>
      <w:lang w:eastAsia="en-US"/>
    </w:rPr>
  </w:style>
  <w:style w:type="paragraph" w:customStyle="1" w:styleId="TableBullet">
    <w:name w:val="Table Bullet"/>
    <w:basedOn w:val="Normal"/>
    <w:uiPriority w:val="4"/>
    <w:qFormat/>
    <w:rsid w:val="004F1090"/>
    <w:pPr>
      <w:numPr>
        <w:numId w:val="3"/>
      </w:numPr>
      <w:spacing w:before="60" w:after="60"/>
      <w:ind w:right="113"/>
    </w:pPr>
    <w:rPr>
      <w:rFonts w:asciiTheme="minorHAnsi" w:eastAsiaTheme="minorEastAsia" w:hAnsiTheme="minorHAnsi" w:cstheme="minorBidi"/>
      <w:sz w:val="22"/>
      <w:szCs w:val="22"/>
      <w:lang w:eastAsia="en-US"/>
    </w:rPr>
  </w:style>
  <w:style w:type="paragraph" w:customStyle="1" w:styleId="TableBullet2">
    <w:name w:val="Table Bullet 2"/>
    <w:basedOn w:val="TableBullet"/>
    <w:uiPriority w:val="19"/>
    <w:rsid w:val="004F1090"/>
    <w:pPr>
      <w:numPr>
        <w:ilvl w:val="1"/>
      </w:numPr>
    </w:pPr>
  </w:style>
  <w:style w:type="numbering" w:customStyle="1" w:styleId="ListTableBullet">
    <w:name w:val="List_TableBullet"/>
    <w:uiPriority w:val="99"/>
    <w:rsid w:val="004F1090"/>
    <w:pPr>
      <w:numPr>
        <w:numId w:val="2"/>
      </w:numPr>
    </w:pPr>
  </w:style>
  <w:style w:type="paragraph" w:styleId="TOCHeading">
    <w:name w:val="TOC Heading"/>
    <w:basedOn w:val="Heading1"/>
    <w:next w:val="Normal"/>
    <w:uiPriority w:val="39"/>
    <w:unhideWhenUsed/>
    <w:qFormat/>
    <w:rsid w:val="001C3314"/>
    <w:pPr>
      <w:spacing w:after="0" w:line="259" w:lineRule="auto"/>
      <w:outlineLvl w:val="9"/>
    </w:pPr>
    <w:rPr>
      <w:rFonts w:asciiTheme="majorHAnsi" w:hAnsiTheme="majorHAnsi"/>
      <w:color w:val="2F5496" w:themeColor="accent1" w:themeShade="BF"/>
      <w:sz w:val="32"/>
      <w:lang w:val="en-US" w:eastAsia="en-US"/>
    </w:rPr>
  </w:style>
  <w:style w:type="paragraph" w:styleId="Caption">
    <w:name w:val="caption"/>
    <w:basedOn w:val="Normal"/>
    <w:next w:val="Normal"/>
    <w:uiPriority w:val="6"/>
    <w:qFormat/>
    <w:rsid w:val="0090672B"/>
    <w:pPr>
      <w:spacing w:before="120" w:after="240"/>
      <w:jc w:val="center"/>
    </w:pPr>
    <w:rPr>
      <w:rFonts w:asciiTheme="minorHAnsi" w:eastAsiaTheme="minorEastAsia" w:hAnsiTheme="minorHAnsi" w:cstheme="minorBidi"/>
      <w:b/>
      <w:iCs/>
      <w:color w:val="4472C4" w:themeColor="accent1"/>
      <w:sz w:val="18"/>
      <w:szCs w:val="18"/>
      <w:lang w:eastAsia="en-US"/>
    </w:rPr>
  </w:style>
  <w:style w:type="paragraph" w:customStyle="1" w:styleId="TableCaption">
    <w:name w:val="Table Caption"/>
    <w:basedOn w:val="BodyText"/>
    <w:next w:val="BodyText"/>
    <w:uiPriority w:val="6"/>
    <w:qFormat/>
    <w:rsid w:val="00C82F5F"/>
    <w:pPr>
      <w:keepNext/>
      <w:widowControl/>
      <w:autoSpaceDE/>
      <w:autoSpaceDN/>
      <w:spacing w:before="240" w:after="120"/>
    </w:pPr>
    <w:rPr>
      <w:rFonts w:asciiTheme="minorHAnsi" w:eastAsiaTheme="minorEastAsia" w:hAnsiTheme="minorHAnsi" w:cstheme="minorBidi"/>
      <w:b/>
      <w:color w:val="4472C4" w:themeColor="accent1"/>
      <w:sz w:val="18"/>
      <w:lang w:val="en-AU"/>
    </w:rPr>
  </w:style>
  <w:style w:type="paragraph" w:customStyle="1" w:styleId="TableText">
    <w:name w:val="Table Text"/>
    <w:basedOn w:val="Normal"/>
    <w:link w:val="TableTextChar"/>
    <w:uiPriority w:val="3"/>
    <w:qFormat/>
    <w:rsid w:val="00C82F5F"/>
    <w:pPr>
      <w:spacing w:before="60" w:after="60"/>
      <w:ind w:left="113" w:right="113"/>
    </w:pPr>
    <w:rPr>
      <w:rFonts w:asciiTheme="minorHAnsi" w:eastAsiaTheme="minorEastAsia" w:hAnsiTheme="minorHAnsi" w:cstheme="minorBidi"/>
      <w:sz w:val="22"/>
      <w:szCs w:val="22"/>
      <w:lang w:eastAsia="en-US"/>
    </w:rPr>
  </w:style>
  <w:style w:type="character" w:customStyle="1" w:styleId="TableTextChar">
    <w:name w:val="Table Text Char"/>
    <w:link w:val="TableText"/>
    <w:uiPriority w:val="3"/>
    <w:locked/>
    <w:rsid w:val="00C82F5F"/>
    <w:rPr>
      <w:rFonts w:eastAsiaTheme="minorEastAsia"/>
      <w:sz w:val="22"/>
      <w:szCs w:val="22"/>
    </w:rPr>
  </w:style>
  <w:style w:type="table" w:customStyle="1" w:styleId="EPATable">
    <w:name w:val="EPA Table"/>
    <w:basedOn w:val="TableNormal"/>
    <w:uiPriority w:val="99"/>
    <w:rsid w:val="00C82F5F"/>
    <w:rPr>
      <w:rFonts w:eastAsiaTheme="minorEastAsia"/>
      <w:sz w:val="22"/>
      <w:szCs w:val="22"/>
    </w:rPr>
    <w:tblPr>
      <w:tblStyleRowBandSize w:val="1"/>
      <w:tblStyleColBandSize w:val="1"/>
      <w:tblBorders>
        <w:top w:val="single" w:sz="8" w:space="0" w:color="4472C4" w:themeColor="accent1"/>
        <w:bottom w:val="single" w:sz="8" w:space="0" w:color="4472C4" w:themeColor="accent1"/>
        <w:insideH w:val="single" w:sz="8" w:space="0" w:color="4472C4" w:themeColor="accent1"/>
      </w:tblBorders>
      <w:tblCellMar>
        <w:left w:w="0" w:type="dxa"/>
        <w:right w:w="0" w:type="dxa"/>
      </w:tblCellMar>
    </w:tblPr>
    <w:tblStylePr w:type="firstRow">
      <w:pPr>
        <w:jc w:val="left"/>
      </w:pPr>
      <w:rPr>
        <w:color w:val="FFFFFF" w:themeColor="background1"/>
      </w:rPr>
      <w:tblPr/>
      <w:tcPr>
        <w:shd w:val="clear" w:color="auto" w:fill="4472C4" w:themeFill="accent1"/>
        <w:vAlign w:val="center"/>
      </w:tcPr>
    </w:tblStylePr>
    <w:tblStylePr w:type="lastRow">
      <w:tblPr/>
      <w:tcPr>
        <w:shd w:val="clear" w:color="auto" w:fill="E7E6E6" w:themeFill="background2"/>
      </w:tcPr>
    </w:tblStylePr>
    <w:tblStylePr w:type="firstCol">
      <w:rPr>
        <w:color w:val="FFFFFF" w:themeColor="background1"/>
      </w:rPr>
      <w:tblPr/>
      <w:tcPr>
        <w:tcBorders>
          <w:top w:val="nil"/>
          <w:left w:val="nil"/>
          <w:bottom w:val="nil"/>
          <w:right w:val="nil"/>
          <w:insideH w:val="single" w:sz="8" w:space="0" w:color="FFFFFF" w:themeColor="background1"/>
          <w:insideV w:val="nil"/>
          <w:tl2br w:val="nil"/>
          <w:tr2bl w:val="nil"/>
        </w:tcBorders>
        <w:shd w:val="clear" w:color="auto" w:fill="4472C4" w:themeFill="accent1"/>
      </w:tcPr>
    </w:tblStylePr>
    <w:tblStylePr w:type="lastCol">
      <w:tblPr/>
      <w:tcPr>
        <w:shd w:val="clear" w:color="auto" w:fill="E7E6E6" w:themeFill="background2"/>
      </w:tcPr>
    </w:tblStylePr>
    <w:tblStylePr w:type="band2Vert">
      <w:tblPr/>
      <w:tcPr>
        <w:shd w:val="clear" w:color="auto" w:fill="E7E6E6" w:themeFill="background2"/>
      </w:tcPr>
    </w:tblStylePr>
    <w:tblStylePr w:type="band2Horz">
      <w:tblPr/>
      <w:tcPr>
        <w:shd w:val="clear" w:color="auto" w:fill="E7E6E6" w:themeFill="background2"/>
      </w:tcPr>
    </w:tblStylePr>
  </w:style>
  <w:style w:type="paragraph" w:customStyle="1" w:styleId="PulloutText">
    <w:name w:val="Pullout Text"/>
    <w:basedOn w:val="BodyText"/>
    <w:uiPriority w:val="7"/>
    <w:qFormat/>
    <w:rsid w:val="006379F7"/>
    <w:pPr>
      <w:widowControl/>
      <w:autoSpaceDE/>
      <w:autoSpaceDN/>
      <w:spacing w:before="120" w:after="120"/>
      <w:ind w:left="113" w:right="113"/>
    </w:pPr>
    <w:rPr>
      <w:rFonts w:asciiTheme="minorHAnsi" w:eastAsiaTheme="minorEastAsia" w:hAnsiTheme="minorHAnsi" w:cstheme="minorBidi"/>
      <w:color w:val="4472C4" w:themeColor="accent1"/>
      <w:sz w:val="22"/>
      <w:lang w:val="en-AU" w:eastAsia="ja-JP"/>
    </w:rPr>
  </w:style>
  <w:style w:type="table" w:styleId="TableGrid">
    <w:name w:val="Table Grid"/>
    <w:aliases w:val="Table No Border"/>
    <w:basedOn w:val="TableNormal"/>
    <w:uiPriority w:val="39"/>
    <w:rsid w:val="00DA5379"/>
    <w:rPr>
      <w:rFonts w:eastAsiaTheme="minorEastAsia"/>
      <w:sz w:val="22"/>
      <w:szCs w:val="22"/>
    </w:rPr>
    <w:tblPr>
      <w:tblCellMar>
        <w:left w:w="0" w:type="dxa"/>
        <w:right w:w="0" w:type="dxa"/>
      </w:tblCellMar>
    </w:tblPr>
  </w:style>
  <w:style w:type="paragraph" w:styleId="EndnoteText">
    <w:name w:val="endnote text"/>
    <w:basedOn w:val="Normal"/>
    <w:link w:val="EndnoteTextChar"/>
    <w:uiPriority w:val="99"/>
    <w:semiHidden/>
    <w:unhideWhenUsed/>
    <w:rsid w:val="00761410"/>
    <w:pPr>
      <w:spacing w:after="0"/>
    </w:pPr>
  </w:style>
  <w:style w:type="character" w:customStyle="1" w:styleId="EndnoteTextChar">
    <w:name w:val="Endnote Text Char"/>
    <w:basedOn w:val="DefaultParagraphFont"/>
    <w:link w:val="EndnoteText"/>
    <w:uiPriority w:val="99"/>
    <w:semiHidden/>
    <w:rsid w:val="00761410"/>
    <w:rPr>
      <w:rFonts w:ascii="VIC" w:hAnsi="VIC" w:cs="Arial"/>
      <w:sz w:val="20"/>
      <w:szCs w:val="20"/>
      <w:lang w:eastAsia="en-AU"/>
    </w:rPr>
  </w:style>
  <w:style w:type="character" w:styleId="EndnoteReference">
    <w:name w:val="endnote reference"/>
    <w:basedOn w:val="DefaultParagraphFont"/>
    <w:uiPriority w:val="99"/>
    <w:semiHidden/>
    <w:unhideWhenUsed/>
    <w:rsid w:val="00761410"/>
    <w:rPr>
      <w:vertAlign w:val="superscript"/>
    </w:rPr>
  </w:style>
  <w:style w:type="character" w:customStyle="1" w:styleId="Heading9Char">
    <w:name w:val="Heading 9 Char"/>
    <w:basedOn w:val="DefaultParagraphFont"/>
    <w:link w:val="Heading9"/>
    <w:uiPriority w:val="9"/>
    <w:semiHidden/>
    <w:rsid w:val="007A20FE"/>
    <w:rPr>
      <w:rFonts w:asciiTheme="majorHAnsi" w:eastAsiaTheme="majorEastAsia" w:hAnsiTheme="majorHAnsi" w:cstheme="majorBidi"/>
      <w:i/>
      <w:iCs/>
      <w:color w:val="272727" w:themeColor="text1" w:themeTint="D8"/>
      <w:sz w:val="21"/>
      <w:szCs w:val="21"/>
      <w:lang w:eastAsia="en-AU"/>
    </w:rPr>
  </w:style>
  <w:style w:type="paragraph" w:styleId="Revision">
    <w:name w:val="Revision"/>
    <w:hidden/>
    <w:uiPriority w:val="99"/>
    <w:semiHidden/>
    <w:rsid w:val="001A65E5"/>
    <w:rPr>
      <w:rFonts w:ascii="VIC" w:hAnsi="VIC" w:cs="Arial"/>
      <w:sz w:val="20"/>
      <w:szCs w:val="20"/>
      <w:lang w:eastAsia="en-AU"/>
    </w:rPr>
  </w:style>
  <w:style w:type="character" w:customStyle="1" w:styleId="Heading7Char">
    <w:name w:val="Heading 7 Char"/>
    <w:aliases w:val="Waste Guidance Sheet Char"/>
    <w:basedOn w:val="DefaultParagraphFont"/>
    <w:link w:val="Heading7"/>
    <w:uiPriority w:val="99"/>
    <w:rsid w:val="009940F2"/>
    <w:rPr>
      <w:rFonts w:ascii="Arial" w:eastAsia="MS Gothic" w:hAnsi="Arial" w:cs="Times New Roman"/>
      <w:iCs/>
      <w:color w:val="4472C4" w:themeColor="accent1"/>
      <w:sz w:val="36"/>
    </w:rPr>
  </w:style>
  <w:style w:type="character" w:customStyle="1" w:styleId="Heading8Char">
    <w:name w:val="Heading 8 Char"/>
    <w:aliases w:val="Erosion Guidance Sheet Char"/>
    <w:basedOn w:val="DefaultParagraphFont"/>
    <w:link w:val="Heading8"/>
    <w:uiPriority w:val="99"/>
    <w:rsid w:val="009940F2"/>
    <w:rPr>
      <w:rFonts w:asciiTheme="majorHAnsi" w:eastAsiaTheme="majorEastAsia" w:hAnsiTheme="majorHAnsi" w:cstheme="majorBidi"/>
      <w:color w:val="4472C4" w:themeColor="accent1"/>
      <w:sz w:val="36"/>
      <w:szCs w:val="21"/>
    </w:rPr>
  </w:style>
  <w:style w:type="numbering" w:customStyle="1" w:styleId="ListNbrHeading">
    <w:name w:val="List_NbrHeading"/>
    <w:uiPriority w:val="99"/>
    <w:rsid w:val="009940F2"/>
    <w:pPr>
      <w:numPr>
        <w:numId w:val="6"/>
      </w:numPr>
    </w:pPr>
  </w:style>
  <w:style w:type="character" w:customStyle="1" w:styleId="Heading4Char">
    <w:name w:val="Heading 4 Char"/>
    <w:basedOn w:val="DefaultParagraphFont"/>
    <w:link w:val="Heading4"/>
    <w:uiPriority w:val="9"/>
    <w:semiHidden/>
    <w:rsid w:val="005732C9"/>
    <w:rPr>
      <w:rFonts w:asciiTheme="majorHAnsi" w:eastAsiaTheme="majorEastAsia" w:hAnsiTheme="majorHAnsi" w:cstheme="majorBidi"/>
      <w:i/>
      <w:iCs/>
      <w:color w:val="2F5496" w:themeColor="accent1" w:themeShade="BF"/>
      <w:sz w:val="20"/>
      <w:szCs w:val="20"/>
      <w:lang w:eastAsia="en-AU"/>
    </w:rPr>
  </w:style>
  <w:style w:type="paragraph" w:customStyle="1" w:styleId="Heading1Unnumbered">
    <w:name w:val="Heading 1 Unnumbered"/>
    <w:basedOn w:val="Normal"/>
    <w:uiPriority w:val="1"/>
    <w:qFormat/>
    <w:rsid w:val="00DA4ED2"/>
    <w:pPr>
      <w:pageBreakBefore/>
      <w:spacing w:after="360"/>
    </w:pPr>
    <w:rPr>
      <w:rFonts w:asciiTheme="minorHAnsi" w:eastAsiaTheme="minorEastAsia" w:hAnsiTheme="minorHAnsi" w:cstheme="minorBidi"/>
      <w:color w:val="4472C4" w:themeColor="accent1"/>
      <w:sz w:val="36"/>
      <w:szCs w:val="22"/>
      <w:lang w:eastAsia="en-US"/>
    </w:rPr>
  </w:style>
  <w:style w:type="paragraph" w:customStyle="1" w:styleId="Heading2Unnumbered">
    <w:name w:val="Heading 2 Unnumbered"/>
    <w:basedOn w:val="TOCHeading"/>
    <w:uiPriority w:val="1"/>
    <w:qFormat/>
    <w:rsid w:val="00DA4ED2"/>
    <w:pPr>
      <w:spacing w:before="360" w:after="240" w:line="240" w:lineRule="auto"/>
    </w:pPr>
    <w:rPr>
      <w:rFonts w:asciiTheme="minorHAnsi" w:eastAsiaTheme="minorEastAsia" w:hAnsiTheme="minorHAnsi" w:cstheme="minorBidi"/>
      <w:b/>
      <w:color w:val="4472C4" w:themeColor="accent1"/>
      <w:sz w:val="2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usiness.vic.gov.au/business-information/sustainability/cut-energy-costs" TargetMode="External"/><Relationship Id="rId21" Type="http://schemas.openxmlformats.org/officeDocument/2006/relationships/header" Target="header2.xml"/><Relationship Id="rId42" Type="http://schemas.openxmlformats.org/officeDocument/2006/relationships/hyperlink" Target="https://www.epa.vic.gov.au/about-epa/publications/1702" TargetMode="External"/><Relationship Id="rId63" Type="http://schemas.openxmlformats.org/officeDocument/2006/relationships/hyperlink" Target="https://www.arctick.org/" TargetMode="External"/><Relationship Id="rId84" Type="http://schemas.openxmlformats.org/officeDocument/2006/relationships/hyperlink" Target="https://www.epa.vic.gov.au/about-epa/publications/1856" TargetMode="External"/><Relationship Id="rId138" Type="http://schemas.openxmlformats.org/officeDocument/2006/relationships/hyperlink" Target="https://sciencebasedtargets.org/resources/files/SBT_Value_Chain_Report-1.pdf" TargetMode="External"/><Relationship Id="rId159" Type="http://schemas.openxmlformats.org/officeDocument/2006/relationships/hyperlink" Target="https://ghgprotocol.org/corporate-standard" TargetMode="External"/><Relationship Id="rId170" Type="http://schemas.openxmlformats.org/officeDocument/2006/relationships/image" Target="media/image11.png"/><Relationship Id="rId107" Type="http://schemas.openxmlformats.org/officeDocument/2006/relationships/hyperlink" Target="http://www.cleanenergyregulator.gov.au/NGER/Forms-and-resources/Calculators" TargetMode="External"/><Relationship Id="rId11" Type="http://schemas.openxmlformats.org/officeDocument/2006/relationships/image" Target="media/image1.png"/><Relationship Id="rId32" Type="http://schemas.openxmlformats.org/officeDocument/2006/relationships/hyperlink" Target="https://www.epa.vic.gov.au/about-epa/publications/1741-1" TargetMode="External"/><Relationship Id="rId53" Type="http://schemas.openxmlformats.org/officeDocument/2006/relationships/image" Target="media/image8.png"/><Relationship Id="rId74" Type="http://schemas.openxmlformats.org/officeDocument/2006/relationships/hyperlink" Target="https://www.sustainability.vic.gov.au/energy-efficiency-and-reducing-emissions/in-a-business/by-sector/energy-efficiency-in-hospitality" TargetMode="External"/><Relationship Id="rId128" Type="http://schemas.openxmlformats.org/officeDocument/2006/relationships/hyperlink" Target="https://www.cmsi.org.au/" TargetMode="External"/><Relationship Id="rId149" Type="http://schemas.openxmlformats.org/officeDocument/2006/relationships/hyperlink" Target="https://www.energy.vic.gov.au/renewable-energy/victorias-renewable-energy-targets" TargetMode="External"/><Relationship Id="rId5" Type="http://schemas.openxmlformats.org/officeDocument/2006/relationships/numbering" Target="numbering.xml"/><Relationship Id="rId95" Type="http://schemas.openxmlformats.org/officeDocument/2006/relationships/hyperlink" Target="https://www.epa.vic.gov.au/about-epa/publications/1810-1" TargetMode="External"/><Relationship Id="rId160" Type="http://schemas.openxmlformats.org/officeDocument/2006/relationships/hyperlink" Target="https://ghgprotocol.org/sites/default/files/standards_supporting/Required%20gases%20and%20GWP%20values_1.pdf" TargetMode="External"/><Relationship Id="rId181" Type="http://schemas.openxmlformats.org/officeDocument/2006/relationships/fontTable" Target="fontTable.xml"/><Relationship Id="rId22" Type="http://schemas.openxmlformats.org/officeDocument/2006/relationships/header" Target="header3.xml"/><Relationship Id="rId43" Type="http://schemas.openxmlformats.org/officeDocument/2006/relationships/hyperlink" Target="https://www.sustainability.vic.gov.au/energy-efficiency-and-reducing-emissions/in-a-business/understand-your-business-energy-bill" TargetMode="External"/><Relationship Id="rId64" Type="http://schemas.openxmlformats.org/officeDocument/2006/relationships/hyperlink" Target="https://www.dcceew.gov.au/environment/protection/ozone/legislation" TargetMode="External"/><Relationship Id="rId118" Type="http://schemas.openxmlformats.org/officeDocument/2006/relationships/hyperlink" Target="https://www.cdp.net/en/research/global-reports/putting-a-price-on-carbon" TargetMode="External"/><Relationship Id="rId139" Type="http://schemas.openxmlformats.org/officeDocument/2006/relationships/hyperlink" Target="https://sciencebasedtargets.org/resources/legacy/2020/09/foundations-for-net-zero-executive-summary.pdf" TargetMode="External"/><Relationship Id="rId85" Type="http://schemas.openxmlformats.org/officeDocument/2006/relationships/hyperlink" Target="https://www.climateworkscentre.org/project/australian-industry-energy-transitions-initiative/" TargetMode="External"/><Relationship Id="rId150" Type="http://schemas.openxmlformats.org/officeDocument/2006/relationships/hyperlink" Target="https://www.energy.vic.gov.au/energy-efficiency/victorian-energy-upgrades" TargetMode="External"/><Relationship Id="rId171" Type="http://schemas.openxmlformats.org/officeDocument/2006/relationships/hyperlink" Target="https://twitter.com/EPA_Victoria" TargetMode="External"/><Relationship Id="rId12" Type="http://schemas.openxmlformats.org/officeDocument/2006/relationships/image" Target="media/image2.png"/><Relationship Id="rId33" Type="http://schemas.openxmlformats.org/officeDocument/2006/relationships/hyperlink" Target="https://www.epa.vic.gov.au/about-epa/publications/1856" TargetMode="External"/><Relationship Id="rId108" Type="http://schemas.openxmlformats.org/officeDocument/2006/relationships/hyperlink" Target="file:///C:\Users\middlem\AppData\Local\Microsoft\Windows\INetCache\Content.Outlook\GU3D398B\&#8226;%09http:\www.cleanenergyregulator.gov.au\NGER\Forms-and-resources\Calculators" TargetMode="External"/><Relationship Id="rId129" Type="http://schemas.openxmlformats.org/officeDocument/2006/relationships/hyperlink" Target="https://compare.energy.vic.gov.au/" TargetMode="External"/><Relationship Id="rId54" Type="http://schemas.openxmlformats.org/officeDocument/2006/relationships/image" Target="media/image9.png"/><Relationship Id="rId75" Type="http://schemas.openxmlformats.org/officeDocument/2006/relationships/hyperlink" Target="https://www.sustainability.vic.gov.au/energy-efficiency-and-reducing-emissions/in-a-business/energy-upgrade-recommendations" TargetMode="External"/><Relationship Id="rId96" Type="http://schemas.openxmlformats.org/officeDocument/2006/relationships/hyperlink" Target="https://www.epa.vic.gov.au/about-epa/publications/1819-1" TargetMode="External"/><Relationship Id="rId140" Type="http://schemas.openxmlformats.org/officeDocument/2006/relationships/hyperlink" Target="https://agriculture.vic.gov.au/climate-and-weather/understanding-carbon-and-emissions" TargetMode="External"/><Relationship Id="rId161" Type="http://schemas.openxmlformats.org/officeDocument/2006/relationships/hyperlink" Target="https://ghgprotocol.org/sites/default/files/standards/Corporate-Value-Chain-Accounting-Reporing-Standard_041613_2.pdf" TargetMode="External"/><Relationship Id="rId182" Type="http://schemas.openxmlformats.org/officeDocument/2006/relationships/glossaryDocument" Target="glossary/document.xml"/><Relationship Id="rId6" Type="http://schemas.openxmlformats.org/officeDocument/2006/relationships/styles" Target="styles.xml"/><Relationship Id="rId23" Type="http://schemas.openxmlformats.org/officeDocument/2006/relationships/header" Target="header4.xml"/><Relationship Id="rId119" Type="http://schemas.openxmlformats.org/officeDocument/2006/relationships/hyperlink" Target="https://www.cdp.net/en/research/global-reports/engaging-the-chain" TargetMode="External"/><Relationship Id="rId44" Type="http://schemas.openxmlformats.org/officeDocument/2006/relationships/hyperlink" Target="https://www.industry.gov.au/data-and-publications/national-greenhouse-accounts-factors" TargetMode="External"/><Relationship Id="rId60" Type="http://schemas.openxmlformats.org/officeDocument/2006/relationships/hyperlink" Target="https://www.melbourne.vic.gov.au/business/sustainable-business/mrep/Pages/renewable-energy-procurement-guide.aspx" TargetMode="External"/><Relationship Id="rId65" Type="http://schemas.openxmlformats.org/officeDocument/2006/relationships/hyperlink" Target="https://www.epa.vic.gov.au/about-epa/publications/1856" TargetMode="External"/><Relationship Id="rId81" Type="http://schemas.openxmlformats.org/officeDocument/2006/relationships/hyperlink" Target="https://www.epa.vic.gov.au/about-epa/publications/1851-1" TargetMode="External"/><Relationship Id="rId86" Type="http://schemas.openxmlformats.org/officeDocument/2006/relationships/hyperlink" Target="https://www.epa.vic.gov.au/about-epa/publications/1695-1" TargetMode="External"/><Relationship Id="rId130" Type="http://schemas.openxmlformats.org/officeDocument/2006/relationships/hyperlink" Target="https://www.csiro.au/en/research/environmental-impacts/climate-change/state-of-the-climate" TargetMode="External"/><Relationship Id="rId135" Type="http://schemas.openxmlformats.org/officeDocument/2006/relationships/hyperlink" Target="https://www.ipcc.ch/report/ar6/wg1/downloads/report/IPCC_AR6_WGI_SPM_final.pdf" TargetMode="External"/><Relationship Id="rId151" Type="http://schemas.openxmlformats.org/officeDocument/2006/relationships/hyperlink" Target="https://www.health.vic.gov.au/environmental-health/climate-change-strategy" TargetMode="External"/><Relationship Id="rId156" Type="http://schemas.openxmlformats.org/officeDocument/2006/relationships/hyperlink" Target="https://www.epa.gov/ghgemissions/understanding-global-warming-potentials" TargetMode="External"/><Relationship Id="rId177" Type="http://schemas.openxmlformats.org/officeDocument/2006/relationships/hyperlink" Target="http://www.youtube.com/channel/UCTH9sYvphkFxGlAsIyTecJQ" TargetMode="External"/><Relationship Id="rId172" Type="http://schemas.openxmlformats.org/officeDocument/2006/relationships/image" Target="media/image12.png"/><Relationship Id="rId13" Type="http://schemas.openxmlformats.org/officeDocument/2006/relationships/hyperlink" Target="https://www.epa.vic.gov.au/" TargetMode="External"/><Relationship Id="rId18" Type="http://schemas.openxmlformats.org/officeDocument/2006/relationships/hyperlink" Target="https://www.communications.gov.au/what-we-do/phone/services-people-disability/accesshub/national-relay-service" TargetMode="External"/><Relationship Id="rId39" Type="http://schemas.openxmlformats.org/officeDocument/2006/relationships/hyperlink" Target="https://www.epa.vic.gov.au/-/media/epa/files/publications/1695-1.pdf" TargetMode="External"/><Relationship Id="rId109" Type="http://schemas.openxmlformats.org/officeDocument/2006/relationships/hyperlink" Target="https://www.legislation.gov.au/Series/C2004A03755" TargetMode="External"/><Relationship Id="rId34" Type="http://schemas.openxmlformats.org/officeDocument/2006/relationships/hyperlink" Target="https://www.epa.vic.gov.au/about-epa/publications/1856" TargetMode="External"/><Relationship Id="rId50" Type="http://schemas.openxmlformats.org/officeDocument/2006/relationships/hyperlink" Target="https://ghgprotocol.org/sites/default/files/standards/Corporate-Value-Chain-Accounting-Reporing-Standard_041613_2.pdf" TargetMode="External"/><Relationship Id="rId55" Type="http://schemas.openxmlformats.org/officeDocument/2006/relationships/hyperlink" Target="https://www.epa.vic.gov.au/about-epa/publications/1856" TargetMode="External"/><Relationship Id="rId76" Type="http://schemas.openxmlformats.org/officeDocument/2006/relationships/hyperlink" Target="https://www.energy.vic.gov.au/energy-efficiency/victorian-energy-upgrades" TargetMode="External"/><Relationship Id="rId97" Type="http://schemas.openxmlformats.org/officeDocument/2006/relationships/hyperlink" Target="https://www.epa.vic.gov.au/about-epa/publications/1822" TargetMode="External"/><Relationship Id="rId104" Type="http://schemas.openxmlformats.org/officeDocument/2006/relationships/hyperlink" Target="file:///C:\Users\middlem\AppData\Local\Microsoft\Windows\INetCache\Content.Outlook\GU3D398B\&#8226;%09http:\www.cleanenergyregulator.gov.au\NGER\Forms-and-resources\Calculators" TargetMode="External"/><Relationship Id="rId120" Type="http://schemas.openxmlformats.org/officeDocument/2006/relationships/hyperlink" Target="https://www.carbontrust.com/resources/briefing-what-are-scope-3-emissions" TargetMode="External"/><Relationship Id="rId125" Type="http://schemas.openxmlformats.org/officeDocument/2006/relationships/hyperlink" Target="https://www.climateworksaustralia.org/project/decarbonisation-futures/" TargetMode="External"/><Relationship Id="rId141" Type="http://schemas.openxmlformats.org/officeDocument/2006/relationships/hyperlink" Target="http://agriculture.vic.gov.au/climate-and-weather" TargetMode="External"/><Relationship Id="rId146" Type="http://schemas.openxmlformats.org/officeDocument/2006/relationships/hyperlink" Target="https://www.climatechange.vic.gov.au/victorias-greenhouse-gas-emissions-and-targets" TargetMode="External"/><Relationship Id="rId167"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www.epa.vic.gov.au/about-epa/publications/2011" TargetMode="External"/><Relationship Id="rId92" Type="http://schemas.openxmlformats.org/officeDocument/2006/relationships/hyperlink" Target="https://www.epa.vic.gov.au/about-epa/publications/1850-1" TargetMode="External"/><Relationship Id="rId162" Type="http://schemas.openxmlformats.org/officeDocument/2006/relationships/hyperlink" Target="https://ghgprotocol.org/sites/default/files/standards_supporting/Intro_GHGP_Tech.pdf"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unfccc.int/sites/default/files/english_paris_agreement.pdf" TargetMode="External"/><Relationship Id="rId24" Type="http://schemas.openxmlformats.org/officeDocument/2006/relationships/footer" Target="footer2.xml"/><Relationship Id="rId40" Type="http://schemas.openxmlformats.org/officeDocument/2006/relationships/image" Target="media/image7.png"/><Relationship Id="rId45" Type="http://schemas.openxmlformats.org/officeDocument/2006/relationships/hyperlink" Target="https://ghgprotocol.org/calculation-tools" TargetMode="External"/><Relationship Id="rId66" Type="http://schemas.openxmlformats.org/officeDocument/2006/relationships/hyperlink" Target="https://www.epa.vic.gov.au/about-epa/publications/1856" TargetMode="External"/><Relationship Id="rId87" Type="http://schemas.openxmlformats.org/officeDocument/2006/relationships/hyperlink" Target="https://www.epa.vic.gov.au/about-epa/publications/1741-1" TargetMode="External"/><Relationship Id="rId110" Type="http://schemas.openxmlformats.org/officeDocument/2006/relationships/hyperlink" Target="https://www.energy.gov.au/business" TargetMode="External"/><Relationship Id="rId115" Type="http://schemas.openxmlformats.org/officeDocument/2006/relationships/hyperlink" Target="https://asic.gov.au/about-asic/news-centre/find-a-media-release/2019-releases/19-208mr-asic-updates-guidance-on-climate-change-related-disclosure/" TargetMode="External"/><Relationship Id="rId131" Type="http://schemas.openxmlformats.org/officeDocument/2006/relationships/hyperlink" Target="https://www.dairyaustralia.com.au/land-water-and-climate" TargetMode="External"/><Relationship Id="rId136" Type="http://schemas.openxmlformats.org/officeDocument/2006/relationships/hyperlink" Target="https://www.energysaver.nsw.gov.au/get-energy-smart/find-technology-guide-your-equipment/electricity-metering-and-monitoring-guide" TargetMode="External"/><Relationship Id="rId157" Type="http://schemas.openxmlformats.org/officeDocument/2006/relationships/hyperlink" Target="https://www.vmia.vic.gov.au/tools-and-insights/climate-change" TargetMode="External"/><Relationship Id="rId178" Type="http://schemas.openxmlformats.org/officeDocument/2006/relationships/image" Target="media/image15.png"/><Relationship Id="rId61" Type="http://schemas.openxmlformats.org/officeDocument/2006/relationships/hyperlink" Target="https://www.energy.gov.au/business/industry-sector-guides/building-owners-and-tenants" TargetMode="External"/><Relationship Id="rId82" Type="http://schemas.openxmlformats.org/officeDocument/2006/relationships/hyperlink" Target="https://ghgprotocol.org/standards/scope-3-standard" TargetMode="External"/><Relationship Id="rId152" Type="http://schemas.openxmlformats.org/officeDocument/2006/relationships/hyperlink" Target="https://sustainableaustraliafund.com.au/" TargetMode="External"/><Relationship Id="rId173" Type="http://schemas.openxmlformats.org/officeDocument/2006/relationships/hyperlink" Target="https://www.facebook.com/EPAVictoria" TargetMode="External"/><Relationship Id="rId19" Type="http://schemas.openxmlformats.org/officeDocument/2006/relationships/header" Target="header1.xml"/><Relationship Id="rId14" Type="http://schemas.openxmlformats.org/officeDocument/2006/relationships/hyperlink" Target="http://www.epa.vic.gov.au/publication-feedback" TargetMode="External"/><Relationship Id="rId30" Type="http://schemas.openxmlformats.org/officeDocument/2006/relationships/hyperlink" Target="https://www.climatechange.vic.gov.au/legislation/climate-change-act-2017" TargetMode="External"/><Relationship Id="rId35" Type="http://schemas.openxmlformats.org/officeDocument/2006/relationships/hyperlink" Target="https://www.epa.vic.gov.au/about-epa/what-we-do/epa-regulatory-approach" TargetMode="External"/><Relationship Id="rId56" Type="http://schemas.openxmlformats.org/officeDocument/2006/relationships/hyperlink" Target="http://www.vic.gov.au/recycling" TargetMode="External"/><Relationship Id="rId77" Type="http://schemas.openxmlformats.org/officeDocument/2006/relationships/hyperlink" Target="http://www.cleanenergyregulator.gov.au/NGER/Forms-and-resources/Calculators" TargetMode="External"/><Relationship Id="rId100" Type="http://schemas.openxmlformats.org/officeDocument/2006/relationships/hyperlink" Target="https://www.epa.vic.gov.au/about-epa/publications/1825" TargetMode="External"/><Relationship Id="rId105" Type="http://schemas.openxmlformats.org/officeDocument/2006/relationships/hyperlink" Target="https://www.legislation.gov.au/Series/C2004A03755" TargetMode="External"/><Relationship Id="rId126" Type="http://schemas.openxmlformats.org/officeDocument/2006/relationships/hyperlink" Target="https://www.climateworkscentre.org/project/australian-industry-energy-transitions-initiative/" TargetMode="External"/><Relationship Id="rId147" Type="http://schemas.openxmlformats.org/officeDocument/2006/relationships/hyperlink" Target="https://www.vic.gov.au/sites/default/files/2020-02/Recycling%20Victoria%20A%20new%20economy.pdf" TargetMode="External"/><Relationship Id="rId16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ghgprotocol.org/sites/default/files/standards_supporting/Intro_GHGP_Tech.pdf" TargetMode="External"/><Relationship Id="rId72" Type="http://schemas.openxmlformats.org/officeDocument/2006/relationships/hyperlink" Target="https://ghgprotocol.org/corporate-standard" TargetMode="External"/><Relationship Id="rId93" Type="http://schemas.openxmlformats.org/officeDocument/2006/relationships/hyperlink" Target="https://www.epa.vic.gov.au/about-epa/publications/1851-1" TargetMode="External"/><Relationship Id="rId98" Type="http://schemas.openxmlformats.org/officeDocument/2006/relationships/hyperlink" Target="https://www.epa.vic.gov.au/about-epa/publications/1823" TargetMode="External"/><Relationship Id="rId121" Type="http://schemas.openxmlformats.org/officeDocument/2006/relationships/hyperlink" Target="https://www.c2es.org/wp-content/uploads/2017/09/business-pricing-carbon.pdf" TargetMode="External"/><Relationship Id="rId142" Type="http://schemas.openxmlformats.org/officeDocument/2006/relationships/hyperlink" Target="https://agriculture.vic.gov.au/climate-and-weather/policy-programs-action/on-farm-action-plan-pilot-program" TargetMode="External"/><Relationship Id="rId163" Type="http://schemas.openxmlformats.org/officeDocument/2006/relationships/hyperlink" Target="https://www.industry.gov.au/data-and-publications/national-greenhouse-accounts-factors" TargetMode="Externa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yperlink" Target="https://www.climateactive.org.au/" TargetMode="External"/><Relationship Id="rId67" Type="http://schemas.openxmlformats.org/officeDocument/2006/relationships/image" Target="media/image10.png"/><Relationship Id="rId116" Type="http://schemas.openxmlformats.org/officeDocument/2006/relationships/hyperlink" Target="https://bze.org.au/" TargetMode="External"/><Relationship Id="rId137" Type="http://schemas.openxmlformats.org/officeDocument/2006/relationships/hyperlink" Target="https://www.there100.org/" TargetMode="External"/><Relationship Id="rId158" Type="http://schemas.openxmlformats.org/officeDocument/2006/relationships/hyperlink" Target="https://www.wemeanbusinesscoalition.org/" TargetMode="External"/><Relationship Id="rId20" Type="http://schemas.openxmlformats.org/officeDocument/2006/relationships/footer" Target="footer1.xml"/><Relationship Id="rId41" Type="http://schemas.openxmlformats.org/officeDocument/2006/relationships/hyperlink" Target="https://www.epa.vic.gov.au/about-epa/publications/2011" TargetMode="External"/><Relationship Id="rId62" Type="http://schemas.openxmlformats.org/officeDocument/2006/relationships/hyperlink" Target="https://www.environment.gov.au/protection/ozone/legislation" TargetMode="External"/><Relationship Id="rId83" Type="http://schemas.openxmlformats.org/officeDocument/2006/relationships/hyperlink" Target="https://ghgprotocol.org/corporate-standard" TargetMode="External"/><Relationship Id="rId88" Type="http://schemas.openxmlformats.org/officeDocument/2006/relationships/hyperlink" Target="https://www.epa.vic.gov.au/about-epa/laws/new-laws/state-of-knowledge-and-industry-guidance" TargetMode="External"/><Relationship Id="rId111" Type="http://schemas.openxmlformats.org/officeDocument/2006/relationships/hyperlink" Target="https://www.energy.gov.au/business/industry-sector-guides/building-owners-and-tenants" TargetMode="External"/><Relationship Id="rId132" Type="http://schemas.openxmlformats.org/officeDocument/2006/relationships/hyperlink" Target="https://circulareconomy.europa.eu/platform/sites/default/files/emf_completing_the_picture.pdf" TargetMode="External"/><Relationship Id="rId153" Type="http://schemas.openxmlformats.org/officeDocument/2006/relationships/hyperlink" Target="https://www.sustainability.vic.gov.au/" TargetMode="External"/><Relationship Id="rId174" Type="http://schemas.openxmlformats.org/officeDocument/2006/relationships/image" Target="media/image13.png"/><Relationship Id="rId179" Type="http://schemas.openxmlformats.org/officeDocument/2006/relationships/hyperlink" Target="https://www.epa.vic.gov.au/" TargetMode="External"/><Relationship Id="rId15" Type="http://schemas.openxmlformats.org/officeDocument/2006/relationships/image" Target="media/image3.png"/><Relationship Id="rId36" Type="http://schemas.openxmlformats.org/officeDocument/2006/relationships/hyperlink" Target="https://www.epa.vic.gov.au/about-epa/publications/1798-2" TargetMode="External"/><Relationship Id="rId57" Type="http://schemas.openxmlformats.org/officeDocument/2006/relationships/hyperlink" Target="https://www.energyrating.gov.au/" TargetMode="External"/><Relationship Id="rId106" Type="http://schemas.openxmlformats.org/officeDocument/2006/relationships/hyperlink" Target="http://www.cleanenergyregulator.gov.au/ERF" TargetMode="External"/><Relationship Id="rId127" Type="http://schemas.openxmlformats.org/officeDocument/2006/relationships/hyperlink" Target="https://www.climateworksaustralia.org/" TargetMode="External"/><Relationship Id="rId10" Type="http://schemas.openxmlformats.org/officeDocument/2006/relationships/endnotes" Target="endnotes.xml"/><Relationship Id="rId31" Type="http://schemas.openxmlformats.org/officeDocument/2006/relationships/hyperlink" Target="https://www.climatechange.vic.gov.au/victorias-climate-change-strategy" TargetMode="External"/><Relationship Id="rId52" Type="http://schemas.openxmlformats.org/officeDocument/2006/relationships/hyperlink" Target="https://www.climateactive.org.au/" TargetMode="External"/><Relationship Id="rId73" Type="http://schemas.openxmlformats.org/officeDocument/2006/relationships/hyperlink" Target="https://sciencebasedtargets.org/" TargetMode="External"/><Relationship Id="rId78" Type="http://schemas.openxmlformats.org/officeDocument/2006/relationships/hyperlink" Target="https://www.sustainability.vic.gov.au/energy-efficiency-and-reducing-emissions/in-a-business" TargetMode="External"/><Relationship Id="rId94" Type="http://schemas.openxmlformats.org/officeDocument/2006/relationships/hyperlink" Target="https://www.epa.vic.gov.au/about-epa/publications/1812" TargetMode="External"/><Relationship Id="rId99" Type="http://schemas.openxmlformats.org/officeDocument/2006/relationships/hyperlink" Target="https://www.epa.vic.gov.au/about-epa/publications/1824" TargetMode="External"/><Relationship Id="rId101" Type="http://schemas.openxmlformats.org/officeDocument/2006/relationships/hyperlink" Target="https://www.environment.gov.au/climate-change/climate-science-data/climate-science/greenhouse-effect" TargetMode="External"/><Relationship Id="rId122" Type="http://schemas.openxmlformats.org/officeDocument/2006/relationships/hyperlink" Target="https://cpd.org.au/2019/03/directors-duties-2019/" TargetMode="External"/><Relationship Id="rId143" Type="http://schemas.openxmlformats.org/officeDocument/2006/relationships/hyperlink" Target="https://agriculture.vic.gov.au/climate-and-weather/understanding-carbon-and-emissions/making-cents-of-carbon-and-emissions-on-farm" TargetMode="External"/><Relationship Id="rId148" Type="http://schemas.openxmlformats.org/officeDocument/2006/relationships/hyperlink" Target="https://www.climatechange.vic.gov.au/victorian-government-action-on-climate-change" TargetMode="External"/><Relationship Id="rId164" Type="http://schemas.openxmlformats.org/officeDocument/2006/relationships/hyperlink" Target="https://www.sustainability.vic.gov.au/energy-efficiency-and-reducing-emissions" TargetMode="External"/><Relationship Id="rId16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pa.vic.gov.au/" TargetMode="External"/><Relationship Id="rId26" Type="http://schemas.openxmlformats.org/officeDocument/2006/relationships/hyperlink" Target="https://www.legislation.vic.gov.au/in-force/acts/environment-protection-act-2017/004" TargetMode="External"/><Relationship Id="rId47" Type="http://schemas.openxmlformats.org/officeDocument/2006/relationships/hyperlink" Target="https://ghgprotocol.org/corporate-standard" TargetMode="External"/><Relationship Id="rId68" Type="http://schemas.openxmlformats.org/officeDocument/2006/relationships/hyperlink" Target="https://www.climatechange.vic.gov.au/victorias-climate-change-strategy" TargetMode="External"/><Relationship Id="rId89" Type="http://schemas.openxmlformats.org/officeDocument/2006/relationships/hyperlink" Target="https://www.epa.vic.gov.au/about-epa/publications/1856" TargetMode="External"/><Relationship Id="rId112" Type="http://schemas.openxmlformats.org/officeDocument/2006/relationships/hyperlink" Target="https://www.industry.gov.au/data-and-publications/climate-active-carbon-neutral-standard-for-organisations" TargetMode="External"/><Relationship Id="rId133" Type="http://schemas.openxmlformats.org/officeDocument/2006/relationships/hyperlink" Target="https://ghgprotocol.org/sites/default/files/ENCORD-Construction-CO2-Measurement-Protocol-Lo-Res_FINAL_0.pdf" TargetMode="External"/><Relationship Id="rId154" Type="http://schemas.openxmlformats.org/officeDocument/2006/relationships/hyperlink" Target="https://assets.bbhub.io/company/sites/60/2020/10/FINAL-2017-TCFD-Report-11052018.pdf" TargetMode="External"/><Relationship Id="rId175" Type="http://schemas.openxmlformats.org/officeDocument/2006/relationships/hyperlink" Target="https://www.linkedin.com/company/epa---victoria/" TargetMode="External"/><Relationship Id="rId16" Type="http://schemas.openxmlformats.org/officeDocument/2006/relationships/hyperlink" Target="mailto:contact@epa.vic.gov.au" TargetMode="External"/><Relationship Id="rId37" Type="http://schemas.openxmlformats.org/officeDocument/2006/relationships/image" Target="media/image5.png"/><Relationship Id="rId58" Type="http://schemas.openxmlformats.org/officeDocument/2006/relationships/hyperlink" Target="https://www.energy.vic.gov.au/" TargetMode="External"/><Relationship Id="rId79" Type="http://schemas.openxmlformats.org/officeDocument/2006/relationships/hyperlink" Target="https://www.sustainability.vic.gov.au/energy-efficiency-and-reducing-emissions/in-a-business/find-an-energy-auditor" TargetMode="External"/><Relationship Id="rId102" Type="http://schemas.openxmlformats.org/officeDocument/2006/relationships/hyperlink" Target="http://www.cleanenergyregulator.gov.au/ERF" TargetMode="External"/><Relationship Id="rId123" Type="http://schemas.openxmlformats.org/officeDocument/2006/relationships/hyperlink" Target="https://www.melbourne.vic.gov.au/business/sustainable-business/mrep/Pages/renewable-energy-procurement-guide.aspx" TargetMode="External"/><Relationship Id="rId144" Type="http://schemas.openxmlformats.org/officeDocument/2006/relationships/hyperlink" Target="https://www.climatechange.vic.gov.au/victorian-government-action-on-climate-change" TargetMode="External"/><Relationship Id="rId90" Type="http://schemas.openxmlformats.org/officeDocument/2006/relationships/hyperlink" Target="https://www.epa.vic.gov.au/about-epa/publications/1702" TargetMode="External"/><Relationship Id="rId165" Type="http://schemas.openxmlformats.org/officeDocument/2006/relationships/hyperlink" Target="https://www.environment.vic.gov.au" TargetMode="External"/><Relationship Id="rId27" Type="http://schemas.openxmlformats.org/officeDocument/2006/relationships/hyperlink" Target="https://www.epa.vic.gov.au/for-business/find-a-topic/environment-protection-laws-and-regulations/implementing-the-general-environmental-duty---a-guide-for-licence-holders" TargetMode="External"/><Relationship Id="rId48" Type="http://schemas.openxmlformats.org/officeDocument/2006/relationships/hyperlink" Target="https://www.iso.org/standard/66453.html" TargetMode="External"/><Relationship Id="rId69" Type="http://schemas.openxmlformats.org/officeDocument/2006/relationships/hyperlink" Target="https://www.climatechange.vic.gov.au/victorian-government-action-on-climate-change" TargetMode="External"/><Relationship Id="rId113" Type="http://schemas.openxmlformats.org/officeDocument/2006/relationships/hyperlink" Target="https://www.australianpork.com.au/environmental-practices/greenhouse-gases" TargetMode="External"/><Relationship Id="rId134" Type="http://schemas.openxmlformats.org/officeDocument/2006/relationships/hyperlink" Target="https://www.ipcc.ch/site/assets/uploads/2018/05/SYR_AR5_FINAL_full_wcover.pdf" TargetMode="External"/><Relationship Id="rId80" Type="http://schemas.openxmlformats.org/officeDocument/2006/relationships/hyperlink" Target="https://sciencebasedtargets.org/" TargetMode="External"/><Relationship Id="rId155" Type="http://schemas.openxmlformats.org/officeDocument/2006/relationships/hyperlink" Target="https://unfccc.int/sites/default/files/english_paris_agreement.pdf" TargetMode="External"/><Relationship Id="rId176" Type="http://schemas.openxmlformats.org/officeDocument/2006/relationships/image" Target="media/image14.png"/><Relationship Id="rId17" Type="http://schemas.openxmlformats.org/officeDocument/2006/relationships/image" Target="media/image4.png"/><Relationship Id="rId38" Type="http://schemas.openxmlformats.org/officeDocument/2006/relationships/image" Target="media/image6.png"/><Relationship Id="rId59" Type="http://schemas.openxmlformats.org/officeDocument/2006/relationships/hyperlink" Target="https://www.energy.gov.au/" TargetMode="External"/><Relationship Id="rId103" Type="http://schemas.openxmlformats.org/officeDocument/2006/relationships/hyperlink" Target="http://www.cleanenergyregulator.gov.au/NGER/Forms-and-resources/Calculators" TargetMode="External"/><Relationship Id="rId124" Type="http://schemas.openxmlformats.org/officeDocument/2006/relationships/hyperlink" Target="https://www.climateactive.org.au/" TargetMode="External"/><Relationship Id="rId70" Type="http://schemas.openxmlformats.org/officeDocument/2006/relationships/hyperlink" Target="https://www.epa.vic.gov.au/for-business/find-a-topic/environment-protection-laws-and-regulations/implementing-the-general-environmental-duty---a-guide-for-licence-holders" TargetMode="External"/><Relationship Id="rId91" Type="http://schemas.openxmlformats.org/officeDocument/2006/relationships/hyperlink" Target="https://www.epa.vic.gov.au/about-epa/publications/2011" TargetMode="External"/><Relationship Id="rId145" Type="http://schemas.openxmlformats.org/officeDocument/2006/relationships/hyperlink" Target="https://www.climatechange.vic.gov.au/__data/assets/pdf_file/0029/442964/Victorias-Climate-Science-Report-2019.pdf" TargetMode="External"/><Relationship Id="rId166"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hyperlink" Target="https://www.ipcc.ch/assessment-report/ar6/" TargetMode="External"/><Relationship Id="rId49" Type="http://schemas.openxmlformats.org/officeDocument/2006/relationships/hyperlink" Target="https://www.industry.gov.au/data-and-publications/climate-active-carbon-neutral-standard-for-organisations" TargetMode="External"/><Relationship Id="rId114" Type="http://schemas.openxmlformats.org/officeDocument/2006/relationships/hyperlink" Target="https://www.apra.gov.au/consultation-on-draft-prudential-practice-guide-on-climate-change-financial-ris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cleanenergyregulator.gov.au/NGER" TargetMode="External"/><Relationship Id="rId1" Type="http://schemas.openxmlformats.org/officeDocument/2006/relationships/hyperlink" Target="https://www.ipcc.ch/report/ar6/wg1/"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C09660E004FDEB4D10A5FCF29079B"/>
        <w:category>
          <w:name w:val="General"/>
          <w:gallery w:val="placeholder"/>
        </w:category>
        <w:types>
          <w:type w:val="bbPlcHdr"/>
        </w:types>
        <w:behaviors>
          <w:behavior w:val="content"/>
        </w:behaviors>
        <w:guid w:val="{1A19C30C-2CE6-466F-9497-0ECCE33EAB92}"/>
      </w:docPartPr>
      <w:docPartBody>
        <w:p w:rsidR="00E837F8" w:rsidRDefault="00514E53" w:rsidP="00514E53">
          <w:pPr>
            <w:pStyle w:val="B5BC09660E004FDEB4D10A5FCF29079B"/>
          </w:pPr>
          <w:r>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VIC"/>
    <w:charset w:val="00"/>
    <w:family w:val="roman"/>
    <w:pitch w:val="variable"/>
  </w:font>
  <w:font w:name="VIC SemiBold">
    <w:altName w:val="Calibri"/>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3"/>
    <w:rsid w:val="0030685F"/>
    <w:rsid w:val="0035285C"/>
    <w:rsid w:val="00496E3F"/>
    <w:rsid w:val="004A604F"/>
    <w:rsid w:val="00514E53"/>
    <w:rsid w:val="007C1162"/>
    <w:rsid w:val="00861806"/>
    <w:rsid w:val="0095506E"/>
    <w:rsid w:val="00CF33E2"/>
    <w:rsid w:val="00E83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C09660E004FDEB4D10A5FCF29079B">
    <w:name w:val="B5BC09660E004FDEB4D10A5FCF29079B"/>
    <w:rsid w:val="00514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4327a4-825a-4a05-b052-1a7a1e30ae80">
      <UserInfo>
        <DisplayName>Ruth Charters</DisplayName>
        <AccountId>1154</AccountId>
        <AccountType/>
      </UserInfo>
      <UserInfo>
        <DisplayName>Cathy Heycock</DisplayName>
        <AccountId>795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E94280EA83694F8414FA78403FC84A" ma:contentTypeVersion="9" ma:contentTypeDescription="Create a new document." ma:contentTypeScope="" ma:versionID="741ba303c377d8beb03b19a77f6d045b">
  <xsd:schema xmlns:xsd="http://www.w3.org/2001/XMLSchema" xmlns:xs="http://www.w3.org/2001/XMLSchema" xmlns:p="http://schemas.microsoft.com/office/2006/metadata/properties" xmlns:ns2="f3d3d94a-c5ac-458a-ae6f-25bdd9ba6b72" xmlns:ns3="574327a4-825a-4a05-b052-1a7a1e30ae80" targetNamespace="http://schemas.microsoft.com/office/2006/metadata/properties" ma:root="true" ma:fieldsID="fc2f7ebabcdd9485008f0d8bfb35c2e2" ns2:_="" ns3:_="">
    <xsd:import namespace="f3d3d94a-c5ac-458a-ae6f-25bdd9ba6b72"/>
    <xsd:import namespace="574327a4-825a-4a05-b052-1a7a1e30a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3d94a-c5ac-458a-ae6f-25bdd9ba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DE17-F56B-41C0-BE56-DED0752C0FA5}">
  <ds:schemaRefs>
    <ds:schemaRef ds:uri="http://purl.org/dc/dcmitype/"/>
    <ds:schemaRef ds:uri="http://schemas.openxmlformats.org/package/2006/metadata/core-properties"/>
    <ds:schemaRef ds:uri="http://schemas.microsoft.com/office/2006/metadata/properties"/>
    <ds:schemaRef ds:uri="http://purl.org/dc/terms/"/>
    <ds:schemaRef ds:uri="f3d3d94a-c5ac-458a-ae6f-25bdd9ba6b72"/>
    <ds:schemaRef ds:uri="http://schemas.microsoft.com/office/2006/documentManagement/types"/>
    <ds:schemaRef ds:uri="http://www.w3.org/XML/1998/namespace"/>
    <ds:schemaRef ds:uri="http://purl.org/dc/elements/1.1/"/>
    <ds:schemaRef ds:uri="http://schemas.microsoft.com/office/infopath/2007/PartnerControls"/>
    <ds:schemaRef ds:uri="574327a4-825a-4a05-b052-1a7a1e30ae80"/>
  </ds:schemaRefs>
</ds:datastoreItem>
</file>

<file path=customXml/itemProps2.xml><?xml version="1.0" encoding="utf-8"?>
<ds:datastoreItem xmlns:ds="http://schemas.openxmlformats.org/officeDocument/2006/customXml" ds:itemID="{4A0B262E-8F2F-4ADD-AF07-2B6B5943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3d94a-c5ac-458a-ae6f-25bdd9ba6b72"/>
    <ds:schemaRef ds:uri="574327a4-825a-4a05-b052-1a7a1e30a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8F430-7A60-4225-9E7A-A7AF05EAC77A}">
  <ds:schemaRefs>
    <ds:schemaRef ds:uri="http://schemas.microsoft.com/sharepoint/v3/contenttype/forms"/>
  </ds:schemaRefs>
</ds:datastoreItem>
</file>

<file path=customXml/itemProps4.xml><?xml version="1.0" encoding="utf-8"?>
<ds:datastoreItem xmlns:ds="http://schemas.openxmlformats.org/officeDocument/2006/customXml" ds:itemID="{5FC36C31-B45A-4914-BFCF-767DC2270723}">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15284</Words>
  <Characters>87121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Guideline for minimising greenhouse gas emissions</vt:lpstr>
    </vt:vector>
  </TitlesOfParts>
  <Company/>
  <LinksUpToDate>false</LinksUpToDate>
  <CharactersWithSpaces>102201</CharactersWithSpaces>
  <SharedDoc>false</SharedDoc>
  <HLinks>
    <vt:vector size="1008" baseType="variant">
      <vt:variant>
        <vt:i4>8257573</vt:i4>
      </vt:variant>
      <vt:variant>
        <vt:i4>618</vt:i4>
      </vt:variant>
      <vt:variant>
        <vt:i4>0</vt:i4>
      </vt:variant>
      <vt:variant>
        <vt:i4>5</vt:i4>
      </vt:variant>
      <vt:variant>
        <vt:lpwstr>https://www.communications.gov.au/what-we-do/phone/services-people-disability/accesshub/national-relay-service</vt:lpwstr>
      </vt:variant>
      <vt:variant>
        <vt:lpwstr/>
      </vt:variant>
      <vt:variant>
        <vt:i4>1769514</vt:i4>
      </vt:variant>
      <vt:variant>
        <vt:i4>615</vt:i4>
      </vt:variant>
      <vt:variant>
        <vt:i4>0</vt:i4>
      </vt:variant>
      <vt:variant>
        <vt:i4>5</vt:i4>
      </vt:variant>
      <vt:variant>
        <vt:lpwstr>mailto:contact@epa.vic.gov.au</vt:lpwstr>
      </vt:variant>
      <vt:variant>
        <vt:lpwstr/>
      </vt:variant>
      <vt:variant>
        <vt:i4>6422649</vt:i4>
      </vt:variant>
      <vt:variant>
        <vt:i4>612</vt:i4>
      </vt:variant>
      <vt:variant>
        <vt:i4>0</vt:i4>
      </vt:variant>
      <vt:variant>
        <vt:i4>5</vt:i4>
      </vt:variant>
      <vt:variant>
        <vt:lpwstr>https://www.sustainability.vic.gov.au/energy-efficiency-and-reducing-emissions</vt:lpwstr>
      </vt:variant>
      <vt:variant>
        <vt:lpwstr/>
      </vt:variant>
      <vt:variant>
        <vt:i4>6881317</vt:i4>
      </vt:variant>
      <vt:variant>
        <vt:i4>609</vt:i4>
      </vt:variant>
      <vt:variant>
        <vt:i4>0</vt:i4>
      </vt:variant>
      <vt:variant>
        <vt:i4>5</vt:i4>
      </vt:variant>
      <vt:variant>
        <vt:lpwstr>https://www.industry.gov.au/data-and-publications/national-greenhouse-accounts-factors</vt:lpwstr>
      </vt:variant>
      <vt:variant>
        <vt:lpwstr/>
      </vt:variant>
      <vt:variant>
        <vt:i4>6094951</vt:i4>
      </vt:variant>
      <vt:variant>
        <vt:i4>588</vt:i4>
      </vt:variant>
      <vt:variant>
        <vt:i4>0</vt:i4>
      </vt:variant>
      <vt:variant>
        <vt:i4>5</vt:i4>
      </vt:variant>
      <vt:variant>
        <vt:lpwstr>https://ghgprotocol.org/sites/default/files/standards_supporting/Intro_GHGP_Tech.pdf</vt:lpwstr>
      </vt:variant>
      <vt:variant>
        <vt:lpwstr/>
      </vt:variant>
      <vt:variant>
        <vt:i4>2490429</vt:i4>
      </vt:variant>
      <vt:variant>
        <vt:i4>585</vt:i4>
      </vt:variant>
      <vt:variant>
        <vt:i4>0</vt:i4>
      </vt:variant>
      <vt:variant>
        <vt:i4>5</vt:i4>
      </vt:variant>
      <vt:variant>
        <vt:lpwstr>https://ghgprotocol.org/sites/default/files/standards/Corporate-Value-Chain-Accounting-Reporing-Standard_041613_2.pdf</vt:lpwstr>
      </vt:variant>
      <vt:variant>
        <vt:lpwstr/>
      </vt:variant>
      <vt:variant>
        <vt:i4>3735672</vt:i4>
      </vt:variant>
      <vt:variant>
        <vt:i4>582</vt:i4>
      </vt:variant>
      <vt:variant>
        <vt:i4>0</vt:i4>
      </vt:variant>
      <vt:variant>
        <vt:i4>5</vt:i4>
      </vt:variant>
      <vt:variant>
        <vt:lpwstr>https://ghgprotocol.org/sites/default/files/standards_supporting/Required gases and GWP values_1.pdf</vt:lpwstr>
      </vt:variant>
      <vt:variant>
        <vt:lpwstr/>
      </vt:variant>
      <vt:variant>
        <vt:i4>4063295</vt:i4>
      </vt:variant>
      <vt:variant>
        <vt:i4>579</vt:i4>
      </vt:variant>
      <vt:variant>
        <vt:i4>0</vt:i4>
      </vt:variant>
      <vt:variant>
        <vt:i4>5</vt:i4>
      </vt:variant>
      <vt:variant>
        <vt:lpwstr>https://ghgprotocol.org/corporate-standard</vt:lpwstr>
      </vt:variant>
      <vt:variant>
        <vt:lpwstr/>
      </vt:variant>
      <vt:variant>
        <vt:i4>4653139</vt:i4>
      </vt:variant>
      <vt:variant>
        <vt:i4>576</vt:i4>
      </vt:variant>
      <vt:variant>
        <vt:i4>0</vt:i4>
      </vt:variant>
      <vt:variant>
        <vt:i4>5</vt:i4>
      </vt:variant>
      <vt:variant>
        <vt:lpwstr>https://www.wemeanbusinesscoalition.org/</vt:lpwstr>
      </vt:variant>
      <vt:variant>
        <vt:lpwstr/>
      </vt:variant>
      <vt:variant>
        <vt:i4>1310743</vt:i4>
      </vt:variant>
      <vt:variant>
        <vt:i4>573</vt:i4>
      </vt:variant>
      <vt:variant>
        <vt:i4>0</vt:i4>
      </vt:variant>
      <vt:variant>
        <vt:i4>5</vt:i4>
      </vt:variant>
      <vt:variant>
        <vt:lpwstr>https://www.vmia.vic.gov.au/tools-and-insights/climate-change</vt:lpwstr>
      </vt:variant>
      <vt:variant>
        <vt:lpwstr/>
      </vt:variant>
      <vt:variant>
        <vt:i4>5046363</vt:i4>
      </vt:variant>
      <vt:variant>
        <vt:i4>570</vt:i4>
      </vt:variant>
      <vt:variant>
        <vt:i4>0</vt:i4>
      </vt:variant>
      <vt:variant>
        <vt:i4>5</vt:i4>
      </vt:variant>
      <vt:variant>
        <vt:lpwstr>https://www.epa.gov/ghgemissions/understanding-global-warming-potentials</vt:lpwstr>
      </vt:variant>
      <vt:variant>
        <vt:lpwstr/>
      </vt:variant>
      <vt:variant>
        <vt:i4>7274538</vt:i4>
      </vt:variant>
      <vt:variant>
        <vt:i4>567</vt:i4>
      </vt:variant>
      <vt:variant>
        <vt:i4>0</vt:i4>
      </vt:variant>
      <vt:variant>
        <vt:i4>5</vt:i4>
      </vt:variant>
      <vt:variant>
        <vt:lpwstr>https://unfccc.int/sites/default/files/english_paris_agreement.pdf</vt:lpwstr>
      </vt:variant>
      <vt:variant>
        <vt:lpwstr/>
      </vt:variant>
      <vt:variant>
        <vt:i4>131088</vt:i4>
      </vt:variant>
      <vt:variant>
        <vt:i4>564</vt:i4>
      </vt:variant>
      <vt:variant>
        <vt:i4>0</vt:i4>
      </vt:variant>
      <vt:variant>
        <vt:i4>5</vt:i4>
      </vt:variant>
      <vt:variant>
        <vt:lpwstr>https://assets.bbhub.io/company/sites/60/2020/10/FINAL-2017-TCFD-Report-11052018.pdf</vt:lpwstr>
      </vt:variant>
      <vt:variant>
        <vt:lpwstr/>
      </vt:variant>
      <vt:variant>
        <vt:i4>7471208</vt:i4>
      </vt:variant>
      <vt:variant>
        <vt:i4>561</vt:i4>
      </vt:variant>
      <vt:variant>
        <vt:i4>0</vt:i4>
      </vt:variant>
      <vt:variant>
        <vt:i4>5</vt:i4>
      </vt:variant>
      <vt:variant>
        <vt:lpwstr>https://www.sustainability.vic.gov.au/</vt:lpwstr>
      </vt:variant>
      <vt:variant>
        <vt:lpwstr/>
      </vt:variant>
      <vt:variant>
        <vt:i4>4718675</vt:i4>
      </vt:variant>
      <vt:variant>
        <vt:i4>558</vt:i4>
      </vt:variant>
      <vt:variant>
        <vt:i4>0</vt:i4>
      </vt:variant>
      <vt:variant>
        <vt:i4>5</vt:i4>
      </vt:variant>
      <vt:variant>
        <vt:lpwstr>https://sustainableaustraliafund.com.au/</vt:lpwstr>
      </vt:variant>
      <vt:variant>
        <vt:lpwstr/>
      </vt:variant>
      <vt:variant>
        <vt:i4>6946921</vt:i4>
      </vt:variant>
      <vt:variant>
        <vt:i4>555</vt:i4>
      </vt:variant>
      <vt:variant>
        <vt:i4>0</vt:i4>
      </vt:variant>
      <vt:variant>
        <vt:i4>5</vt:i4>
      </vt:variant>
      <vt:variant>
        <vt:lpwstr>https://www.health.vic.gov.au/environmental-health/climate-change-strategy</vt:lpwstr>
      </vt:variant>
      <vt:variant>
        <vt:lpwstr/>
      </vt:variant>
      <vt:variant>
        <vt:i4>1769488</vt:i4>
      </vt:variant>
      <vt:variant>
        <vt:i4>552</vt:i4>
      </vt:variant>
      <vt:variant>
        <vt:i4>0</vt:i4>
      </vt:variant>
      <vt:variant>
        <vt:i4>5</vt:i4>
      </vt:variant>
      <vt:variant>
        <vt:lpwstr>https://www.energy.vic.gov.au/energy-efficiency/victorian-energy-upgrades</vt:lpwstr>
      </vt:variant>
      <vt:variant>
        <vt:lpwstr/>
      </vt:variant>
      <vt:variant>
        <vt:i4>1441883</vt:i4>
      </vt:variant>
      <vt:variant>
        <vt:i4>549</vt:i4>
      </vt:variant>
      <vt:variant>
        <vt:i4>0</vt:i4>
      </vt:variant>
      <vt:variant>
        <vt:i4>5</vt:i4>
      </vt:variant>
      <vt:variant>
        <vt:lpwstr>https://www.energy.vic.gov.au/renewable-energy/victorias-renewable-energy-targets</vt:lpwstr>
      </vt:variant>
      <vt:variant>
        <vt:lpwstr/>
      </vt:variant>
      <vt:variant>
        <vt:i4>2621539</vt:i4>
      </vt:variant>
      <vt:variant>
        <vt:i4>546</vt:i4>
      </vt:variant>
      <vt:variant>
        <vt:i4>0</vt:i4>
      </vt:variant>
      <vt:variant>
        <vt:i4>5</vt:i4>
      </vt:variant>
      <vt:variant>
        <vt:lpwstr>https://www.climatechange.vic.gov.au/victorian-government-action-on-climate-change</vt:lpwstr>
      </vt:variant>
      <vt:variant>
        <vt:lpwstr/>
      </vt:variant>
      <vt:variant>
        <vt:i4>2752630</vt:i4>
      </vt:variant>
      <vt:variant>
        <vt:i4>543</vt:i4>
      </vt:variant>
      <vt:variant>
        <vt:i4>0</vt:i4>
      </vt:variant>
      <vt:variant>
        <vt:i4>5</vt:i4>
      </vt:variant>
      <vt:variant>
        <vt:lpwstr>https://www.vic.gov.au/sites/default/files/2020-02/Recycling Victoria A new economy.pdf</vt:lpwstr>
      </vt:variant>
      <vt:variant>
        <vt:lpwstr/>
      </vt:variant>
      <vt:variant>
        <vt:i4>7405626</vt:i4>
      </vt:variant>
      <vt:variant>
        <vt:i4>540</vt:i4>
      </vt:variant>
      <vt:variant>
        <vt:i4>0</vt:i4>
      </vt:variant>
      <vt:variant>
        <vt:i4>5</vt:i4>
      </vt:variant>
      <vt:variant>
        <vt:lpwstr>https://www.climatechange.vic.gov.au/victorias-greenhouse-gas-emissions-and-targets</vt:lpwstr>
      </vt:variant>
      <vt:variant>
        <vt:lpwstr/>
      </vt:variant>
      <vt:variant>
        <vt:i4>2162697</vt:i4>
      </vt:variant>
      <vt:variant>
        <vt:i4>537</vt:i4>
      </vt:variant>
      <vt:variant>
        <vt:i4>0</vt:i4>
      </vt:variant>
      <vt:variant>
        <vt:i4>5</vt:i4>
      </vt:variant>
      <vt:variant>
        <vt:lpwstr>https://www.climatechange.vic.gov.au/__data/assets/pdf_file/0029/442964/Victorias-Climate-Science-Report-2019.pdf</vt:lpwstr>
      </vt:variant>
      <vt:variant>
        <vt:lpwstr/>
      </vt:variant>
      <vt:variant>
        <vt:i4>2621539</vt:i4>
      </vt:variant>
      <vt:variant>
        <vt:i4>534</vt:i4>
      </vt:variant>
      <vt:variant>
        <vt:i4>0</vt:i4>
      </vt:variant>
      <vt:variant>
        <vt:i4>5</vt:i4>
      </vt:variant>
      <vt:variant>
        <vt:lpwstr>https://www.climatechange.vic.gov.au/victorian-government-action-on-climate-change</vt:lpwstr>
      </vt:variant>
      <vt:variant>
        <vt:lpwstr/>
      </vt:variant>
      <vt:variant>
        <vt:i4>7405618</vt:i4>
      </vt:variant>
      <vt:variant>
        <vt:i4>531</vt:i4>
      </vt:variant>
      <vt:variant>
        <vt:i4>0</vt:i4>
      </vt:variant>
      <vt:variant>
        <vt:i4>5</vt:i4>
      </vt:variant>
      <vt:variant>
        <vt:lpwstr>https://agriculture.vic.gov.au/climate-and-weather/understanding-carbon-and-emissions/making-cents-of-carbon-and-emissions-on-farm</vt:lpwstr>
      </vt:variant>
      <vt:variant>
        <vt:lpwstr/>
      </vt:variant>
      <vt:variant>
        <vt:i4>6684782</vt:i4>
      </vt:variant>
      <vt:variant>
        <vt:i4>528</vt:i4>
      </vt:variant>
      <vt:variant>
        <vt:i4>0</vt:i4>
      </vt:variant>
      <vt:variant>
        <vt:i4>5</vt:i4>
      </vt:variant>
      <vt:variant>
        <vt:lpwstr>https://agriculture.vic.gov.au/climate-and-weather/policy-programs-action/on-farm-action-plan-pilot-program</vt:lpwstr>
      </vt:variant>
      <vt:variant>
        <vt:lpwstr/>
      </vt:variant>
      <vt:variant>
        <vt:i4>131164</vt:i4>
      </vt:variant>
      <vt:variant>
        <vt:i4>525</vt:i4>
      </vt:variant>
      <vt:variant>
        <vt:i4>0</vt:i4>
      </vt:variant>
      <vt:variant>
        <vt:i4>5</vt:i4>
      </vt:variant>
      <vt:variant>
        <vt:lpwstr>http://agriculture.vic.gov.au/climate-and-weather</vt:lpwstr>
      </vt:variant>
      <vt:variant>
        <vt:lpwstr/>
      </vt:variant>
      <vt:variant>
        <vt:i4>4718592</vt:i4>
      </vt:variant>
      <vt:variant>
        <vt:i4>522</vt:i4>
      </vt:variant>
      <vt:variant>
        <vt:i4>0</vt:i4>
      </vt:variant>
      <vt:variant>
        <vt:i4>5</vt:i4>
      </vt:variant>
      <vt:variant>
        <vt:lpwstr>https://agriculture.vic.gov.au/climate-and-weather/understanding-carbon-and-emissions</vt:lpwstr>
      </vt:variant>
      <vt:variant>
        <vt:lpwstr/>
      </vt:variant>
      <vt:variant>
        <vt:i4>7929908</vt:i4>
      </vt:variant>
      <vt:variant>
        <vt:i4>519</vt:i4>
      </vt:variant>
      <vt:variant>
        <vt:i4>0</vt:i4>
      </vt:variant>
      <vt:variant>
        <vt:i4>5</vt:i4>
      </vt:variant>
      <vt:variant>
        <vt:lpwstr>https://sciencebasedtargets.org/resources/legacy/2020/09/foundations-for-net-zero-executive-summary.pdf</vt:lpwstr>
      </vt:variant>
      <vt:variant>
        <vt:lpwstr/>
      </vt:variant>
      <vt:variant>
        <vt:i4>6291539</vt:i4>
      </vt:variant>
      <vt:variant>
        <vt:i4>516</vt:i4>
      </vt:variant>
      <vt:variant>
        <vt:i4>0</vt:i4>
      </vt:variant>
      <vt:variant>
        <vt:i4>5</vt:i4>
      </vt:variant>
      <vt:variant>
        <vt:lpwstr>https://sciencebasedtargets.org/resources/files/SBT_Value_Chain_Report-1.pdf</vt:lpwstr>
      </vt:variant>
      <vt:variant>
        <vt:lpwstr/>
      </vt:variant>
      <vt:variant>
        <vt:i4>5963864</vt:i4>
      </vt:variant>
      <vt:variant>
        <vt:i4>513</vt:i4>
      </vt:variant>
      <vt:variant>
        <vt:i4>0</vt:i4>
      </vt:variant>
      <vt:variant>
        <vt:i4>5</vt:i4>
      </vt:variant>
      <vt:variant>
        <vt:lpwstr>https://www.there100.org/</vt:lpwstr>
      </vt:variant>
      <vt:variant>
        <vt:lpwstr/>
      </vt:variant>
      <vt:variant>
        <vt:i4>7274601</vt:i4>
      </vt:variant>
      <vt:variant>
        <vt:i4>510</vt:i4>
      </vt:variant>
      <vt:variant>
        <vt:i4>0</vt:i4>
      </vt:variant>
      <vt:variant>
        <vt:i4>5</vt:i4>
      </vt:variant>
      <vt:variant>
        <vt:lpwstr>https://www.energysaver.nsw.gov.au/get-energy-smart/find-technology-guide-your-equipment/electricity-metering-and-monitoring-guide</vt:lpwstr>
      </vt:variant>
      <vt:variant>
        <vt:lpwstr/>
      </vt:variant>
      <vt:variant>
        <vt:i4>8126512</vt:i4>
      </vt:variant>
      <vt:variant>
        <vt:i4>507</vt:i4>
      </vt:variant>
      <vt:variant>
        <vt:i4>0</vt:i4>
      </vt:variant>
      <vt:variant>
        <vt:i4>5</vt:i4>
      </vt:variant>
      <vt:variant>
        <vt:lpwstr>https://www.ipcc.ch/report/ar6/wg1/downloads/report/IPCC_AR6_WGI_SPM_final.pdf</vt:lpwstr>
      </vt:variant>
      <vt:variant>
        <vt:lpwstr/>
      </vt:variant>
      <vt:variant>
        <vt:i4>6488096</vt:i4>
      </vt:variant>
      <vt:variant>
        <vt:i4>504</vt:i4>
      </vt:variant>
      <vt:variant>
        <vt:i4>0</vt:i4>
      </vt:variant>
      <vt:variant>
        <vt:i4>5</vt:i4>
      </vt:variant>
      <vt:variant>
        <vt:lpwstr>https://www.ipcc.ch/site/assets/uploads/2018/05/SYR_AR5_FINAL_full_wcover.pdf</vt:lpwstr>
      </vt:variant>
      <vt:variant>
        <vt:lpwstr/>
      </vt:variant>
      <vt:variant>
        <vt:i4>6946872</vt:i4>
      </vt:variant>
      <vt:variant>
        <vt:i4>501</vt:i4>
      </vt:variant>
      <vt:variant>
        <vt:i4>0</vt:i4>
      </vt:variant>
      <vt:variant>
        <vt:i4>5</vt:i4>
      </vt:variant>
      <vt:variant>
        <vt:lpwstr>https://ghgprotocol.org/sites/default/files/ENCORD-Construction-CO2-Measurement-Protocol-Lo-Res_FINAL_0.pdf</vt:lpwstr>
      </vt:variant>
      <vt:variant>
        <vt:lpwstr/>
      </vt:variant>
      <vt:variant>
        <vt:i4>5767212</vt:i4>
      </vt:variant>
      <vt:variant>
        <vt:i4>498</vt:i4>
      </vt:variant>
      <vt:variant>
        <vt:i4>0</vt:i4>
      </vt:variant>
      <vt:variant>
        <vt:i4>5</vt:i4>
      </vt:variant>
      <vt:variant>
        <vt:lpwstr>https://circulareconomy.europa.eu/platform/sites/default/files/emf_completing_the_picture.pdf</vt:lpwstr>
      </vt:variant>
      <vt:variant>
        <vt:lpwstr/>
      </vt:variant>
      <vt:variant>
        <vt:i4>589847</vt:i4>
      </vt:variant>
      <vt:variant>
        <vt:i4>495</vt:i4>
      </vt:variant>
      <vt:variant>
        <vt:i4>0</vt:i4>
      </vt:variant>
      <vt:variant>
        <vt:i4>5</vt:i4>
      </vt:variant>
      <vt:variant>
        <vt:lpwstr>https://www.dairyaustralia.com.au/land-water-and-climate</vt:lpwstr>
      </vt:variant>
      <vt:variant>
        <vt:lpwstr/>
      </vt:variant>
      <vt:variant>
        <vt:i4>2687079</vt:i4>
      </vt:variant>
      <vt:variant>
        <vt:i4>492</vt:i4>
      </vt:variant>
      <vt:variant>
        <vt:i4>0</vt:i4>
      </vt:variant>
      <vt:variant>
        <vt:i4>5</vt:i4>
      </vt:variant>
      <vt:variant>
        <vt:lpwstr>https://www.csiro.au/en/research/environmental-impacts/climate-change/state-of-the-climate</vt:lpwstr>
      </vt:variant>
      <vt:variant>
        <vt:lpwstr/>
      </vt:variant>
      <vt:variant>
        <vt:i4>8192112</vt:i4>
      </vt:variant>
      <vt:variant>
        <vt:i4>489</vt:i4>
      </vt:variant>
      <vt:variant>
        <vt:i4>0</vt:i4>
      </vt:variant>
      <vt:variant>
        <vt:i4>5</vt:i4>
      </vt:variant>
      <vt:variant>
        <vt:lpwstr>https://compare.energy.vic.gov.au/</vt:lpwstr>
      </vt:variant>
      <vt:variant>
        <vt:lpwstr/>
      </vt:variant>
      <vt:variant>
        <vt:i4>655447</vt:i4>
      </vt:variant>
      <vt:variant>
        <vt:i4>486</vt:i4>
      </vt:variant>
      <vt:variant>
        <vt:i4>0</vt:i4>
      </vt:variant>
      <vt:variant>
        <vt:i4>5</vt:i4>
      </vt:variant>
      <vt:variant>
        <vt:lpwstr>https://www.cmsi.org.au/</vt:lpwstr>
      </vt:variant>
      <vt:variant>
        <vt:lpwstr/>
      </vt:variant>
      <vt:variant>
        <vt:i4>3211311</vt:i4>
      </vt:variant>
      <vt:variant>
        <vt:i4>483</vt:i4>
      </vt:variant>
      <vt:variant>
        <vt:i4>0</vt:i4>
      </vt:variant>
      <vt:variant>
        <vt:i4>5</vt:i4>
      </vt:variant>
      <vt:variant>
        <vt:lpwstr>https://www.climateworksaustralia.org/</vt:lpwstr>
      </vt:variant>
      <vt:variant>
        <vt:lpwstr/>
      </vt:variant>
      <vt:variant>
        <vt:i4>852052</vt:i4>
      </vt:variant>
      <vt:variant>
        <vt:i4>480</vt:i4>
      </vt:variant>
      <vt:variant>
        <vt:i4>0</vt:i4>
      </vt:variant>
      <vt:variant>
        <vt:i4>5</vt:i4>
      </vt:variant>
      <vt:variant>
        <vt:lpwstr>https://www.climateworkscentre.org/project/australian-industry-energy-transitions-initiative/</vt:lpwstr>
      </vt:variant>
      <vt:variant>
        <vt:lpwstr/>
      </vt:variant>
      <vt:variant>
        <vt:i4>6422567</vt:i4>
      </vt:variant>
      <vt:variant>
        <vt:i4>477</vt:i4>
      </vt:variant>
      <vt:variant>
        <vt:i4>0</vt:i4>
      </vt:variant>
      <vt:variant>
        <vt:i4>5</vt:i4>
      </vt:variant>
      <vt:variant>
        <vt:lpwstr>https://www.climateworksaustralia.org/project/decarbonisation-futures/</vt:lpwstr>
      </vt:variant>
      <vt:variant>
        <vt:lpwstr/>
      </vt:variant>
      <vt:variant>
        <vt:i4>5832776</vt:i4>
      </vt:variant>
      <vt:variant>
        <vt:i4>474</vt:i4>
      </vt:variant>
      <vt:variant>
        <vt:i4>0</vt:i4>
      </vt:variant>
      <vt:variant>
        <vt:i4>5</vt:i4>
      </vt:variant>
      <vt:variant>
        <vt:lpwstr>https://www.climateactive.org.au/</vt:lpwstr>
      </vt:variant>
      <vt:variant>
        <vt:lpwstr/>
      </vt:variant>
      <vt:variant>
        <vt:i4>4522003</vt:i4>
      </vt:variant>
      <vt:variant>
        <vt:i4>471</vt:i4>
      </vt:variant>
      <vt:variant>
        <vt:i4>0</vt:i4>
      </vt:variant>
      <vt:variant>
        <vt:i4>5</vt:i4>
      </vt:variant>
      <vt:variant>
        <vt:lpwstr>https://www.melbourne.vic.gov.au/business/sustainable-business/mrep/Pages/renewable-energy-procurement-guide.aspx</vt:lpwstr>
      </vt:variant>
      <vt:variant>
        <vt:lpwstr/>
      </vt:variant>
      <vt:variant>
        <vt:i4>4259932</vt:i4>
      </vt:variant>
      <vt:variant>
        <vt:i4>468</vt:i4>
      </vt:variant>
      <vt:variant>
        <vt:i4>0</vt:i4>
      </vt:variant>
      <vt:variant>
        <vt:i4>5</vt:i4>
      </vt:variant>
      <vt:variant>
        <vt:lpwstr>https://cpd.org.au/2019/03/directors-duties-2019/</vt:lpwstr>
      </vt:variant>
      <vt:variant>
        <vt:lpwstr/>
      </vt:variant>
      <vt:variant>
        <vt:i4>6553641</vt:i4>
      </vt:variant>
      <vt:variant>
        <vt:i4>465</vt:i4>
      </vt:variant>
      <vt:variant>
        <vt:i4>0</vt:i4>
      </vt:variant>
      <vt:variant>
        <vt:i4>5</vt:i4>
      </vt:variant>
      <vt:variant>
        <vt:lpwstr>https://www.c2es.org/wp-content/uploads/2017/09/business-pricing-carbon.pdf</vt:lpwstr>
      </vt:variant>
      <vt:variant>
        <vt:lpwstr/>
      </vt:variant>
      <vt:variant>
        <vt:i4>983117</vt:i4>
      </vt:variant>
      <vt:variant>
        <vt:i4>462</vt:i4>
      </vt:variant>
      <vt:variant>
        <vt:i4>0</vt:i4>
      </vt:variant>
      <vt:variant>
        <vt:i4>5</vt:i4>
      </vt:variant>
      <vt:variant>
        <vt:lpwstr>https://www.carbontrust.com/resources/briefing-what-are-scope-3-emissions</vt:lpwstr>
      </vt:variant>
      <vt:variant>
        <vt:lpwstr/>
      </vt:variant>
      <vt:variant>
        <vt:i4>589854</vt:i4>
      </vt:variant>
      <vt:variant>
        <vt:i4>459</vt:i4>
      </vt:variant>
      <vt:variant>
        <vt:i4>0</vt:i4>
      </vt:variant>
      <vt:variant>
        <vt:i4>5</vt:i4>
      </vt:variant>
      <vt:variant>
        <vt:lpwstr>https://www.cdp.net/en/research/global-reports/engaging-the-chain</vt:lpwstr>
      </vt:variant>
      <vt:variant>
        <vt:lpwstr/>
      </vt:variant>
      <vt:variant>
        <vt:i4>5439567</vt:i4>
      </vt:variant>
      <vt:variant>
        <vt:i4>456</vt:i4>
      </vt:variant>
      <vt:variant>
        <vt:i4>0</vt:i4>
      </vt:variant>
      <vt:variant>
        <vt:i4>5</vt:i4>
      </vt:variant>
      <vt:variant>
        <vt:lpwstr>https://www.cdp.net/en/research/global-reports/putting-a-price-on-carbon</vt:lpwstr>
      </vt:variant>
      <vt:variant>
        <vt:lpwstr/>
      </vt:variant>
      <vt:variant>
        <vt:i4>4456542</vt:i4>
      </vt:variant>
      <vt:variant>
        <vt:i4>453</vt:i4>
      </vt:variant>
      <vt:variant>
        <vt:i4>0</vt:i4>
      </vt:variant>
      <vt:variant>
        <vt:i4>5</vt:i4>
      </vt:variant>
      <vt:variant>
        <vt:lpwstr>https://business.vic.gov.au/business-information/sustainability/cut-energy-costs</vt:lpwstr>
      </vt:variant>
      <vt:variant>
        <vt:lpwstr/>
      </vt:variant>
      <vt:variant>
        <vt:i4>7077934</vt:i4>
      </vt:variant>
      <vt:variant>
        <vt:i4>450</vt:i4>
      </vt:variant>
      <vt:variant>
        <vt:i4>0</vt:i4>
      </vt:variant>
      <vt:variant>
        <vt:i4>5</vt:i4>
      </vt:variant>
      <vt:variant>
        <vt:lpwstr>https://bze.org.au/</vt:lpwstr>
      </vt:variant>
      <vt:variant>
        <vt:lpwstr/>
      </vt:variant>
      <vt:variant>
        <vt:i4>7864355</vt:i4>
      </vt:variant>
      <vt:variant>
        <vt:i4>447</vt:i4>
      </vt:variant>
      <vt:variant>
        <vt:i4>0</vt:i4>
      </vt:variant>
      <vt:variant>
        <vt:i4>5</vt:i4>
      </vt:variant>
      <vt:variant>
        <vt:lpwstr>https://asic.gov.au/about-asic/news-centre/find-a-media-release/2019-releases/19-208mr-asic-updates-guidance-on-climate-change-related-disclosure/</vt:lpwstr>
      </vt:variant>
      <vt:variant>
        <vt:lpwstr/>
      </vt:variant>
      <vt:variant>
        <vt:i4>786521</vt:i4>
      </vt:variant>
      <vt:variant>
        <vt:i4>444</vt:i4>
      </vt:variant>
      <vt:variant>
        <vt:i4>0</vt:i4>
      </vt:variant>
      <vt:variant>
        <vt:i4>5</vt:i4>
      </vt:variant>
      <vt:variant>
        <vt:lpwstr>https://www.apra.gov.au/consultation-on-draft-prudential-practice-guide-on-climate-change-financial-risks</vt:lpwstr>
      </vt:variant>
      <vt:variant>
        <vt:lpwstr/>
      </vt:variant>
      <vt:variant>
        <vt:i4>7733355</vt:i4>
      </vt:variant>
      <vt:variant>
        <vt:i4>441</vt:i4>
      </vt:variant>
      <vt:variant>
        <vt:i4>0</vt:i4>
      </vt:variant>
      <vt:variant>
        <vt:i4>5</vt:i4>
      </vt:variant>
      <vt:variant>
        <vt:lpwstr>https://www.australianpork.com.au/environmental-practices/greenhouse-gases</vt:lpwstr>
      </vt:variant>
      <vt:variant>
        <vt:lpwstr/>
      </vt:variant>
      <vt:variant>
        <vt:i4>7929957</vt:i4>
      </vt:variant>
      <vt:variant>
        <vt:i4>438</vt:i4>
      </vt:variant>
      <vt:variant>
        <vt:i4>0</vt:i4>
      </vt:variant>
      <vt:variant>
        <vt:i4>5</vt:i4>
      </vt:variant>
      <vt:variant>
        <vt:lpwstr>https://www.industry.gov.au/data-and-publications/climate-active-carbon-neutral-standard-for-organisations</vt:lpwstr>
      </vt:variant>
      <vt:variant>
        <vt:lpwstr/>
      </vt:variant>
      <vt:variant>
        <vt:i4>262148</vt:i4>
      </vt:variant>
      <vt:variant>
        <vt:i4>435</vt:i4>
      </vt:variant>
      <vt:variant>
        <vt:i4>0</vt:i4>
      </vt:variant>
      <vt:variant>
        <vt:i4>5</vt:i4>
      </vt:variant>
      <vt:variant>
        <vt:lpwstr>https://www.energy.gov.au/business/industry-sector-guides/building-owners-and-tenants</vt:lpwstr>
      </vt:variant>
      <vt:variant>
        <vt:lpwstr/>
      </vt:variant>
      <vt:variant>
        <vt:i4>7864369</vt:i4>
      </vt:variant>
      <vt:variant>
        <vt:i4>432</vt:i4>
      </vt:variant>
      <vt:variant>
        <vt:i4>0</vt:i4>
      </vt:variant>
      <vt:variant>
        <vt:i4>5</vt:i4>
      </vt:variant>
      <vt:variant>
        <vt:lpwstr>https://www.energy.gov.au/business</vt:lpwstr>
      </vt:variant>
      <vt:variant>
        <vt:lpwstr/>
      </vt:variant>
      <vt:variant>
        <vt:i4>2162786</vt:i4>
      </vt:variant>
      <vt:variant>
        <vt:i4>429</vt:i4>
      </vt:variant>
      <vt:variant>
        <vt:i4>0</vt:i4>
      </vt:variant>
      <vt:variant>
        <vt:i4>5</vt:i4>
      </vt:variant>
      <vt:variant>
        <vt:lpwstr>https://www.environment.gov.au/climate-change/climate-science-data/climate-science/greenhouse-effect</vt:lpwstr>
      </vt:variant>
      <vt:variant>
        <vt:lpwstr>:~:text=Enhanced%20greenhouse%20effect,to%20warming%20of%20the%20Earth.</vt:lpwstr>
      </vt:variant>
      <vt:variant>
        <vt:i4>2359418</vt:i4>
      </vt:variant>
      <vt:variant>
        <vt:i4>426</vt:i4>
      </vt:variant>
      <vt:variant>
        <vt:i4>0</vt:i4>
      </vt:variant>
      <vt:variant>
        <vt:i4>5</vt:i4>
      </vt:variant>
      <vt:variant>
        <vt:lpwstr>https://www.epa.vic.gov.au/about-epa/publications/1825</vt:lpwstr>
      </vt:variant>
      <vt:variant>
        <vt:lpwstr/>
      </vt:variant>
      <vt:variant>
        <vt:i4>2424954</vt:i4>
      </vt:variant>
      <vt:variant>
        <vt:i4>423</vt:i4>
      </vt:variant>
      <vt:variant>
        <vt:i4>0</vt:i4>
      </vt:variant>
      <vt:variant>
        <vt:i4>5</vt:i4>
      </vt:variant>
      <vt:variant>
        <vt:lpwstr>https://www.epa.vic.gov.au/about-epa/publications/1824</vt:lpwstr>
      </vt:variant>
      <vt:variant>
        <vt:lpwstr/>
      </vt:variant>
      <vt:variant>
        <vt:i4>2228346</vt:i4>
      </vt:variant>
      <vt:variant>
        <vt:i4>420</vt:i4>
      </vt:variant>
      <vt:variant>
        <vt:i4>0</vt:i4>
      </vt:variant>
      <vt:variant>
        <vt:i4>5</vt:i4>
      </vt:variant>
      <vt:variant>
        <vt:lpwstr>https://www.epa.vic.gov.au/about-epa/publications/1823</vt:lpwstr>
      </vt:variant>
      <vt:variant>
        <vt:lpwstr/>
      </vt:variant>
      <vt:variant>
        <vt:i4>2293882</vt:i4>
      </vt:variant>
      <vt:variant>
        <vt:i4>417</vt:i4>
      </vt:variant>
      <vt:variant>
        <vt:i4>0</vt:i4>
      </vt:variant>
      <vt:variant>
        <vt:i4>5</vt:i4>
      </vt:variant>
      <vt:variant>
        <vt:lpwstr>https://www.epa.vic.gov.au/about-epa/publications/1822</vt:lpwstr>
      </vt:variant>
      <vt:variant>
        <vt:lpwstr/>
      </vt:variant>
      <vt:variant>
        <vt:i4>2097274</vt:i4>
      </vt:variant>
      <vt:variant>
        <vt:i4>414</vt:i4>
      </vt:variant>
      <vt:variant>
        <vt:i4>0</vt:i4>
      </vt:variant>
      <vt:variant>
        <vt:i4>5</vt:i4>
      </vt:variant>
      <vt:variant>
        <vt:lpwstr>https://www.epa.vic.gov.au/about-epa/publications/1821</vt:lpwstr>
      </vt:variant>
      <vt:variant>
        <vt:lpwstr/>
      </vt:variant>
      <vt:variant>
        <vt:i4>2162810</vt:i4>
      </vt:variant>
      <vt:variant>
        <vt:i4>411</vt:i4>
      </vt:variant>
      <vt:variant>
        <vt:i4>0</vt:i4>
      </vt:variant>
      <vt:variant>
        <vt:i4>5</vt:i4>
      </vt:variant>
      <vt:variant>
        <vt:lpwstr>https://www.epa.vic.gov.au/about-epa/publications/1820</vt:lpwstr>
      </vt:variant>
      <vt:variant>
        <vt:lpwstr/>
      </vt:variant>
      <vt:variant>
        <vt:i4>1638484</vt:i4>
      </vt:variant>
      <vt:variant>
        <vt:i4>408</vt:i4>
      </vt:variant>
      <vt:variant>
        <vt:i4>0</vt:i4>
      </vt:variant>
      <vt:variant>
        <vt:i4>5</vt:i4>
      </vt:variant>
      <vt:variant>
        <vt:lpwstr>https://www.epa.vic.gov.au/about-epa/publications/1819-1</vt:lpwstr>
      </vt:variant>
      <vt:variant>
        <vt:lpwstr/>
      </vt:variant>
      <vt:variant>
        <vt:i4>1048660</vt:i4>
      </vt:variant>
      <vt:variant>
        <vt:i4>405</vt:i4>
      </vt:variant>
      <vt:variant>
        <vt:i4>0</vt:i4>
      </vt:variant>
      <vt:variant>
        <vt:i4>5</vt:i4>
      </vt:variant>
      <vt:variant>
        <vt:lpwstr>https://www.epa.vic.gov.au/about-epa/publications/1810-1</vt:lpwstr>
      </vt:variant>
      <vt:variant>
        <vt:lpwstr/>
      </vt:variant>
      <vt:variant>
        <vt:i4>2293881</vt:i4>
      </vt:variant>
      <vt:variant>
        <vt:i4>402</vt:i4>
      </vt:variant>
      <vt:variant>
        <vt:i4>0</vt:i4>
      </vt:variant>
      <vt:variant>
        <vt:i4>5</vt:i4>
      </vt:variant>
      <vt:variant>
        <vt:lpwstr>https://www.epa.vic.gov.au/about-epa/publications/1812</vt:lpwstr>
      </vt:variant>
      <vt:variant>
        <vt:lpwstr/>
      </vt:variant>
      <vt:variant>
        <vt:i4>1114192</vt:i4>
      </vt:variant>
      <vt:variant>
        <vt:i4>399</vt:i4>
      </vt:variant>
      <vt:variant>
        <vt:i4>0</vt:i4>
      </vt:variant>
      <vt:variant>
        <vt:i4>5</vt:i4>
      </vt:variant>
      <vt:variant>
        <vt:lpwstr>https://www.epa.vic.gov.au/about-epa/publications/1851-1</vt:lpwstr>
      </vt:variant>
      <vt:variant>
        <vt:lpwstr/>
      </vt:variant>
      <vt:variant>
        <vt:i4>1048656</vt:i4>
      </vt:variant>
      <vt:variant>
        <vt:i4>396</vt:i4>
      </vt:variant>
      <vt:variant>
        <vt:i4>0</vt:i4>
      </vt:variant>
      <vt:variant>
        <vt:i4>5</vt:i4>
      </vt:variant>
      <vt:variant>
        <vt:lpwstr>https://www.epa.vic.gov.au/about-epa/publications/1850-1</vt:lpwstr>
      </vt:variant>
      <vt:variant>
        <vt:lpwstr/>
      </vt:variant>
      <vt:variant>
        <vt:i4>2621562</vt:i4>
      </vt:variant>
      <vt:variant>
        <vt:i4>393</vt:i4>
      </vt:variant>
      <vt:variant>
        <vt:i4>0</vt:i4>
      </vt:variant>
      <vt:variant>
        <vt:i4>5</vt:i4>
      </vt:variant>
      <vt:variant>
        <vt:lpwstr>https://www.epa.vic.gov.au/about-epa/publications/2011</vt:lpwstr>
      </vt:variant>
      <vt:variant>
        <vt:lpwstr/>
      </vt:variant>
      <vt:variant>
        <vt:i4>2883704</vt:i4>
      </vt:variant>
      <vt:variant>
        <vt:i4>390</vt:i4>
      </vt:variant>
      <vt:variant>
        <vt:i4>0</vt:i4>
      </vt:variant>
      <vt:variant>
        <vt:i4>5</vt:i4>
      </vt:variant>
      <vt:variant>
        <vt:lpwstr>https://www.epa.vic.gov.au/about-epa/publications/1702</vt:lpwstr>
      </vt:variant>
      <vt:variant>
        <vt:lpwstr/>
      </vt:variant>
      <vt:variant>
        <vt:i4>2556029</vt:i4>
      </vt:variant>
      <vt:variant>
        <vt:i4>387</vt:i4>
      </vt:variant>
      <vt:variant>
        <vt:i4>0</vt:i4>
      </vt:variant>
      <vt:variant>
        <vt:i4>5</vt:i4>
      </vt:variant>
      <vt:variant>
        <vt:lpwstr>https://www.epa.vic.gov.au/about-epa/publications/1856</vt:lpwstr>
      </vt:variant>
      <vt:variant>
        <vt:lpwstr/>
      </vt:variant>
      <vt:variant>
        <vt:i4>3080237</vt:i4>
      </vt:variant>
      <vt:variant>
        <vt:i4>384</vt:i4>
      </vt:variant>
      <vt:variant>
        <vt:i4>0</vt:i4>
      </vt:variant>
      <vt:variant>
        <vt:i4>5</vt:i4>
      </vt:variant>
      <vt:variant>
        <vt:lpwstr>https://www.epa.vic.gov.au/about-epa/laws/new-laws/state-of-knowledge-and-industry-guidance</vt:lpwstr>
      </vt:variant>
      <vt:variant>
        <vt:lpwstr/>
      </vt:variant>
      <vt:variant>
        <vt:i4>1966161</vt:i4>
      </vt:variant>
      <vt:variant>
        <vt:i4>381</vt:i4>
      </vt:variant>
      <vt:variant>
        <vt:i4>0</vt:i4>
      </vt:variant>
      <vt:variant>
        <vt:i4>5</vt:i4>
      </vt:variant>
      <vt:variant>
        <vt:lpwstr>https://www.epa.vic.gov.au/about-epa/publications/1741-1</vt:lpwstr>
      </vt:variant>
      <vt:variant>
        <vt:lpwstr/>
      </vt:variant>
      <vt:variant>
        <vt:i4>1769564</vt:i4>
      </vt:variant>
      <vt:variant>
        <vt:i4>378</vt:i4>
      </vt:variant>
      <vt:variant>
        <vt:i4>0</vt:i4>
      </vt:variant>
      <vt:variant>
        <vt:i4>5</vt:i4>
      </vt:variant>
      <vt:variant>
        <vt:lpwstr>https://www.epa.vic.gov.au/about-epa/publications/1695-1</vt:lpwstr>
      </vt:variant>
      <vt:variant>
        <vt:lpwstr/>
      </vt:variant>
      <vt:variant>
        <vt:i4>852052</vt:i4>
      </vt:variant>
      <vt:variant>
        <vt:i4>375</vt:i4>
      </vt:variant>
      <vt:variant>
        <vt:i4>0</vt:i4>
      </vt:variant>
      <vt:variant>
        <vt:i4>5</vt:i4>
      </vt:variant>
      <vt:variant>
        <vt:lpwstr>https://www.climateworkscentre.org/project/australian-industry-energy-transitions-initiative/</vt:lpwstr>
      </vt:variant>
      <vt:variant>
        <vt:lpwstr/>
      </vt:variant>
      <vt:variant>
        <vt:i4>2556029</vt:i4>
      </vt:variant>
      <vt:variant>
        <vt:i4>372</vt:i4>
      </vt:variant>
      <vt:variant>
        <vt:i4>0</vt:i4>
      </vt:variant>
      <vt:variant>
        <vt:i4>5</vt:i4>
      </vt:variant>
      <vt:variant>
        <vt:lpwstr>https://www.epa.vic.gov.au/about-epa/publications/1856</vt:lpwstr>
      </vt:variant>
      <vt:variant>
        <vt:lpwstr/>
      </vt:variant>
      <vt:variant>
        <vt:i4>4063295</vt:i4>
      </vt:variant>
      <vt:variant>
        <vt:i4>369</vt:i4>
      </vt:variant>
      <vt:variant>
        <vt:i4>0</vt:i4>
      </vt:variant>
      <vt:variant>
        <vt:i4>5</vt:i4>
      </vt:variant>
      <vt:variant>
        <vt:lpwstr>https://ghgprotocol.org/corporate-standard</vt:lpwstr>
      </vt:variant>
      <vt:variant>
        <vt:lpwstr/>
      </vt:variant>
      <vt:variant>
        <vt:i4>2687096</vt:i4>
      </vt:variant>
      <vt:variant>
        <vt:i4>366</vt:i4>
      </vt:variant>
      <vt:variant>
        <vt:i4>0</vt:i4>
      </vt:variant>
      <vt:variant>
        <vt:i4>5</vt:i4>
      </vt:variant>
      <vt:variant>
        <vt:lpwstr>https://ghgprotocol.org/standards/scope-3-standard</vt:lpwstr>
      </vt:variant>
      <vt:variant>
        <vt:lpwstr/>
      </vt:variant>
      <vt:variant>
        <vt:i4>1114192</vt:i4>
      </vt:variant>
      <vt:variant>
        <vt:i4>363</vt:i4>
      </vt:variant>
      <vt:variant>
        <vt:i4>0</vt:i4>
      </vt:variant>
      <vt:variant>
        <vt:i4>5</vt:i4>
      </vt:variant>
      <vt:variant>
        <vt:lpwstr>https://www.epa.vic.gov.au/about-epa/publications/1851-1</vt:lpwstr>
      </vt:variant>
      <vt:variant>
        <vt:lpwstr/>
      </vt:variant>
      <vt:variant>
        <vt:i4>77</vt:i4>
      </vt:variant>
      <vt:variant>
        <vt:i4>360</vt:i4>
      </vt:variant>
      <vt:variant>
        <vt:i4>0</vt:i4>
      </vt:variant>
      <vt:variant>
        <vt:i4>5</vt:i4>
      </vt:variant>
      <vt:variant>
        <vt:lpwstr>https://sciencebasedtargets.org/</vt:lpwstr>
      </vt:variant>
      <vt:variant>
        <vt:lpwstr/>
      </vt:variant>
      <vt:variant>
        <vt:i4>7536687</vt:i4>
      </vt:variant>
      <vt:variant>
        <vt:i4>357</vt:i4>
      </vt:variant>
      <vt:variant>
        <vt:i4>0</vt:i4>
      </vt:variant>
      <vt:variant>
        <vt:i4>5</vt:i4>
      </vt:variant>
      <vt:variant>
        <vt:lpwstr>https://www.sustainability.vic.gov.au/energy-efficiency-and-reducing-emissions/in-a-business/find-an-energy-auditor</vt:lpwstr>
      </vt:variant>
      <vt:variant>
        <vt:lpwstr/>
      </vt:variant>
      <vt:variant>
        <vt:i4>65621</vt:i4>
      </vt:variant>
      <vt:variant>
        <vt:i4>354</vt:i4>
      </vt:variant>
      <vt:variant>
        <vt:i4>0</vt:i4>
      </vt:variant>
      <vt:variant>
        <vt:i4>5</vt:i4>
      </vt:variant>
      <vt:variant>
        <vt:lpwstr>https://www.sustainability.vic.gov.au/energy-efficiency-and-reducing-emissions/in-a-business</vt:lpwstr>
      </vt:variant>
      <vt:variant>
        <vt:lpwstr/>
      </vt:variant>
      <vt:variant>
        <vt:i4>1900622</vt:i4>
      </vt:variant>
      <vt:variant>
        <vt:i4>351</vt:i4>
      </vt:variant>
      <vt:variant>
        <vt:i4>0</vt:i4>
      </vt:variant>
      <vt:variant>
        <vt:i4>5</vt:i4>
      </vt:variant>
      <vt:variant>
        <vt:lpwstr>http://www.cleanenergyregulator.gov.au/NGER/Forms-and-resources/Calculators</vt:lpwstr>
      </vt:variant>
      <vt:variant>
        <vt:lpwstr>Emissions-and-Energy-Threshold-Calculator-202021-and-user-guide</vt:lpwstr>
      </vt:variant>
      <vt:variant>
        <vt:i4>1769488</vt:i4>
      </vt:variant>
      <vt:variant>
        <vt:i4>348</vt:i4>
      </vt:variant>
      <vt:variant>
        <vt:i4>0</vt:i4>
      </vt:variant>
      <vt:variant>
        <vt:i4>5</vt:i4>
      </vt:variant>
      <vt:variant>
        <vt:lpwstr>https://www.energy.vic.gov.au/energy-efficiency/victorian-energy-upgrades</vt:lpwstr>
      </vt:variant>
      <vt:variant>
        <vt:lpwstr/>
      </vt:variant>
      <vt:variant>
        <vt:i4>7274607</vt:i4>
      </vt:variant>
      <vt:variant>
        <vt:i4>345</vt:i4>
      </vt:variant>
      <vt:variant>
        <vt:i4>0</vt:i4>
      </vt:variant>
      <vt:variant>
        <vt:i4>5</vt:i4>
      </vt:variant>
      <vt:variant>
        <vt:lpwstr>https://www.sustainability.vic.gov.au/energy-efficiency-and-reducing-emissions/in-a-business/energy-upgrade-recommendations</vt:lpwstr>
      </vt:variant>
      <vt:variant>
        <vt:lpwstr/>
      </vt:variant>
      <vt:variant>
        <vt:i4>2162793</vt:i4>
      </vt:variant>
      <vt:variant>
        <vt:i4>342</vt:i4>
      </vt:variant>
      <vt:variant>
        <vt:i4>0</vt:i4>
      </vt:variant>
      <vt:variant>
        <vt:i4>5</vt:i4>
      </vt:variant>
      <vt:variant>
        <vt:lpwstr>https://www.sustainability.vic.gov.au/energy-efficiency-and-reducing-emissions/in-a-business/by-sector/energy-efficiency-in-hospitality</vt:lpwstr>
      </vt:variant>
      <vt:variant>
        <vt:lpwstr/>
      </vt:variant>
      <vt:variant>
        <vt:i4>77</vt:i4>
      </vt:variant>
      <vt:variant>
        <vt:i4>339</vt:i4>
      </vt:variant>
      <vt:variant>
        <vt:i4>0</vt:i4>
      </vt:variant>
      <vt:variant>
        <vt:i4>5</vt:i4>
      </vt:variant>
      <vt:variant>
        <vt:lpwstr>https://sciencebasedtargets.org/</vt:lpwstr>
      </vt:variant>
      <vt:variant>
        <vt:lpwstr/>
      </vt:variant>
      <vt:variant>
        <vt:i4>4063295</vt:i4>
      </vt:variant>
      <vt:variant>
        <vt:i4>336</vt:i4>
      </vt:variant>
      <vt:variant>
        <vt:i4>0</vt:i4>
      </vt:variant>
      <vt:variant>
        <vt:i4>5</vt:i4>
      </vt:variant>
      <vt:variant>
        <vt:lpwstr>https://ghgprotocol.org/corporate-standard</vt:lpwstr>
      </vt:variant>
      <vt:variant>
        <vt:lpwstr/>
      </vt:variant>
      <vt:variant>
        <vt:i4>2621562</vt:i4>
      </vt:variant>
      <vt:variant>
        <vt:i4>333</vt:i4>
      </vt:variant>
      <vt:variant>
        <vt:i4>0</vt:i4>
      </vt:variant>
      <vt:variant>
        <vt:i4>5</vt:i4>
      </vt:variant>
      <vt:variant>
        <vt:lpwstr>https://www.epa.vic.gov.au/about-epa/publications/2011</vt:lpwstr>
      </vt:variant>
      <vt:variant>
        <vt:lpwstr/>
      </vt:variant>
      <vt:variant>
        <vt:i4>2359407</vt:i4>
      </vt:variant>
      <vt:variant>
        <vt:i4>330</vt:i4>
      </vt:variant>
      <vt:variant>
        <vt:i4>0</vt:i4>
      </vt:variant>
      <vt:variant>
        <vt:i4>5</vt:i4>
      </vt:variant>
      <vt:variant>
        <vt:lpwstr>https://www.epa.vic.gov.au/for-business/find-a-topic/environment-protection-laws-and-regulations/implementing-the-general-environmental-duty---a-guide-for-licence-holders</vt:lpwstr>
      </vt:variant>
      <vt:variant>
        <vt:lpwstr/>
      </vt:variant>
      <vt:variant>
        <vt:i4>2621539</vt:i4>
      </vt:variant>
      <vt:variant>
        <vt:i4>327</vt:i4>
      </vt:variant>
      <vt:variant>
        <vt:i4>0</vt:i4>
      </vt:variant>
      <vt:variant>
        <vt:i4>5</vt:i4>
      </vt:variant>
      <vt:variant>
        <vt:lpwstr>https://www.climatechange.vic.gov.au/victorian-government-action-on-climate-change</vt:lpwstr>
      </vt:variant>
      <vt:variant>
        <vt:lpwstr/>
      </vt:variant>
      <vt:variant>
        <vt:i4>2752621</vt:i4>
      </vt:variant>
      <vt:variant>
        <vt:i4>324</vt:i4>
      </vt:variant>
      <vt:variant>
        <vt:i4>0</vt:i4>
      </vt:variant>
      <vt:variant>
        <vt:i4>5</vt:i4>
      </vt:variant>
      <vt:variant>
        <vt:lpwstr>https://www.climatechange.vic.gov.au/victorias-climate-change-strategy</vt:lpwstr>
      </vt:variant>
      <vt:variant>
        <vt:lpwstr/>
      </vt:variant>
      <vt:variant>
        <vt:i4>2556029</vt:i4>
      </vt:variant>
      <vt:variant>
        <vt:i4>321</vt:i4>
      </vt:variant>
      <vt:variant>
        <vt:i4>0</vt:i4>
      </vt:variant>
      <vt:variant>
        <vt:i4>5</vt:i4>
      </vt:variant>
      <vt:variant>
        <vt:lpwstr>https://www.epa.vic.gov.au/about-epa/publications/1856</vt:lpwstr>
      </vt:variant>
      <vt:variant>
        <vt:lpwstr/>
      </vt:variant>
      <vt:variant>
        <vt:i4>2556029</vt:i4>
      </vt:variant>
      <vt:variant>
        <vt:i4>318</vt:i4>
      </vt:variant>
      <vt:variant>
        <vt:i4>0</vt:i4>
      </vt:variant>
      <vt:variant>
        <vt:i4>5</vt:i4>
      </vt:variant>
      <vt:variant>
        <vt:lpwstr>https://www.epa.vic.gov.au/about-epa/publications/1856</vt:lpwstr>
      </vt:variant>
      <vt:variant>
        <vt:lpwstr/>
      </vt:variant>
      <vt:variant>
        <vt:i4>3866664</vt:i4>
      </vt:variant>
      <vt:variant>
        <vt:i4>315</vt:i4>
      </vt:variant>
      <vt:variant>
        <vt:i4>0</vt:i4>
      </vt:variant>
      <vt:variant>
        <vt:i4>5</vt:i4>
      </vt:variant>
      <vt:variant>
        <vt:lpwstr>https://www.dcceew.gov.au/environment/protection/ozone/legislation</vt:lpwstr>
      </vt:variant>
      <vt:variant>
        <vt:lpwstr/>
      </vt:variant>
      <vt:variant>
        <vt:i4>6160456</vt:i4>
      </vt:variant>
      <vt:variant>
        <vt:i4>312</vt:i4>
      </vt:variant>
      <vt:variant>
        <vt:i4>0</vt:i4>
      </vt:variant>
      <vt:variant>
        <vt:i4>5</vt:i4>
      </vt:variant>
      <vt:variant>
        <vt:lpwstr>https://www.arctick.org/</vt:lpwstr>
      </vt:variant>
      <vt:variant>
        <vt:lpwstr/>
      </vt:variant>
      <vt:variant>
        <vt:i4>3604598</vt:i4>
      </vt:variant>
      <vt:variant>
        <vt:i4>309</vt:i4>
      </vt:variant>
      <vt:variant>
        <vt:i4>0</vt:i4>
      </vt:variant>
      <vt:variant>
        <vt:i4>5</vt:i4>
      </vt:variant>
      <vt:variant>
        <vt:lpwstr>https://www.environment.gov.au/protection/ozone/legislation</vt:lpwstr>
      </vt:variant>
      <vt:variant>
        <vt:lpwstr/>
      </vt:variant>
      <vt:variant>
        <vt:i4>262148</vt:i4>
      </vt:variant>
      <vt:variant>
        <vt:i4>306</vt:i4>
      </vt:variant>
      <vt:variant>
        <vt:i4>0</vt:i4>
      </vt:variant>
      <vt:variant>
        <vt:i4>5</vt:i4>
      </vt:variant>
      <vt:variant>
        <vt:lpwstr>https://www.energy.gov.au/business/industry-sector-guides/building-owners-and-tenants</vt:lpwstr>
      </vt:variant>
      <vt:variant>
        <vt:lpwstr/>
      </vt:variant>
      <vt:variant>
        <vt:i4>4522003</vt:i4>
      </vt:variant>
      <vt:variant>
        <vt:i4>303</vt:i4>
      </vt:variant>
      <vt:variant>
        <vt:i4>0</vt:i4>
      </vt:variant>
      <vt:variant>
        <vt:i4>5</vt:i4>
      </vt:variant>
      <vt:variant>
        <vt:lpwstr>https://www.melbourne.vic.gov.au/business/sustainable-business/mrep/Pages/renewable-energy-procurement-guide.aspx</vt:lpwstr>
      </vt:variant>
      <vt:variant>
        <vt:lpwstr/>
      </vt:variant>
      <vt:variant>
        <vt:i4>7471165</vt:i4>
      </vt:variant>
      <vt:variant>
        <vt:i4>300</vt:i4>
      </vt:variant>
      <vt:variant>
        <vt:i4>0</vt:i4>
      </vt:variant>
      <vt:variant>
        <vt:i4>5</vt:i4>
      </vt:variant>
      <vt:variant>
        <vt:lpwstr>https://www.energy.gov.au/</vt:lpwstr>
      </vt:variant>
      <vt:variant>
        <vt:lpwstr/>
      </vt:variant>
      <vt:variant>
        <vt:i4>6750330</vt:i4>
      </vt:variant>
      <vt:variant>
        <vt:i4>297</vt:i4>
      </vt:variant>
      <vt:variant>
        <vt:i4>0</vt:i4>
      </vt:variant>
      <vt:variant>
        <vt:i4>5</vt:i4>
      </vt:variant>
      <vt:variant>
        <vt:lpwstr>https://www.energy.vic.gov.au/</vt:lpwstr>
      </vt:variant>
      <vt:variant>
        <vt:lpwstr/>
      </vt:variant>
      <vt:variant>
        <vt:i4>1900629</vt:i4>
      </vt:variant>
      <vt:variant>
        <vt:i4>294</vt:i4>
      </vt:variant>
      <vt:variant>
        <vt:i4>0</vt:i4>
      </vt:variant>
      <vt:variant>
        <vt:i4>5</vt:i4>
      </vt:variant>
      <vt:variant>
        <vt:lpwstr>https://www.energyrating.gov.au/</vt:lpwstr>
      </vt:variant>
      <vt:variant>
        <vt:lpwstr/>
      </vt:variant>
      <vt:variant>
        <vt:i4>8323128</vt:i4>
      </vt:variant>
      <vt:variant>
        <vt:i4>291</vt:i4>
      </vt:variant>
      <vt:variant>
        <vt:i4>0</vt:i4>
      </vt:variant>
      <vt:variant>
        <vt:i4>5</vt:i4>
      </vt:variant>
      <vt:variant>
        <vt:lpwstr>http://www.vic.gov.au/recycling</vt:lpwstr>
      </vt:variant>
      <vt:variant>
        <vt:lpwstr/>
      </vt:variant>
      <vt:variant>
        <vt:i4>2556029</vt:i4>
      </vt:variant>
      <vt:variant>
        <vt:i4>288</vt:i4>
      </vt:variant>
      <vt:variant>
        <vt:i4>0</vt:i4>
      </vt:variant>
      <vt:variant>
        <vt:i4>5</vt:i4>
      </vt:variant>
      <vt:variant>
        <vt:lpwstr>https://www.epa.vic.gov.au/about-epa/publications/1856</vt:lpwstr>
      </vt:variant>
      <vt:variant>
        <vt:lpwstr/>
      </vt:variant>
      <vt:variant>
        <vt:i4>5832776</vt:i4>
      </vt:variant>
      <vt:variant>
        <vt:i4>279</vt:i4>
      </vt:variant>
      <vt:variant>
        <vt:i4>0</vt:i4>
      </vt:variant>
      <vt:variant>
        <vt:i4>5</vt:i4>
      </vt:variant>
      <vt:variant>
        <vt:lpwstr>https://www.climateactive.org.au/</vt:lpwstr>
      </vt:variant>
      <vt:variant>
        <vt:lpwstr/>
      </vt:variant>
      <vt:variant>
        <vt:i4>6094951</vt:i4>
      </vt:variant>
      <vt:variant>
        <vt:i4>276</vt:i4>
      </vt:variant>
      <vt:variant>
        <vt:i4>0</vt:i4>
      </vt:variant>
      <vt:variant>
        <vt:i4>5</vt:i4>
      </vt:variant>
      <vt:variant>
        <vt:lpwstr>https://ghgprotocol.org/sites/default/files/standards_supporting/Intro_GHGP_Tech.pdf</vt:lpwstr>
      </vt:variant>
      <vt:variant>
        <vt:lpwstr/>
      </vt:variant>
      <vt:variant>
        <vt:i4>2490429</vt:i4>
      </vt:variant>
      <vt:variant>
        <vt:i4>273</vt:i4>
      </vt:variant>
      <vt:variant>
        <vt:i4>0</vt:i4>
      </vt:variant>
      <vt:variant>
        <vt:i4>5</vt:i4>
      </vt:variant>
      <vt:variant>
        <vt:lpwstr>https://ghgprotocol.org/sites/default/files/standards/Corporate-Value-Chain-Accounting-Reporing-Standard_041613_2.pdf</vt:lpwstr>
      </vt:variant>
      <vt:variant>
        <vt:lpwstr/>
      </vt:variant>
      <vt:variant>
        <vt:i4>7929957</vt:i4>
      </vt:variant>
      <vt:variant>
        <vt:i4>270</vt:i4>
      </vt:variant>
      <vt:variant>
        <vt:i4>0</vt:i4>
      </vt:variant>
      <vt:variant>
        <vt:i4>5</vt:i4>
      </vt:variant>
      <vt:variant>
        <vt:lpwstr>https://www.industry.gov.au/data-and-publications/climate-active-carbon-neutral-standard-for-organisations</vt:lpwstr>
      </vt:variant>
      <vt:variant>
        <vt:lpwstr/>
      </vt:variant>
      <vt:variant>
        <vt:i4>6488124</vt:i4>
      </vt:variant>
      <vt:variant>
        <vt:i4>267</vt:i4>
      </vt:variant>
      <vt:variant>
        <vt:i4>0</vt:i4>
      </vt:variant>
      <vt:variant>
        <vt:i4>5</vt:i4>
      </vt:variant>
      <vt:variant>
        <vt:lpwstr>https://www.iso.org/standard/66453.html</vt:lpwstr>
      </vt:variant>
      <vt:variant>
        <vt:lpwstr/>
      </vt:variant>
      <vt:variant>
        <vt:i4>4063295</vt:i4>
      </vt:variant>
      <vt:variant>
        <vt:i4>264</vt:i4>
      </vt:variant>
      <vt:variant>
        <vt:i4>0</vt:i4>
      </vt:variant>
      <vt:variant>
        <vt:i4>5</vt:i4>
      </vt:variant>
      <vt:variant>
        <vt:lpwstr>https://ghgprotocol.org/corporate-standard</vt:lpwstr>
      </vt:variant>
      <vt:variant>
        <vt:lpwstr/>
      </vt:variant>
      <vt:variant>
        <vt:i4>5832776</vt:i4>
      </vt:variant>
      <vt:variant>
        <vt:i4>261</vt:i4>
      </vt:variant>
      <vt:variant>
        <vt:i4>0</vt:i4>
      </vt:variant>
      <vt:variant>
        <vt:i4>5</vt:i4>
      </vt:variant>
      <vt:variant>
        <vt:lpwstr>https://www.climateactive.org.au/</vt:lpwstr>
      </vt:variant>
      <vt:variant>
        <vt:lpwstr/>
      </vt:variant>
      <vt:variant>
        <vt:i4>6029425</vt:i4>
      </vt:variant>
      <vt:variant>
        <vt:i4>258</vt:i4>
      </vt:variant>
      <vt:variant>
        <vt:i4>0</vt:i4>
      </vt:variant>
      <vt:variant>
        <vt:i4>5</vt:i4>
      </vt:variant>
      <vt:variant>
        <vt:lpwstr>https://ghgprotocol.org/calculation-tools</vt:lpwstr>
      </vt:variant>
      <vt:variant>
        <vt:lpwstr>sector_specific_tools_id</vt:lpwstr>
      </vt:variant>
      <vt:variant>
        <vt:i4>6881317</vt:i4>
      </vt:variant>
      <vt:variant>
        <vt:i4>255</vt:i4>
      </vt:variant>
      <vt:variant>
        <vt:i4>0</vt:i4>
      </vt:variant>
      <vt:variant>
        <vt:i4>5</vt:i4>
      </vt:variant>
      <vt:variant>
        <vt:lpwstr>https://www.industry.gov.au/data-and-publications/national-greenhouse-accounts-factors</vt:lpwstr>
      </vt:variant>
      <vt:variant>
        <vt:lpwstr/>
      </vt:variant>
      <vt:variant>
        <vt:i4>131087</vt:i4>
      </vt:variant>
      <vt:variant>
        <vt:i4>252</vt:i4>
      </vt:variant>
      <vt:variant>
        <vt:i4>0</vt:i4>
      </vt:variant>
      <vt:variant>
        <vt:i4>5</vt:i4>
      </vt:variant>
      <vt:variant>
        <vt:lpwstr>https://www.sustainability.vic.gov.au/energy-efficiency-and-reducing-emissions/in-a-business/understand-your-business-energy-bill</vt:lpwstr>
      </vt:variant>
      <vt:variant>
        <vt:lpwstr/>
      </vt:variant>
      <vt:variant>
        <vt:i4>2883704</vt:i4>
      </vt:variant>
      <vt:variant>
        <vt:i4>249</vt:i4>
      </vt:variant>
      <vt:variant>
        <vt:i4>0</vt:i4>
      </vt:variant>
      <vt:variant>
        <vt:i4>5</vt:i4>
      </vt:variant>
      <vt:variant>
        <vt:lpwstr>https://www.epa.vic.gov.au/about-epa/publications/1702</vt:lpwstr>
      </vt:variant>
      <vt:variant>
        <vt:lpwstr/>
      </vt:variant>
      <vt:variant>
        <vt:i4>2621562</vt:i4>
      </vt:variant>
      <vt:variant>
        <vt:i4>246</vt:i4>
      </vt:variant>
      <vt:variant>
        <vt:i4>0</vt:i4>
      </vt:variant>
      <vt:variant>
        <vt:i4>5</vt:i4>
      </vt:variant>
      <vt:variant>
        <vt:lpwstr>https://www.epa.vic.gov.au/about-epa/publications/2011</vt:lpwstr>
      </vt:variant>
      <vt:variant>
        <vt:lpwstr/>
      </vt:variant>
      <vt:variant>
        <vt:i4>1310812</vt:i4>
      </vt:variant>
      <vt:variant>
        <vt:i4>231</vt:i4>
      </vt:variant>
      <vt:variant>
        <vt:i4>0</vt:i4>
      </vt:variant>
      <vt:variant>
        <vt:i4>5</vt:i4>
      </vt:variant>
      <vt:variant>
        <vt:lpwstr>https://www.epa.vic.gov.au/about-epa/publications/1798-2</vt:lpwstr>
      </vt:variant>
      <vt:variant>
        <vt:lpwstr/>
      </vt:variant>
      <vt:variant>
        <vt:i4>2687095</vt:i4>
      </vt:variant>
      <vt:variant>
        <vt:i4>228</vt:i4>
      </vt:variant>
      <vt:variant>
        <vt:i4>0</vt:i4>
      </vt:variant>
      <vt:variant>
        <vt:i4>5</vt:i4>
      </vt:variant>
      <vt:variant>
        <vt:lpwstr>https://www.epa.vic.gov.au/about-epa/what-we-do/epa-regulatory-approach</vt:lpwstr>
      </vt:variant>
      <vt:variant>
        <vt:lpwstr/>
      </vt:variant>
      <vt:variant>
        <vt:i4>2556029</vt:i4>
      </vt:variant>
      <vt:variant>
        <vt:i4>225</vt:i4>
      </vt:variant>
      <vt:variant>
        <vt:i4>0</vt:i4>
      </vt:variant>
      <vt:variant>
        <vt:i4>5</vt:i4>
      </vt:variant>
      <vt:variant>
        <vt:lpwstr>https://www.epa.vic.gov.au/about-epa/publications/1856</vt:lpwstr>
      </vt:variant>
      <vt:variant>
        <vt:lpwstr/>
      </vt:variant>
      <vt:variant>
        <vt:i4>2556029</vt:i4>
      </vt:variant>
      <vt:variant>
        <vt:i4>222</vt:i4>
      </vt:variant>
      <vt:variant>
        <vt:i4>0</vt:i4>
      </vt:variant>
      <vt:variant>
        <vt:i4>5</vt:i4>
      </vt:variant>
      <vt:variant>
        <vt:lpwstr>https://www.epa.vic.gov.au/about-epa/publications/1856</vt:lpwstr>
      </vt:variant>
      <vt:variant>
        <vt:lpwstr/>
      </vt:variant>
      <vt:variant>
        <vt:i4>1966161</vt:i4>
      </vt:variant>
      <vt:variant>
        <vt:i4>219</vt:i4>
      </vt:variant>
      <vt:variant>
        <vt:i4>0</vt:i4>
      </vt:variant>
      <vt:variant>
        <vt:i4>5</vt:i4>
      </vt:variant>
      <vt:variant>
        <vt:lpwstr>https://www.epa.vic.gov.au/about-epa/publications/1741-1</vt:lpwstr>
      </vt:variant>
      <vt:variant>
        <vt:lpwstr/>
      </vt:variant>
      <vt:variant>
        <vt:i4>2752621</vt:i4>
      </vt:variant>
      <vt:variant>
        <vt:i4>216</vt:i4>
      </vt:variant>
      <vt:variant>
        <vt:i4>0</vt:i4>
      </vt:variant>
      <vt:variant>
        <vt:i4>5</vt:i4>
      </vt:variant>
      <vt:variant>
        <vt:lpwstr>https://www.climatechange.vic.gov.au/victorias-climate-change-strategy</vt:lpwstr>
      </vt:variant>
      <vt:variant>
        <vt:lpwstr/>
      </vt:variant>
      <vt:variant>
        <vt:i4>7274538</vt:i4>
      </vt:variant>
      <vt:variant>
        <vt:i4>213</vt:i4>
      </vt:variant>
      <vt:variant>
        <vt:i4>0</vt:i4>
      </vt:variant>
      <vt:variant>
        <vt:i4>5</vt:i4>
      </vt:variant>
      <vt:variant>
        <vt:lpwstr>https://unfccc.int/sites/default/files/english_paris_agreement.pdf</vt:lpwstr>
      </vt:variant>
      <vt:variant>
        <vt:lpwstr/>
      </vt:variant>
      <vt:variant>
        <vt:i4>2359407</vt:i4>
      </vt:variant>
      <vt:variant>
        <vt:i4>210</vt:i4>
      </vt:variant>
      <vt:variant>
        <vt:i4>0</vt:i4>
      </vt:variant>
      <vt:variant>
        <vt:i4>5</vt:i4>
      </vt:variant>
      <vt:variant>
        <vt:lpwstr>https://www.epa.vic.gov.au/for-business/find-a-topic/environment-protection-laws-and-regulations/implementing-the-general-environmental-duty---a-guide-for-licence-holders</vt:lpwstr>
      </vt:variant>
      <vt:variant>
        <vt:lpwstr/>
      </vt:variant>
      <vt:variant>
        <vt:i4>393244</vt:i4>
      </vt:variant>
      <vt:variant>
        <vt:i4>207</vt:i4>
      </vt:variant>
      <vt:variant>
        <vt:i4>0</vt:i4>
      </vt:variant>
      <vt:variant>
        <vt:i4>5</vt:i4>
      </vt:variant>
      <vt:variant>
        <vt:lpwstr>https://www.legislation.vic.gov.au/in-force/acts/environment-protection-act-2017/004</vt:lpwstr>
      </vt:variant>
      <vt:variant>
        <vt:lpwstr/>
      </vt:variant>
      <vt:variant>
        <vt:i4>1245232</vt:i4>
      </vt:variant>
      <vt:variant>
        <vt:i4>200</vt:i4>
      </vt:variant>
      <vt:variant>
        <vt:i4>0</vt:i4>
      </vt:variant>
      <vt:variant>
        <vt:i4>5</vt:i4>
      </vt:variant>
      <vt:variant>
        <vt:lpwstr/>
      </vt:variant>
      <vt:variant>
        <vt:lpwstr>_Toc114046134</vt:lpwstr>
      </vt:variant>
      <vt:variant>
        <vt:i4>1245232</vt:i4>
      </vt:variant>
      <vt:variant>
        <vt:i4>194</vt:i4>
      </vt:variant>
      <vt:variant>
        <vt:i4>0</vt:i4>
      </vt:variant>
      <vt:variant>
        <vt:i4>5</vt:i4>
      </vt:variant>
      <vt:variant>
        <vt:lpwstr/>
      </vt:variant>
      <vt:variant>
        <vt:lpwstr>_Toc114046133</vt:lpwstr>
      </vt:variant>
      <vt:variant>
        <vt:i4>1245232</vt:i4>
      </vt:variant>
      <vt:variant>
        <vt:i4>188</vt:i4>
      </vt:variant>
      <vt:variant>
        <vt:i4>0</vt:i4>
      </vt:variant>
      <vt:variant>
        <vt:i4>5</vt:i4>
      </vt:variant>
      <vt:variant>
        <vt:lpwstr/>
      </vt:variant>
      <vt:variant>
        <vt:lpwstr>_Toc114046132</vt:lpwstr>
      </vt:variant>
      <vt:variant>
        <vt:i4>1245232</vt:i4>
      </vt:variant>
      <vt:variant>
        <vt:i4>182</vt:i4>
      </vt:variant>
      <vt:variant>
        <vt:i4>0</vt:i4>
      </vt:variant>
      <vt:variant>
        <vt:i4>5</vt:i4>
      </vt:variant>
      <vt:variant>
        <vt:lpwstr/>
      </vt:variant>
      <vt:variant>
        <vt:lpwstr>_Toc114046131</vt:lpwstr>
      </vt:variant>
      <vt:variant>
        <vt:i4>1245232</vt:i4>
      </vt:variant>
      <vt:variant>
        <vt:i4>176</vt:i4>
      </vt:variant>
      <vt:variant>
        <vt:i4>0</vt:i4>
      </vt:variant>
      <vt:variant>
        <vt:i4>5</vt:i4>
      </vt:variant>
      <vt:variant>
        <vt:lpwstr/>
      </vt:variant>
      <vt:variant>
        <vt:lpwstr>_Toc114046130</vt:lpwstr>
      </vt:variant>
      <vt:variant>
        <vt:i4>1179696</vt:i4>
      </vt:variant>
      <vt:variant>
        <vt:i4>170</vt:i4>
      </vt:variant>
      <vt:variant>
        <vt:i4>0</vt:i4>
      </vt:variant>
      <vt:variant>
        <vt:i4>5</vt:i4>
      </vt:variant>
      <vt:variant>
        <vt:lpwstr/>
      </vt:variant>
      <vt:variant>
        <vt:lpwstr>_Toc114046129</vt:lpwstr>
      </vt:variant>
      <vt:variant>
        <vt:i4>1179696</vt:i4>
      </vt:variant>
      <vt:variant>
        <vt:i4>164</vt:i4>
      </vt:variant>
      <vt:variant>
        <vt:i4>0</vt:i4>
      </vt:variant>
      <vt:variant>
        <vt:i4>5</vt:i4>
      </vt:variant>
      <vt:variant>
        <vt:lpwstr/>
      </vt:variant>
      <vt:variant>
        <vt:lpwstr>_Toc114046128</vt:lpwstr>
      </vt:variant>
      <vt:variant>
        <vt:i4>1179696</vt:i4>
      </vt:variant>
      <vt:variant>
        <vt:i4>158</vt:i4>
      </vt:variant>
      <vt:variant>
        <vt:i4>0</vt:i4>
      </vt:variant>
      <vt:variant>
        <vt:i4>5</vt:i4>
      </vt:variant>
      <vt:variant>
        <vt:lpwstr/>
      </vt:variant>
      <vt:variant>
        <vt:lpwstr>_Toc114046127</vt:lpwstr>
      </vt:variant>
      <vt:variant>
        <vt:i4>1179696</vt:i4>
      </vt:variant>
      <vt:variant>
        <vt:i4>152</vt:i4>
      </vt:variant>
      <vt:variant>
        <vt:i4>0</vt:i4>
      </vt:variant>
      <vt:variant>
        <vt:i4>5</vt:i4>
      </vt:variant>
      <vt:variant>
        <vt:lpwstr/>
      </vt:variant>
      <vt:variant>
        <vt:lpwstr>_Toc114046126</vt:lpwstr>
      </vt:variant>
      <vt:variant>
        <vt:i4>1179696</vt:i4>
      </vt:variant>
      <vt:variant>
        <vt:i4>146</vt:i4>
      </vt:variant>
      <vt:variant>
        <vt:i4>0</vt:i4>
      </vt:variant>
      <vt:variant>
        <vt:i4>5</vt:i4>
      </vt:variant>
      <vt:variant>
        <vt:lpwstr/>
      </vt:variant>
      <vt:variant>
        <vt:lpwstr>_Toc114046125</vt:lpwstr>
      </vt:variant>
      <vt:variant>
        <vt:i4>1179696</vt:i4>
      </vt:variant>
      <vt:variant>
        <vt:i4>140</vt:i4>
      </vt:variant>
      <vt:variant>
        <vt:i4>0</vt:i4>
      </vt:variant>
      <vt:variant>
        <vt:i4>5</vt:i4>
      </vt:variant>
      <vt:variant>
        <vt:lpwstr/>
      </vt:variant>
      <vt:variant>
        <vt:lpwstr>_Toc114046124</vt:lpwstr>
      </vt:variant>
      <vt:variant>
        <vt:i4>1179696</vt:i4>
      </vt:variant>
      <vt:variant>
        <vt:i4>134</vt:i4>
      </vt:variant>
      <vt:variant>
        <vt:i4>0</vt:i4>
      </vt:variant>
      <vt:variant>
        <vt:i4>5</vt:i4>
      </vt:variant>
      <vt:variant>
        <vt:lpwstr/>
      </vt:variant>
      <vt:variant>
        <vt:lpwstr>_Toc114046123</vt:lpwstr>
      </vt:variant>
      <vt:variant>
        <vt:i4>1179696</vt:i4>
      </vt:variant>
      <vt:variant>
        <vt:i4>128</vt:i4>
      </vt:variant>
      <vt:variant>
        <vt:i4>0</vt:i4>
      </vt:variant>
      <vt:variant>
        <vt:i4>5</vt:i4>
      </vt:variant>
      <vt:variant>
        <vt:lpwstr/>
      </vt:variant>
      <vt:variant>
        <vt:lpwstr>_Toc114046122</vt:lpwstr>
      </vt:variant>
      <vt:variant>
        <vt:i4>1179696</vt:i4>
      </vt:variant>
      <vt:variant>
        <vt:i4>122</vt:i4>
      </vt:variant>
      <vt:variant>
        <vt:i4>0</vt:i4>
      </vt:variant>
      <vt:variant>
        <vt:i4>5</vt:i4>
      </vt:variant>
      <vt:variant>
        <vt:lpwstr/>
      </vt:variant>
      <vt:variant>
        <vt:lpwstr>_Toc114046121</vt:lpwstr>
      </vt:variant>
      <vt:variant>
        <vt:i4>1114160</vt:i4>
      </vt:variant>
      <vt:variant>
        <vt:i4>116</vt:i4>
      </vt:variant>
      <vt:variant>
        <vt:i4>0</vt:i4>
      </vt:variant>
      <vt:variant>
        <vt:i4>5</vt:i4>
      </vt:variant>
      <vt:variant>
        <vt:lpwstr/>
      </vt:variant>
      <vt:variant>
        <vt:lpwstr>_Toc114046119</vt:lpwstr>
      </vt:variant>
      <vt:variant>
        <vt:i4>1114160</vt:i4>
      </vt:variant>
      <vt:variant>
        <vt:i4>110</vt:i4>
      </vt:variant>
      <vt:variant>
        <vt:i4>0</vt:i4>
      </vt:variant>
      <vt:variant>
        <vt:i4>5</vt:i4>
      </vt:variant>
      <vt:variant>
        <vt:lpwstr/>
      </vt:variant>
      <vt:variant>
        <vt:lpwstr>_Toc114046115</vt:lpwstr>
      </vt:variant>
      <vt:variant>
        <vt:i4>1114160</vt:i4>
      </vt:variant>
      <vt:variant>
        <vt:i4>104</vt:i4>
      </vt:variant>
      <vt:variant>
        <vt:i4>0</vt:i4>
      </vt:variant>
      <vt:variant>
        <vt:i4>5</vt:i4>
      </vt:variant>
      <vt:variant>
        <vt:lpwstr/>
      </vt:variant>
      <vt:variant>
        <vt:lpwstr>_Toc114046114</vt:lpwstr>
      </vt:variant>
      <vt:variant>
        <vt:i4>1114160</vt:i4>
      </vt:variant>
      <vt:variant>
        <vt:i4>98</vt:i4>
      </vt:variant>
      <vt:variant>
        <vt:i4>0</vt:i4>
      </vt:variant>
      <vt:variant>
        <vt:i4>5</vt:i4>
      </vt:variant>
      <vt:variant>
        <vt:lpwstr/>
      </vt:variant>
      <vt:variant>
        <vt:lpwstr>_Toc114046113</vt:lpwstr>
      </vt:variant>
      <vt:variant>
        <vt:i4>1114160</vt:i4>
      </vt:variant>
      <vt:variant>
        <vt:i4>92</vt:i4>
      </vt:variant>
      <vt:variant>
        <vt:i4>0</vt:i4>
      </vt:variant>
      <vt:variant>
        <vt:i4>5</vt:i4>
      </vt:variant>
      <vt:variant>
        <vt:lpwstr/>
      </vt:variant>
      <vt:variant>
        <vt:lpwstr>_Toc114046112</vt:lpwstr>
      </vt:variant>
      <vt:variant>
        <vt:i4>1114160</vt:i4>
      </vt:variant>
      <vt:variant>
        <vt:i4>86</vt:i4>
      </vt:variant>
      <vt:variant>
        <vt:i4>0</vt:i4>
      </vt:variant>
      <vt:variant>
        <vt:i4>5</vt:i4>
      </vt:variant>
      <vt:variant>
        <vt:lpwstr/>
      </vt:variant>
      <vt:variant>
        <vt:lpwstr>_Toc114046111</vt:lpwstr>
      </vt:variant>
      <vt:variant>
        <vt:i4>1114160</vt:i4>
      </vt:variant>
      <vt:variant>
        <vt:i4>80</vt:i4>
      </vt:variant>
      <vt:variant>
        <vt:i4>0</vt:i4>
      </vt:variant>
      <vt:variant>
        <vt:i4>5</vt:i4>
      </vt:variant>
      <vt:variant>
        <vt:lpwstr/>
      </vt:variant>
      <vt:variant>
        <vt:lpwstr>_Toc114046110</vt:lpwstr>
      </vt:variant>
      <vt:variant>
        <vt:i4>1048624</vt:i4>
      </vt:variant>
      <vt:variant>
        <vt:i4>74</vt:i4>
      </vt:variant>
      <vt:variant>
        <vt:i4>0</vt:i4>
      </vt:variant>
      <vt:variant>
        <vt:i4>5</vt:i4>
      </vt:variant>
      <vt:variant>
        <vt:lpwstr/>
      </vt:variant>
      <vt:variant>
        <vt:lpwstr>_Toc114046107</vt:lpwstr>
      </vt:variant>
      <vt:variant>
        <vt:i4>1048624</vt:i4>
      </vt:variant>
      <vt:variant>
        <vt:i4>68</vt:i4>
      </vt:variant>
      <vt:variant>
        <vt:i4>0</vt:i4>
      </vt:variant>
      <vt:variant>
        <vt:i4>5</vt:i4>
      </vt:variant>
      <vt:variant>
        <vt:lpwstr/>
      </vt:variant>
      <vt:variant>
        <vt:lpwstr>_Toc114046106</vt:lpwstr>
      </vt:variant>
      <vt:variant>
        <vt:i4>1048624</vt:i4>
      </vt:variant>
      <vt:variant>
        <vt:i4>62</vt:i4>
      </vt:variant>
      <vt:variant>
        <vt:i4>0</vt:i4>
      </vt:variant>
      <vt:variant>
        <vt:i4>5</vt:i4>
      </vt:variant>
      <vt:variant>
        <vt:lpwstr/>
      </vt:variant>
      <vt:variant>
        <vt:lpwstr>_Toc114046105</vt:lpwstr>
      </vt:variant>
      <vt:variant>
        <vt:i4>1048624</vt:i4>
      </vt:variant>
      <vt:variant>
        <vt:i4>56</vt:i4>
      </vt:variant>
      <vt:variant>
        <vt:i4>0</vt:i4>
      </vt:variant>
      <vt:variant>
        <vt:i4>5</vt:i4>
      </vt:variant>
      <vt:variant>
        <vt:lpwstr/>
      </vt:variant>
      <vt:variant>
        <vt:lpwstr>_Toc114046104</vt:lpwstr>
      </vt:variant>
      <vt:variant>
        <vt:i4>1048624</vt:i4>
      </vt:variant>
      <vt:variant>
        <vt:i4>50</vt:i4>
      </vt:variant>
      <vt:variant>
        <vt:i4>0</vt:i4>
      </vt:variant>
      <vt:variant>
        <vt:i4>5</vt:i4>
      </vt:variant>
      <vt:variant>
        <vt:lpwstr/>
      </vt:variant>
      <vt:variant>
        <vt:lpwstr>_Toc114046103</vt:lpwstr>
      </vt:variant>
      <vt:variant>
        <vt:i4>1048624</vt:i4>
      </vt:variant>
      <vt:variant>
        <vt:i4>44</vt:i4>
      </vt:variant>
      <vt:variant>
        <vt:i4>0</vt:i4>
      </vt:variant>
      <vt:variant>
        <vt:i4>5</vt:i4>
      </vt:variant>
      <vt:variant>
        <vt:lpwstr/>
      </vt:variant>
      <vt:variant>
        <vt:lpwstr>_Toc114046102</vt:lpwstr>
      </vt:variant>
      <vt:variant>
        <vt:i4>1048624</vt:i4>
      </vt:variant>
      <vt:variant>
        <vt:i4>38</vt:i4>
      </vt:variant>
      <vt:variant>
        <vt:i4>0</vt:i4>
      </vt:variant>
      <vt:variant>
        <vt:i4>5</vt:i4>
      </vt:variant>
      <vt:variant>
        <vt:lpwstr/>
      </vt:variant>
      <vt:variant>
        <vt:lpwstr>_Toc114046101</vt:lpwstr>
      </vt:variant>
      <vt:variant>
        <vt:i4>1048624</vt:i4>
      </vt:variant>
      <vt:variant>
        <vt:i4>32</vt:i4>
      </vt:variant>
      <vt:variant>
        <vt:i4>0</vt:i4>
      </vt:variant>
      <vt:variant>
        <vt:i4>5</vt:i4>
      </vt:variant>
      <vt:variant>
        <vt:lpwstr/>
      </vt:variant>
      <vt:variant>
        <vt:lpwstr>_Toc114046100</vt:lpwstr>
      </vt:variant>
      <vt:variant>
        <vt:i4>1638449</vt:i4>
      </vt:variant>
      <vt:variant>
        <vt:i4>26</vt:i4>
      </vt:variant>
      <vt:variant>
        <vt:i4>0</vt:i4>
      </vt:variant>
      <vt:variant>
        <vt:i4>5</vt:i4>
      </vt:variant>
      <vt:variant>
        <vt:lpwstr/>
      </vt:variant>
      <vt:variant>
        <vt:lpwstr>_Toc114046098</vt:lpwstr>
      </vt:variant>
      <vt:variant>
        <vt:i4>1638449</vt:i4>
      </vt:variant>
      <vt:variant>
        <vt:i4>20</vt:i4>
      </vt:variant>
      <vt:variant>
        <vt:i4>0</vt:i4>
      </vt:variant>
      <vt:variant>
        <vt:i4>5</vt:i4>
      </vt:variant>
      <vt:variant>
        <vt:lpwstr/>
      </vt:variant>
      <vt:variant>
        <vt:lpwstr>_Toc114046097</vt:lpwstr>
      </vt:variant>
      <vt:variant>
        <vt:i4>1638449</vt:i4>
      </vt:variant>
      <vt:variant>
        <vt:i4>14</vt:i4>
      </vt:variant>
      <vt:variant>
        <vt:i4>0</vt:i4>
      </vt:variant>
      <vt:variant>
        <vt:i4>5</vt:i4>
      </vt:variant>
      <vt:variant>
        <vt:lpwstr/>
      </vt:variant>
      <vt:variant>
        <vt:lpwstr>_Toc114046096</vt:lpwstr>
      </vt:variant>
      <vt:variant>
        <vt:i4>1638449</vt:i4>
      </vt:variant>
      <vt:variant>
        <vt:i4>8</vt:i4>
      </vt:variant>
      <vt:variant>
        <vt:i4>0</vt:i4>
      </vt:variant>
      <vt:variant>
        <vt:i4>5</vt:i4>
      </vt:variant>
      <vt:variant>
        <vt:lpwstr/>
      </vt:variant>
      <vt:variant>
        <vt:lpwstr>_Toc114046095</vt:lpwstr>
      </vt:variant>
      <vt:variant>
        <vt:i4>2228322</vt:i4>
      </vt:variant>
      <vt:variant>
        <vt:i4>3</vt:i4>
      </vt:variant>
      <vt:variant>
        <vt:i4>0</vt:i4>
      </vt:variant>
      <vt:variant>
        <vt:i4>5</vt:i4>
      </vt:variant>
      <vt:variant>
        <vt:lpwstr>http://www.epa.vic.gov.au/publication-feedback</vt:lpwstr>
      </vt:variant>
      <vt:variant>
        <vt:lpwstr/>
      </vt:variant>
      <vt:variant>
        <vt:i4>6619169</vt:i4>
      </vt:variant>
      <vt:variant>
        <vt:i4>0</vt:i4>
      </vt:variant>
      <vt:variant>
        <vt:i4>0</vt:i4>
      </vt:variant>
      <vt:variant>
        <vt:i4>5</vt:i4>
      </vt:variant>
      <vt:variant>
        <vt:lpwstr>https://www.epa.vic.gov.au/</vt:lpwstr>
      </vt:variant>
      <vt:variant>
        <vt:lpwstr/>
      </vt:variant>
      <vt:variant>
        <vt:i4>2687101</vt:i4>
      </vt:variant>
      <vt:variant>
        <vt:i4>0</vt:i4>
      </vt:variant>
      <vt:variant>
        <vt:i4>0</vt:i4>
      </vt:variant>
      <vt:variant>
        <vt:i4>5</vt:i4>
      </vt:variant>
      <vt:variant>
        <vt:lpwstr>http://www.cleanenergyregulator.gov.au/NGER</vt:lpwstr>
      </vt:variant>
      <vt:variant>
        <vt:lpwstr/>
      </vt:variant>
      <vt:variant>
        <vt:i4>6619169</vt:i4>
      </vt:variant>
      <vt:variant>
        <vt:i4>15</vt:i4>
      </vt:variant>
      <vt:variant>
        <vt:i4>0</vt:i4>
      </vt:variant>
      <vt:variant>
        <vt:i4>5</vt:i4>
      </vt:variant>
      <vt:variant>
        <vt:lpwstr>https://www.epa.vic.gov.au/</vt:lpwstr>
      </vt:variant>
      <vt:variant>
        <vt:lpwstr/>
      </vt:variant>
      <vt:variant>
        <vt:i4>6160456</vt:i4>
      </vt:variant>
      <vt:variant>
        <vt:i4>12</vt:i4>
      </vt:variant>
      <vt:variant>
        <vt:i4>0</vt:i4>
      </vt:variant>
      <vt:variant>
        <vt:i4>5</vt:i4>
      </vt:variant>
      <vt:variant>
        <vt:lpwstr>https://www.arctick.org/</vt:lpwstr>
      </vt:variant>
      <vt:variant>
        <vt:lpwstr/>
      </vt:variant>
      <vt:variant>
        <vt:i4>458782</vt:i4>
      </vt:variant>
      <vt:variant>
        <vt:i4>9</vt:i4>
      </vt:variant>
      <vt:variant>
        <vt:i4>0</vt:i4>
      </vt:variant>
      <vt:variant>
        <vt:i4>5</vt:i4>
      </vt:variant>
      <vt:variant>
        <vt:lpwstr>https://www.legislation.gov.au/Series/C2004A03755</vt:lpwstr>
      </vt:variant>
      <vt:variant>
        <vt:lpwstr/>
      </vt:variant>
      <vt:variant>
        <vt:i4>3145853</vt:i4>
      </vt:variant>
      <vt:variant>
        <vt:i4>6</vt:i4>
      </vt:variant>
      <vt:variant>
        <vt:i4>0</vt:i4>
      </vt:variant>
      <vt:variant>
        <vt:i4>5</vt:i4>
      </vt:variant>
      <vt:variant>
        <vt:lpwstr>http://www.cleanenergyregulator.gov.au/NGER/Forms-and-resources/Calculators</vt:lpwstr>
      </vt:variant>
      <vt:variant>
        <vt:lpwstr/>
      </vt:variant>
      <vt:variant>
        <vt:i4>2687101</vt:i4>
      </vt:variant>
      <vt:variant>
        <vt:i4>3</vt:i4>
      </vt:variant>
      <vt:variant>
        <vt:i4>0</vt:i4>
      </vt:variant>
      <vt:variant>
        <vt:i4>5</vt:i4>
      </vt:variant>
      <vt:variant>
        <vt:lpwstr>http://www.cleanenergyregulator.gov.au/NGER</vt:lpwstr>
      </vt:variant>
      <vt:variant>
        <vt:lpwstr/>
      </vt:variant>
      <vt:variant>
        <vt:i4>2162792</vt:i4>
      </vt:variant>
      <vt:variant>
        <vt:i4>0</vt:i4>
      </vt:variant>
      <vt:variant>
        <vt:i4>0</vt:i4>
      </vt:variant>
      <vt:variant>
        <vt:i4>5</vt:i4>
      </vt:variant>
      <vt:variant>
        <vt:lpwstr>http://www.cleanenergyregulator.gov.au/ERF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minimising greenhouse gas emissions</dc:title>
  <dc:subject/>
  <dc:creator>Rebecca Lawn</dc:creator>
  <cp:keywords/>
  <dc:description/>
  <cp:lastModifiedBy>Melanie Middleton</cp:lastModifiedBy>
  <cp:revision>2</cp:revision>
  <cp:lastPrinted>2022-09-08T21:36:00Z</cp:lastPrinted>
  <dcterms:created xsi:type="dcterms:W3CDTF">2022-09-28T03:12:00Z</dcterms:created>
  <dcterms:modified xsi:type="dcterms:W3CDTF">2022-09-28T03:12:00Z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15,16,17,18,19,1a</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0x010100B2E94280EA83694F8414FA78403FC84A</vt:lpwstr>
  </property>
  <property fmtid="{D5CDD505-2E9C-101B-9397-08002B2CF9AE}" pid="6" name="MediaServiceImageTags">
    <vt:lpwstr/>
  </property>
</Properties>
</file>