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541F" w14:textId="48FCB0EB" w:rsidR="00A1428B" w:rsidRPr="005128D4" w:rsidRDefault="0069453B" w:rsidP="005128D4">
      <w:pPr>
        <w:autoSpaceDE w:val="0"/>
        <w:autoSpaceDN w:val="0"/>
        <w:adjustRightInd w:val="0"/>
        <w:spacing w:before="30"/>
        <w:ind w:right="-421"/>
        <w:rPr>
          <w:rFonts w:ascii="Arial" w:hAnsi="Arial" w:cs="Arial"/>
          <w:spacing w:val="-2"/>
          <w:kern w:val="1"/>
          <w:sz w:val="20"/>
          <w:szCs w:val="20"/>
          <w:lang w:val="en-GB"/>
        </w:rPr>
      </w:pPr>
      <w:r>
        <w:rPr>
          <w:rFonts w:ascii="Arial" w:eastAsia="Times New Roman" w:hAnsi="Arial" w:cs="Arial"/>
          <w:b/>
          <w:bCs/>
          <w:color w:val="111111"/>
          <w:kern w:val="36"/>
          <w:sz w:val="84"/>
          <w:szCs w:val="84"/>
          <w:lang w:eastAsia="en-AU"/>
        </w:rPr>
        <w:t>Annual Delivery</w:t>
      </w:r>
      <w:r w:rsidR="000E2E5A" w:rsidRPr="003643AB">
        <w:rPr>
          <w:rFonts w:ascii="Arial" w:eastAsia="Times New Roman" w:hAnsi="Arial" w:cs="Arial"/>
          <w:b/>
          <w:bCs/>
          <w:color w:val="111111"/>
          <w:kern w:val="36"/>
          <w:sz w:val="84"/>
          <w:szCs w:val="84"/>
          <w:lang w:eastAsia="en-AU"/>
        </w:rPr>
        <w:t xml:space="preserve"> Plan</w:t>
      </w:r>
      <w:r w:rsidR="00A1428B" w:rsidRPr="003643AB">
        <w:rPr>
          <w:rFonts w:ascii="Arial" w:eastAsia="Times New Roman" w:hAnsi="Arial" w:cs="Arial"/>
          <w:b/>
          <w:bCs/>
          <w:color w:val="111111"/>
          <w:kern w:val="36"/>
          <w:sz w:val="84"/>
          <w:szCs w:val="84"/>
          <w:lang w:eastAsia="en-AU"/>
        </w:rPr>
        <w:t xml:space="preserve"> </w:t>
      </w:r>
      <w:r w:rsidR="00B42DCC" w:rsidRPr="003643AB">
        <w:rPr>
          <w:rFonts w:ascii="Arial" w:eastAsia="Times New Roman" w:hAnsi="Arial" w:cs="Arial"/>
          <w:b/>
          <w:bCs/>
          <w:color w:val="111111"/>
          <w:kern w:val="36"/>
          <w:sz w:val="84"/>
          <w:szCs w:val="84"/>
          <w:lang w:eastAsia="en-AU"/>
        </w:rPr>
        <w:br/>
      </w:r>
      <w:r w:rsidR="00A1428B" w:rsidRPr="003643AB">
        <w:rPr>
          <w:rFonts w:ascii="Arial" w:eastAsia="Times New Roman" w:hAnsi="Arial" w:cs="Arial"/>
          <w:b/>
          <w:bCs/>
          <w:color w:val="111111"/>
          <w:kern w:val="36"/>
          <w:sz w:val="84"/>
          <w:szCs w:val="84"/>
          <w:lang w:eastAsia="en-AU"/>
        </w:rPr>
        <w:t>2022-2</w:t>
      </w:r>
      <w:r w:rsidR="00E637DC">
        <w:rPr>
          <w:rFonts w:ascii="Arial" w:eastAsia="Times New Roman" w:hAnsi="Arial" w:cs="Arial"/>
          <w:b/>
          <w:bCs/>
          <w:color w:val="111111"/>
          <w:kern w:val="36"/>
          <w:sz w:val="84"/>
          <w:szCs w:val="84"/>
          <w:lang w:eastAsia="en-AU"/>
        </w:rPr>
        <w:t>3</w:t>
      </w:r>
      <w:r w:rsidR="00ED3D54" w:rsidRPr="003643AB">
        <w:rPr>
          <w:rFonts w:ascii="Arial" w:eastAsia="Times New Roman" w:hAnsi="Arial" w:cs="Arial"/>
          <w:b/>
          <w:bCs/>
          <w:color w:val="111111"/>
          <w:kern w:val="36"/>
          <w:sz w:val="84"/>
          <w:szCs w:val="84"/>
          <w:lang w:eastAsia="en-AU"/>
        </w:rPr>
        <w:br/>
      </w:r>
      <w:r w:rsidR="001E3C00">
        <w:rPr>
          <w:rFonts w:ascii="Arial" w:hAnsi="Arial" w:cs="Arial"/>
          <w:kern w:val="1"/>
          <w:sz w:val="36"/>
          <w:szCs w:val="36"/>
          <w:lang w:val="en-GB"/>
        </w:rPr>
        <w:br/>
      </w:r>
      <w:r w:rsidR="00ED3D54" w:rsidRPr="00E23455">
        <w:rPr>
          <w:rFonts w:ascii="Arial" w:hAnsi="Arial" w:cs="Arial"/>
          <w:b/>
          <w:bCs/>
          <w:kern w:val="1"/>
          <w:sz w:val="30"/>
          <w:szCs w:val="30"/>
          <w:lang w:val="en-GB"/>
        </w:rPr>
        <w:t>Environment</w:t>
      </w:r>
      <w:r w:rsidR="00ED3D54" w:rsidRPr="00E23455">
        <w:rPr>
          <w:rFonts w:ascii="Arial" w:hAnsi="Arial" w:cs="Arial"/>
          <w:b/>
          <w:bCs/>
          <w:spacing w:val="-11"/>
          <w:kern w:val="1"/>
          <w:sz w:val="30"/>
          <w:szCs w:val="30"/>
          <w:lang w:val="en-GB"/>
        </w:rPr>
        <w:t xml:space="preserve"> </w:t>
      </w:r>
      <w:r w:rsidR="00ED3D54" w:rsidRPr="00E23455">
        <w:rPr>
          <w:rFonts w:ascii="Arial" w:hAnsi="Arial" w:cs="Arial"/>
          <w:b/>
          <w:bCs/>
          <w:kern w:val="1"/>
          <w:sz w:val="30"/>
          <w:szCs w:val="30"/>
          <w:lang w:val="en-GB"/>
        </w:rPr>
        <w:t>Protection</w:t>
      </w:r>
      <w:r w:rsidR="00ED3D54" w:rsidRPr="00E23455">
        <w:rPr>
          <w:rFonts w:ascii="Arial" w:hAnsi="Arial" w:cs="Arial"/>
          <w:b/>
          <w:bCs/>
          <w:spacing w:val="-9"/>
          <w:kern w:val="1"/>
          <w:sz w:val="30"/>
          <w:szCs w:val="30"/>
          <w:lang w:val="en-GB"/>
        </w:rPr>
        <w:t xml:space="preserve"> </w:t>
      </w:r>
      <w:r w:rsidR="00ED3D54" w:rsidRPr="00E23455">
        <w:rPr>
          <w:rFonts w:ascii="Arial" w:hAnsi="Arial" w:cs="Arial"/>
          <w:b/>
          <w:bCs/>
          <w:kern w:val="1"/>
          <w:sz w:val="30"/>
          <w:szCs w:val="30"/>
          <w:lang w:val="en-GB"/>
        </w:rPr>
        <w:t>Authority</w:t>
      </w:r>
      <w:r w:rsidR="00ED3D54" w:rsidRPr="00E23455">
        <w:rPr>
          <w:rFonts w:ascii="Arial" w:hAnsi="Arial" w:cs="Arial"/>
          <w:b/>
          <w:bCs/>
          <w:spacing w:val="-8"/>
          <w:kern w:val="1"/>
          <w:sz w:val="30"/>
          <w:szCs w:val="30"/>
          <w:lang w:val="en-GB"/>
        </w:rPr>
        <w:t xml:space="preserve"> </w:t>
      </w:r>
      <w:r w:rsidR="00ED3D54" w:rsidRPr="00E23455">
        <w:rPr>
          <w:rFonts w:ascii="Arial" w:hAnsi="Arial" w:cs="Arial"/>
          <w:b/>
          <w:bCs/>
          <w:spacing w:val="-2"/>
          <w:kern w:val="1"/>
          <w:sz w:val="30"/>
          <w:szCs w:val="30"/>
          <w:lang w:val="en-GB"/>
        </w:rPr>
        <w:t>Victoria</w:t>
      </w:r>
      <w:r w:rsidR="00ED3D54" w:rsidRPr="003643AB">
        <w:rPr>
          <w:rFonts w:ascii="Arial" w:hAnsi="Arial" w:cs="Arial"/>
          <w:spacing w:val="-2"/>
          <w:kern w:val="1"/>
          <w:sz w:val="20"/>
          <w:szCs w:val="20"/>
          <w:lang w:val="en-GB"/>
        </w:rPr>
        <w:br/>
      </w:r>
    </w:p>
    <w:p w14:paraId="6423B60F" w14:textId="4342930E"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CEO Message</w:t>
      </w:r>
    </w:p>
    <w:p w14:paraId="490C59E8" w14:textId="12C9F542"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About EPA</w:t>
      </w:r>
    </w:p>
    <w:p w14:paraId="79E1E7CE" w14:textId="336BE9B3"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Reducing risks of harm</w:t>
      </w:r>
    </w:p>
    <w:p w14:paraId="6A86B176" w14:textId="7D6F9923"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Delivering our Strategic Plan 2022-27</w:t>
      </w:r>
    </w:p>
    <w:p w14:paraId="2A7F53D0" w14:textId="23C84EA1"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Objectives and Key Results</w:t>
      </w:r>
    </w:p>
    <w:p w14:paraId="4EE0DE28"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Priority projects </w:t>
      </w:r>
    </w:p>
    <w:p w14:paraId="7B7D0991"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Core regulatory and enabling services </w:t>
      </w:r>
    </w:p>
    <w:p w14:paraId="1BBD5D70"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Performance measures </w:t>
      </w:r>
    </w:p>
    <w:p w14:paraId="594EDCF7"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Resources</w:t>
      </w:r>
    </w:p>
    <w:p w14:paraId="6A48A60E"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Operating budget</w:t>
      </w:r>
    </w:p>
    <w:p w14:paraId="41AA17AA"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Our people</w:t>
      </w:r>
    </w:p>
    <w:p w14:paraId="0E750EBB"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Risk management</w:t>
      </w:r>
    </w:p>
    <w:p w14:paraId="6B64A52D" w14:textId="56A837E4"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Appendices</w:t>
      </w:r>
    </w:p>
    <w:p w14:paraId="0F21A60A" w14:textId="07DFEF7A"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Appendix </w:t>
      </w:r>
      <w:proofErr w:type="gramStart"/>
      <w:r w:rsidRPr="005128D4">
        <w:rPr>
          <w:rFonts w:ascii="Arial" w:eastAsia="Times New Roman" w:hAnsi="Arial" w:cs="Arial"/>
          <w:b/>
          <w:bCs/>
          <w:color w:val="0A3C73"/>
          <w:sz w:val="20"/>
          <w:szCs w:val="20"/>
          <w:u w:val="single"/>
          <w:lang w:eastAsia="en-AU"/>
        </w:rPr>
        <w:t>1  Strategic</w:t>
      </w:r>
      <w:proofErr w:type="gramEnd"/>
      <w:r w:rsidRPr="005128D4">
        <w:rPr>
          <w:rFonts w:ascii="Arial" w:eastAsia="Times New Roman" w:hAnsi="Arial" w:cs="Arial"/>
          <w:b/>
          <w:bCs/>
          <w:color w:val="0A3C73"/>
          <w:sz w:val="20"/>
          <w:szCs w:val="20"/>
          <w:u w:val="single"/>
          <w:lang w:eastAsia="en-AU"/>
        </w:rPr>
        <w:t xml:space="preserve"> Plan 2022-27 summary</w:t>
      </w:r>
    </w:p>
    <w:p w14:paraId="18EB7652" w14:textId="75BB4454"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Appendix </w:t>
      </w:r>
      <w:proofErr w:type="gramStart"/>
      <w:r w:rsidRPr="005128D4">
        <w:rPr>
          <w:rFonts w:ascii="Arial" w:eastAsia="Times New Roman" w:hAnsi="Arial" w:cs="Arial"/>
          <w:b/>
          <w:bCs/>
          <w:color w:val="0A3C73"/>
          <w:sz w:val="20"/>
          <w:szCs w:val="20"/>
          <w:u w:val="single"/>
          <w:lang w:eastAsia="en-AU"/>
        </w:rPr>
        <w:t>2  Minister’s</w:t>
      </w:r>
      <w:proofErr w:type="gramEnd"/>
      <w:r w:rsidRPr="005128D4">
        <w:rPr>
          <w:rFonts w:ascii="Arial" w:eastAsia="Times New Roman" w:hAnsi="Arial" w:cs="Arial"/>
          <w:b/>
          <w:bCs/>
          <w:color w:val="0A3C73"/>
          <w:sz w:val="20"/>
          <w:szCs w:val="20"/>
          <w:u w:val="single"/>
          <w:lang w:eastAsia="en-AU"/>
        </w:rPr>
        <w:t xml:space="preserve"> Statement of Expectations</w:t>
      </w:r>
    </w:p>
    <w:p w14:paraId="1C26F378" w14:textId="4642C0B5"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Appendix 3 Recycling Victoria: A new </w:t>
      </w:r>
      <w:proofErr w:type="gramStart"/>
      <w:r w:rsidRPr="005128D4">
        <w:rPr>
          <w:rFonts w:ascii="Arial" w:eastAsia="Times New Roman" w:hAnsi="Arial" w:cs="Arial"/>
          <w:b/>
          <w:bCs/>
          <w:color w:val="0A3C73"/>
          <w:sz w:val="20"/>
          <w:szCs w:val="20"/>
          <w:u w:val="single"/>
          <w:lang w:eastAsia="en-AU"/>
        </w:rPr>
        <w:t>economy  Statement</w:t>
      </w:r>
      <w:proofErr w:type="gramEnd"/>
      <w:r w:rsidRPr="005128D4">
        <w:rPr>
          <w:rFonts w:ascii="Arial" w:eastAsia="Times New Roman" w:hAnsi="Arial" w:cs="Arial"/>
          <w:b/>
          <w:bCs/>
          <w:color w:val="0A3C73"/>
          <w:sz w:val="20"/>
          <w:szCs w:val="20"/>
          <w:u w:val="single"/>
          <w:lang w:eastAsia="en-AU"/>
        </w:rPr>
        <w:t xml:space="preserve"> of </w:t>
      </w:r>
      <w:proofErr w:type="gramStart"/>
      <w:r w:rsidRPr="005128D4">
        <w:rPr>
          <w:rFonts w:ascii="Arial" w:eastAsia="Times New Roman" w:hAnsi="Arial" w:cs="Arial"/>
          <w:b/>
          <w:bCs/>
          <w:color w:val="0A3C73"/>
          <w:sz w:val="20"/>
          <w:szCs w:val="20"/>
          <w:u w:val="single"/>
          <w:lang w:eastAsia="en-AU"/>
        </w:rPr>
        <w:t>Expectations  (</w:t>
      </w:r>
      <w:proofErr w:type="gramEnd"/>
      <w:r w:rsidRPr="005128D4">
        <w:rPr>
          <w:rFonts w:ascii="Arial" w:eastAsia="Times New Roman" w:hAnsi="Arial" w:cs="Arial"/>
          <w:b/>
          <w:bCs/>
          <w:color w:val="0A3C73"/>
          <w:sz w:val="20"/>
          <w:szCs w:val="20"/>
          <w:u w:val="single"/>
          <w:lang w:eastAsia="en-AU"/>
        </w:rPr>
        <w:t xml:space="preserve">EPA-led programs) </w:t>
      </w:r>
    </w:p>
    <w:p w14:paraId="436F08A0" w14:textId="23C5280D" w:rsidR="00FA0D15" w:rsidRDefault="00FA0D15" w:rsidP="00A1428B">
      <w:pPr>
        <w:spacing w:before="600" w:after="390" w:line="690" w:lineRule="atLeast"/>
        <w:outlineLvl w:val="1"/>
        <w:rPr>
          <w:rFonts w:ascii="Arial" w:eastAsia="Times New Roman" w:hAnsi="Arial" w:cs="Arial"/>
          <w:b/>
          <w:bCs/>
          <w:color w:val="111111"/>
          <w:sz w:val="57"/>
          <w:szCs w:val="57"/>
          <w:lang w:eastAsia="en-AU"/>
        </w:rPr>
      </w:pPr>
    </w:p>
    <w:p w14:paraId="3F1A5098" w14:textId="77777777" w:rsidR="00EC504E" w:rsidRDefault="00EC504E">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048111E1" w14:textId="2D8414AF" w:rsidR="009056E9" w:rsidRDefault="009056E9" w:rsidP="009056E9">
      <w:pPr>
        <w:spacing w:before="600" w:after="390" w:line="690" w:lineRule="atLeast"/>
        <w:outlineLvl w:val="1"/>
        <w:rPr>
          <w:rFonts w:ascii="Arial" w:eastAsia="Times New Roman" w:hAnsi="Arial" w:cs="Arial"/>
          <w:b/>
          <w:bCs/>
          <w:color w:val="111111"/>
          <w:sz w:val="57"/>
          <w:szCs w:val="57"/>
          <w:lang w:eastAsia="en-AU"/>
        </w:rPr>
      </w:pPr>
      <w:r w:rsidRPr="009056E9">
        <w:rPr>
          <w:rFonts w:ascii="Arial" w:eastAsia="Times New Roman" w:hAnsi="Arial" w:cs="Arial"/>
          <w:b/>
          <w:bCs/>
          <w:color w:val="111111"/>
          <w:sz w:val="57"/>
          <w:szCs w:val="57"/>
          <w:lang w:eastAsia="en-AU"/>
        </w:rPr>
        <w:lastRenderedPageBreak/>
        <w:t>A message</w:t>
      </w:r>
      <w:r>
        <w:rPr>
          <w:rFonts w:ascii="Arial" w:eastAsia="Times New Roman" w:hAnsi="Arial" w:cs="Arial"/>
          <w:b/>
          <w:bCs/>
          <w:color w:val="111111"/>
          <w:sz w:val="57"/>
          <w:szCs w:val="57"/>
          <w:lang w:eastAsia="en-AU"/>
        </w:rPr>
        <w:t xml:space="preserve"> </w:t>
      </w:r>
      <w:r w:rsidRPr="009056E9">
        <w:rPr>
          <w:rFonts w:ascii="Arial" w:eastAsia="Times New Roman" w:hAnsi="Arial" w:cs="Arial"/>
          <w:b/>
          <w:bCs/>
          <w:color w:val="111111"/>
          <w:sz w:val="57"/>
          <w:szCs w:val="57"/>
          <w:lang w:eastAsia="en-AU"/>
        </w:rPr>
        <w:t>from the CEO</w:t>
      </w:r>
    </w:p>
    <w:p w14:paraId="24DE3DFA" w14:textId="41A574F1"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I’m pleased to present EPA’s Annual Delivery Plan</w:t>
      </w:r>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for 2022–23. This plan has been developed</w:t>
      </w:r>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through</w:t>
      </w:r>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 xml:space="preserve">organisation-wide consultation, </w:t>
      </w:r>
      <w:proofErr w:type="gramStart"/>
      <w:r w:rsidRPr="0088686C">
        <w:rPr>
          <w:rFonts w:ascii="Arial" w:eastAsia="Times New Roman" w:hAnsi="Arial" w:cs="Arial"/>
          <w:color w:val="333333"/>
          <w:sz w:val="20"/>
          <w:szCs w:val="20"/>
          <w:lang w:eastAsia="en-AU"/>
        </w:rPr>
        <w:t>taking into account</w:t>
      </w:r>
      <w:proofErr w:type="gramEnd"/>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our legislative obligations, strategic priorities,</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current and emerging risks.</w:t>
      </w:r>
    </w:p>
    <w:p w14:paraId="4B74DA6C" w14:textId="469C2F97"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This is the first year we’re delivering our new</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five-year strategic plan. Our Strategic Plan</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2022-27 identifies the outcomes we want</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see over the period:</w:t>
      </w:r>
    </w:p>
    <w:p w14:paraId="0533A0CA" w14:textId="77777777" w:rsidR="00E551A7"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xml:space="preserve">• our environment is </w:t>
      </w:r>
      <w:proofErr w:type="gramStart"/>
      <w:r w:rsidRPr="0088686C">
        <w:rPr>
          <w:rFonts w:ascii="Arial" w:eastAsia="Times New Roman" w:hAnsi="Arial" w:cs="Arial"/>
          <w:color w:val="333333"/>
          <w:sz w:val="20"/>
          <w:szCs w:val="20"/>
          <w:lang w:eastAsia="en-AU"/>
        </w:rPr>
        <w:t>cleaner</w:t>
      </w:r>
      <w:proofErr w:type="gramEnd"/>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communities are healthier</w:t>
      </w:r>
    </w:p>
    <w:p w14:paraId="293F5101" w14:textId="26EBF453"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all Victorians reduce their</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environmental risks</w:t>
      </w:r>
    </w:p>
    <w:p w14:paraId="7D1353A6" w14:textId="77777777"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we have impact and influence.</w:t>
      </w:r>
    </w:p>
    <w:p w14:paraId="02170859" w14:textId="3367E30A"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To support us to achieve these outcomes,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we’ve established four objectives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for the next 12 months:</w:t>
      </w:r>
    </w:p>
    <w:p w14:paraId="6B73EC06" w14:textId="129CA2F2"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make Victorians aware of their</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responsibilities to prevent harm to</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human health and the environment</w:t>
      </w:r>
    </w:p>
    <w:p w14:paraId="717CE3FE" w14:textId="3D11138A"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target priority risks of harm so our</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efforts are optimised to make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the biggest difference</w:t>
      </w:r>
    </w:p>
    <w:p w14:paraId="3A60FFB5" w14:textId="520A2CDC"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integrate environmental public</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health into everything we do</w:t>
      </w:r>
    </w:p>
    <w:p w14:paraId="1CC2111B" w14:textId="09962452"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strengthen our culture and capability</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achieve organisational excellence.</w:t>
      </w:r>
    </w:p>
    <w:p w14:paraId="618AAAB8" w14:textId="195E73FC"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To be successful in realising these ambitions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 continue to work with communities,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industry and businesses so they understand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meet their obligations to prevent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harm from pollution and waste.</w:t>
      </w:r>
    </w:p>
    <w:p w14:paraId="346EE484" w14:textId="32957B45"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Our approach to non-compliance will be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consistent, transparent and proportionate.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Where we see deliberate and criminal acts,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 use our expanded capabilities,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stronger sanctions and powers to</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hold polluters to account.</w:t>
      </w:r>
    </w:p>
    <w:p w14:paraId="5371117C" w14:textId="37052E76"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We’re committed to timely and meaningful</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engagement with local communities about the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things that matter to them. While our regulatory</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decisions will always be based on science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the law, understanding community aspirations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concerns, and explaining why we’ve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made the decisions we have, will strengthen</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our performance and help to build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trust in EPA.</w:t>
      </w:r>
    </w:p>
    <w:p w14:paraId="0F5BCDD6" w14:textId="2397BFE4"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At its heart, EPA is about passionate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dedicated people that work with purpose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protect Victorians and our environment.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 continue to prioritise their safety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wellbeing and support their professional</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development – enabling both organisational</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personal success.</w:t>
      </w:r>
    </w:p>
    <w:p w14:paraId="3EB44DE8" w14:textId="31853568"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After significant change during 2021-22</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 with the commencement of the new Act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a new operating model – I’m excited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about the year ahead, as we settle into</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new ways of working.</w:t>
      </w:r>
    </w:p>
    <w:p w14:paraId="6F0869D9" w14:textId="3375FD60"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We’ll continue to learn, to improve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give our all in protecting the health</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of our communities and environment.</w:t>
      </w:r>
    </w:p>
    <w:p w14:paraId="443DB5C2" w14:textId="77777777" w:rsidR="00C6653C" w:rsidRDefault="0088686C" w:rsidP="00C6653C">
      <w:pPr>
        <w:spacing w:beforeLines="210" w:before="504" w:afterLines="210" w:after="504"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xml:space="preserve">Lee </w:t>
      </w:r>
      <w:proofErr w:type="spellStart"/>
      <w:r w:rsidRPr="0088686C">
        <w:rPr>
          <w:rFonts w:ascii="Arial" w:eastAsia="Times New Roman" w:hAnsi="Arial" w:cs="Arial"/>
          <w:color w:val="333333"/>
          <w:sz w:val="20"/>
          <w:szCs w:val="20"/>
          <w:lang w:eastAsia="en-AU"/>
        </w:rPr>
        <w:t>Miezis</w:t>
      </w:r>
      <w:proofErr w:type="spellEnd"/>
      <w:r w:rsidR="00C6653C">
        <w:rPr>
          <w:rFonts w:ascii="Arial" w:eastAsia="Times New Roman" w:hAnsi="Arial" w:cs="Arial"/>
          <w:color w:val="333333"/>
          <w:sz w:val="20"/>
          <w:szCs w:val="20"/>
          <w:lang w:eastAsia="en-AU"/>
        </w:rPr>
        <w:br/>
      </w:r>
      <w:r w:rsidRPr="0088686C">
        <w:rPr>
          <w:rFonts w:ascii="Arial" w:eastAsia="Times New Roman" w:hAnsi="Arial" w:cs="Arial"/>
          <w:color w:val="333333"/>
          <w:sz w:val="20"/>
          <w:szCs w:val="20"/>
          <w:lang w:eastAsia="en-AU"/>
        </w:rPr>
        <w:t>Chief Executive Officer</w:t>
      </w:r>
      <w:r w:rsidR="00C6653C">
        <w:rPr>
          <w:rFonts w:ascii="Arial" w:eastAsia="Times New Roman" w:hAnsi="Arial" w:cs="Arial"/>
          <w:color w:val="333333"/>
          <w:sz w:val="20"/>
          <w:szCs w:val="20"/>
          <w:lang w:eastAsia="en-AU"/>
        </w:rPr>
        <w:br/>
      </w:r>
      <w:r w:rsidRPr="0088686C">
        <w:rPr>
          <w:rFonts w:ascii="Arial" w:eastAsia="Times New Roman" w:hAnsi="Arial" w:cs="Arial"/>
          <w:color w:val="333333"/>
          <w:sz w:val="20"/>
          <w:szCs w:val="20"/>
          <w:lang w:eastAsia="en-AU"/>
        </w:rPr>
        <w:t>Environment Protection Authority Victoria</w:t>
      </w:r>
      <w:r w:rsidR="00C6653C">
        <w:rPr>
          <w:rFonts w:ascii="Arial" w:eastAsia="Times New Roman" w:hAnsi="Arial" w:cs="Arial"/>
          <w:color w:val="333333"/>
          <w:sz w:val="20"/>
          <w:szCs w:val="20"/>
          <w:lang w:eastAsia="en-AU"/>
        </w:rPr>
        <w:br/>
      </w:r>
      <w:r w:rsidRPr="0088686C">
        <w:rPr>
          <w:rFonts w:ascii="Arial" w:eastAsia="Times New Roman" w:hAnsi="Arial" w:cs="Arial"/>
          <w:color w:val="333333"/>
          <w:sz w:val="20"/>
          <w:szCs w:val="20"/>
          <w:lang w:eastAsia="en-AU"/>
        </w:rPr>
        <w:t>5 July 2022</w:t>
      </w:r>
    </w:p>
    <w:p w14:paraId="52B2B985" w14:textId="77777777" w:rsidR="00EC504E" w:rsidRDefault="00EC504E">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321AB4F7" w14:textId="10136267" w:rsidR="00A1428B" w:rsidRPr="00C6653C" w:rsidRDefault="00A1428B" w:rsidP="00C6653C">
      <w:pPr>
        <w:spacing w:beforeLines="210" w:before="504" w:afterLines="210" w:after="504" w:line="240" w:lineRule="auto"/>
        <w:outlineLvl w:val="1"/>
        <w:rPr>
          <w:rFonts w:ascii="Arial" w:eastAsia="Times New Roman" w:hAnsi="Arial" w:cs="Arial"/>
          <w:color w:val="333333"/>
          <w:sz w:val="20"/>
          <w:szCs w:val="20"/>
          <w:lang w:eastAsia="en-AU"/>
        </w:rPr>
      </w:pPr>
      <w:r w:rsidRPr="003643AB">
        <w:rPr>
          <w:rFonts w:ascii="Arial" w:eastAsia="Times New Roman" w:hAnsi="Arial" w:cs="Arial"/>
          <w:b/>
          <w:bCs/>
          <w:color w:val="111111"/>
          <w:sz w:val="57"/>
          <w:szCs w:val="57"/>
          <w:lang w:eastAsia="en-AU"/>
        </w:rPr>
        <w:lastRenderedPageBreak/>
        <w:t xml:space="preserve">About </w:t>
      </w:r>
      <w:r w:rsidR="00E72885">
        <w:rPr>
          <w:rFonts w:ascii="Arial" w:eastAsia="Times New Roman" w:hAnsi="Arial" w:cs="Arial"/>
          <w:b/>
          <w:bCs/>
          <w:color w:val="111111"/>
          <w:sz w:val="57"/>
          <w:szCs w:val="57"/>
          <w:lang w:eastAsia="en-AU"/>
        </w:rPr>
        <w:t>EPA</w:t>
      </w:r>
    </w:p>
    <w:p w14:paraId="6ED89C81" w14:textId="5AA38C59" w:rsidR="003C1148" w:rsidRPr="003C1148" w:rsidRDefault="003C1148" w:rsidP="003C1148">
      <w:pPr>
        <w:spacing w:before="210" w:after="21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Environment Protection Authority Victoria (EPA) was established in 1971 as Victoria’s environmental regulator. EPA is an independent statutory authority, with a Governing Board appointed by the Governor-in-Council on the </w:t>
      </w:r>
      <w:proofErr w:type="gramStart"/>
      <w:r w:rsidRPr="003C1148">
        <w:rPr>
          <w:rFonts w:ascii="Arial" w:eastAsia="Times New Roman" w:hAnsi="Arial" w:cs="Arial"/>
          <w:color w:val="333333"/>
          <w:sz w:val="20"/>
          <w:szCs w:val="20"/>
          <w:lang w:eastAsia="en-AU"/>
        </w:rPr>
        <w:t>recommendation  of</w:t>
      </w:r>
      <w:proofErr w:type="gramEnd"/>
      <w:r w:rsidRPr="003C1148">
        <w:rPr>
          <w:rFonts w:ascii="Arial" w:eastAsia="Times New Roman" w:hAnsi="Arial" w:cs="Arial"/>
          <w:color w:val="333333"/>
          <w:sz w:val="20"/>
          <w:szCs w:val="20"/>
          <w:lang w:eastAsia="en-AU"/>
        </w:rPr>
        <w:t xml:space="preserve"> the Minister for Environment and Climate Action. </w:t>
      </w:r>
    </w:p>
    <w:p w14:paraId="282F8D4E" w14:textId="52FF4DC8" w:rsidR="003C1148" w:rsidRPr="003C1148" w:rsidRDefault="003C1148" w:rsidP="00EC504E">
      <w:pPr>
        <w:spacing w:before="210" w:after="10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EPA’s role is to prevent and reduce the harmful effects of </w:t>
      </w:r>
      <w:proofErr w:type="gramStart"/>
      <w:r w:rsidRPr="003C1148">
        <w:rPr>
          <w:rFonts w:ascii="Arial" w:eastAsia="Times New Roman" w:hAnsi="Arial" w:cs="Arial"/>
          <w:color w:val="333333"/>
          <w:sz w:val="20"/>
          <w:szCs w:val="20"/>
          <w:lang w:eastAsia="en-AU"/>
        </w:rPr>
        <w:t>pollution  and</w:t>
      </w:r>
      <w:proofErr w:type="gramEnd"/>
      <w:r w:rsidRPr="003C1148">
        <w:rPr>
          <w:rFonts w:ascii="Arial" w:eastAsia="Times New Roman" w:hAnsi="Arial" w:cs="Arial"/>
          <w:color w:val="333333"/>
          <w:sz w:val="20"/>
          <w:szCs w:val="20"/>
          <w:lang w:eastAsia="en-AU"/>
        </w:rPr>
        <w:t xml:space="preserve"> waste on Victorians </w:t>
      </w:r>
      <w:proofErr w:type="gramStart"/>
      <w:r w:rsidRPr="003C1148">
        <w:rPr>
          <w:rFonts w:ascii="Arial" w:eastAsia="Times New Roman" w:hAnsi="Arial" w:cs="Arial"/>
          <w:color w:val="333333"/>
          <w:sz w:val="20"/>
          <w:szCs w:val="20"/>
          <w:lang w:eastAsia="en-AU"/>
        </w:rPr>
        <w:t>and  their</w:t>
      </w:r>
      <w:proofErr w:type="gramEnd"/>
      <w:r w:rsidRPr="003C1148">
        <w:rPr>
          <w:rFonts w:ascii="Arial" w:eastAsia="Times New Roman" w:hAnsi="Arial" w:cs="Arial"/>
          <w:color w:val="333333"/>
          <w:sz w:val="20"/>
          <w:szCs w:val="20"/>
          <w:lang w:eastAsia="en-AU"/>
        </w:rPr>
        <w:t xml:space="preserve"> environment. </w:t>
      </w:r>
    </w:p>
    <w:p w14:paraId="059CF25F" w14:textId="77777777" w:rsidR="003C1148" w:rsidRPr="003643AB" w:rsidRDefault="003C1148"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Our purpose</w:t>
      </w:r>
    </w:p>
    <w:p w14:paraId="677CB9EE" w14:textId="7E393E5D" w:rsidR="003C1148" w:rsidRPr="003C1148" w:rsidRDefault="003C1148" w:rsidP="00313F3D">
      <w:pPr>
        <w:spacing w:beforeLines="100" w:before="240" w:afterLines="100" w:after="24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Protecting the health of our </w:t>
      </w:r>
      <w:proofErr w:type="gramStart"/>
      <w:r w:rsidRPr="003C1148">
        <w:rPr>
          <w:rFonts w:ascii="Arial" w:eastAsia="Times New Roman" w:hAnsi="Arial" w:cs="Arial"/>
          <w:color w:val="333333"/>
          <w:sz w:val="20"/>
          <w:szCs w:val="20"/>
          <w:lang w:eastAsia="en-AU"/>
        </w:rPr>
        <w:t>communities  and</w:t>
      </w:r>
      <w:proofErr w:type="gramEnd"/>
      <w:r w:rsidRPr="003C1148">
        <w:rPr>
          <w:rFonts w:ascii="Arial" w:eastAsia="Times New Roman" w:hAnsi="Arial" w:cs="Arial"/>
          <w:color w:val="333333"/>
          <w:sz w:val="20"/>
          <w:szCs w:val="20"/>
          <w:lang w:eastAsia="en-AU"/>
        </w:rPr>
        <w:t xml:space="preserve"> environment. </w:t>
      </w:r>
    </w:p>
    <w:p w14:paraId="6A9F2A6F" w14:textId="77777777" w:rsidR="003C1148" w:rsidRPr="003643AB" w:rsidRDefault="003C1148"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Our values</w:t>
      </w:r>
    </w:p>
    <w:p w14:paraId="772BC8CD" w14:textId="77777777" w:rsidR="003C1148" w:rsidRPr="003643AB" w:rsidRDefault="003C1148"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Every member of the EPA team, in all aspects of our work, live the organisational values of:</w:t>
      </w:r>
    </w:p>
    <w:p w14:paraId="10330866"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Integrity</w:t>
      </w:r>
    </w:p>
    <w:p w14:paraId="10D5E103"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do the right things and encourage others to do the same.</w:t>
      </w:r>
    </w:p>
    <w:p w14:paraId="7825ED27"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Courage</w:t>
      </w:r>
    </w:p>
    <w:p w14:paraId="6207F2CB"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empowered to step up to our purpose.</w:t>
      </w:r>
    </w:p>
    <w:p w14:paraId="65FA38E0"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Connection</w:t>
      </w:r>
    </w:p>
    <w:p w14:paraId="4B64CF21"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unified, inclusive, transparent and open.</w:t>
      </w:r>
    </w:p>
    <w:p w14:paraId="756AF216"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Excellence</w:t>
      </w:r>
    </w:p>
    <w:p w14:paraId="22D632AD"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Doing the very best we can </w:t>
      </w:r>
      <w:proofErr w:type="gramStart"/>
      <w:r w:rsidRPr="003643AB">
        <w:rPr>
          <w:rFonts w:ascii="Arial" w:eastAsia="Times New Roman" w:hAnsi="Arial" w:cs="Arial"/>
          <w:color w:val="333333"/>
          <w:sz w:val="20"/>
          <w:szCs w:val="20"/>
          <w:lang w:eastAsia="en-AU"/>
        </w:rPr>
        <w:t>is</w:t>
      </w:r>
      <w:proofErr w:type="gramEnd"/>
      <w:r w:rsidRPr="003643AB">
        <w:rPr>
          <w:rFonts w:ascii="Arial" w:eastAsia="Times New Roman" w:hAnsi="Arial" w:cs="Arial"/>
          <w:color w:val="333333"/>
          <w:sz w:val="20"/>
          <w:szCs w:val="20"/>
          <w:lang w:eastAsia="en-AU"/>
        </w:rPr>
        <w:t xml:space="preserve"> our priority.</w:t>
      </w:r>
    </w:p>
    <w:p w14:paraId="0E62D3EB"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Tenacity</w:t>
      </w:r>
    </w:p>
    <w:p w14:paraId="00689346"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focused, determined and accountable.</w:t>
      </w:r>
    </w:p>
    <w:p w14:paraId="3B22032B" w14:textId="4B60F401" w:rsidR="003C1148" w:rsidRPr="003C1148"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We’ll also model the Victorian Public Sector values of responsiveness, impartiality, accountability, respect, leadership and human rights.</w:t>
      </w:r>
    </w:p>
    <w:p w14:paraId="22E05BB8" w14:textId="77777777" w:rsidR="003C1148" w:rsidRPr="003A76E8" w:rsidRDefault="003C1148" w:rsidP="00313F3D">
      <w:pPr>
        <w:spacing w:beforeLines="100" w:before="240" w:afterLines="100" w:after="240" w:line="240" w:lineRule="auto"/>
        <w:rPr>
          <w:rFonts w:ascii="Arial" w:eastAsia="Times New Roman" w:hAnsi="Arial" w:cs="Arial"/>
          <w:b/>
          <w:bCs/>
          <w:color w:val="333333"/>
          <w:sz w:val="42"/>
          <w:szCs w:val="42"/>
          <w:lang w:eastAsia="en-AU"/>
        </w:rPr>
      </w:pPr>
      <w:r w:rsidRPr="003A76E8">
        <w:rPr>
          <w:rFonts w:ascii="Arial" w:eastAsia="Times New Roman" w:hAnsi="Arial" w:cs="Arial"/>
          <w:b/>
          <w:bCs/>
          <w:color w:val="333333"/>
          <w:sz w:val="42"/>
          <w:szCs w:val="42"/>
          <w:lang w:eastAsia="en-AU"/>
        </w:rPr>
        <w:t xml:space="preserve">Outcomes we want to see </w:t>
      </w:r>
    </w:p>
    <w:p w14:paraId="5FFBBF5C" w14:textId="5E1B9E01" w:rsidR="003C1148" w:rsidRPr="003C1148" w:rsidRDefault="003C1148" w:rsidP="00313F3D">
      <w:pPr>
        <w:spacing w:beforeLines="100" w:before="240" w:afterLines="100" w:after="24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The outcomes we want to see over the 5-year period to 2027 are: </w:t>
      </w:r>
    </w:p>
    <w:p w14:paraId="57E925A8" w14:textId="1AB64902" w:rsidR="003C1148" w:rsidRPr="003A76E8" w:rsidRDefault="003C1148" w:rsidP="00313F3D">
      <w:pPr>
        <w:pStyle w:val="ListParagraph"/>
        <w:numPr>
          <w:ilvl w:val="0"/>
          <w:numId w:val="8"/>
        </w:numPr>
        <w:spacing w:beforeLines="100" w:before="240" w:afterLines="100" w:after="240" w:line="240" w:lineRule="auto"/>
        <w:ind w:firstLine="0"/>
        <w:rPr>
          <w:rFonts w:ascii="Arial" w:eastAsia="Times New Roman" w:hAnsi="Arial" w:cs="Arial"/>
          <w:color w:val="333333"/>
          <w:sz w:val="20"/>
          <w:szCs w:val="20"/>
          <w:lang w:eastAsia="en-AU"/>
        </w:rPr>
      </w:pPr>
      <w:r w:rsidRPr="003A76E8">
        <w:rPr>
          <w:rFonts w:ascii="Arial" w:eastAsia="Times New Roman" w:hAnsi="Arial" w:cs="Arial"/>
          <w:color w:val="333333"/>
          <w:sz w:val="20"/>
          <w:szCs w:val="20"/>
          <w:lang w:eastAsia="en-AU"/>
        </w:rPr>
        <w:t xml:space="preserve">Our environment is </w:t>
      </w:r>
      <w:proofErr w:type="gramStart"/>
      <w:r w:rsidRPr="003A76E8">
        <w:rPr>
          <w:rFonts w:ascii="Arial" w:eastAsia="Times New Roman" w:hAnsi="Arial" w:cs="Arial"/>
          <w:color w:val="333333"/>
          <w:sz w:val="20"/>
          <w:szCs w:val="20"/>
          <w:lang w:eastAsia="en-AU"/>
        </w:rPr>
        <w:t>cleaner</w:t>
      </w:r>
      <w:proofErr w:type="gramEnd"/>
      <w:r w:rsidRPr="003A76E8">
        <w:rPr>
          <w:rFonts w:ascii="Arial" w:eastAsia="Times New Roman" w:hAnsi="Arial" w:cs="Arial"/>
          <w:color w:val="333333"/>
          <w:sz w:val="20"/>
          <w:szCs w:val="20"/>
          <w:lang w:eastAsia="en-AU"/>
        </w:rPr>
        <w:t xml:space="preserve"> and communities are healthier </w:t>
      </w:r>
    </w:p>
    <w:p w14:paraId="265673D3" w14:textId="341EBFF1" w:rsidR="003C1148" w:rsidRPr="003A76E8" w:rsidRDefault="003C1148" w:rsidP="00313F3D">
      <w:pPr>
        <w:pStyle w:val="ListParagraph"/>
        <w:numPr>
          <w:ilvl w:val="0"/>
          <w:numId w:val="8"/>
        </w:numPr>
        <w:spacing w:beforeLines="100" w:before="240" w:afterLines="100" w:after="240" w:line="240" w:lineRule="auto"/>
        <w:ind w:firstLine="0"/>
        <w:rPr>
          <w:rFonts w:ascii="Arial" w:eastAsia="Times New Roman" w:hAnsi="Arial" w:cs="Arial"/>
          <w:color w:val="333333"/>
          <w:sz w:val="20"/>
          <w:szCs w:val="20"/>
          <w:lang w:eastAsia="en-AU"/>
        </w:rPr>
      </w:pPr>
      <w:r w:rsidRPr="003A76E8">
        <w:rPr>
          <w:rFonts w:ascii="Arial" w:eastAsia="Times New Roman" w:hAnsi="Arial" w:cs="Arial"/>
          <w:color w:val="333333"/>
          <w:sz w:val="20"/>
          <w:szCs w:val="20"/>
          <w:lang w:eastAsia="en-AU"/>
        </w:rPr>
        <w:t xml:space="preserve">All Victorians reduce their environmental risks </w:t>
      </w:r>
    </w:p>
    <w:p w14:paraId="38F85D1B" w14:textId="24B57999" w:rsidR="00A1428B" w:rsidRPr="003A76E8" w:rsidRDefault="003C1148" w:rsidP="00313F3D">
      <w:pPr>
        <w:pStyle w:val="ListParagraph"/>
        <w:numPr>
          <w:ilvl w:val="0"/>
          <w:numId w:val="8"/>
        </w:numPr>
        <w:spacing w:beforeLines="100" w:before="240" w:afterLines="100" w:after="240" w:line="240" w:lineRule="auto"/>
        <w:ind w:firstLine="0"/>
        <w:rPr>
          <w:rFonts w:ascii="Arial" w:eastAsia="Times New Roman" w:hAnsi="Arial" w:cs="Arial"/>
          <w:color w:val="333333"/>
          <w:sz w:val="20"/>
          <w:szCs w:val="20"/>
          <w:lang w:eastAsia="en-AU"/>
        </w:rPr>
      </w:pPr>
      <w:r w:rsidRPr="003A76E8">
        <w:rPr>
          <w:rFonts w:ascii="Arial" w:eastAsia="Times New Roman" w:hAnsi="Arial" w:cs="Arial"/>
          <w:color w:val="333333"/>
          <w:sz w:val="20"/>
          <w:szCs w:val="20"/>
          <w:lang w:eastAsia="en-AU"/>
        </w:rPr>
        <w:t>We have influence and impact</w:t>
      </w:r>
      <w:r w:rsidR="00A1428B" w:rsidRPr="003A76E8">
        <w:rPr>
          <w:rFonts w:ascii="Arial" w:eastAsia="Times New Roman" w:hAnsi="Arial" w:cs="Arial"/>
          <w:color w:val="333333"/>
          <w:sz w:val="24"/>
          <w:szCs w:val="24"/>
          <w:lang w:eastAsia="en-AU"/>
        </w:rPr>
        <w:t> </w:t>
      </w:r>
    </w:p>
    <w:p w14:paraId="3E16B07C" w14:textId="77777777" w:rsidR="00E23455" w:rsidRPr="003643AB" w:rsidRDefault="00E23455" w:rsidP="00A1428B">
      <w:pPr>
        <w:spacing w:before="210" w:after="210" w:line="240" w:lineRule="auto"/>
        <w:rPr>
          <w:rFonts w:ascii="Arial" w:eastAsia="Times New Roman" w:hAnsi="Arial" w:cs="Arial"/>
          <w:color w:val="333333"/>
          <w:sz w:val="24"/>
          <w:szCs w:val="24"/>
          <w:lang w:eastAsia="en-AU"/>
        </w:rPr>
      </w:pPr>
    </w:p>
    <w:p w14:paraId="7BCBB1D8" w14:textId="4022CCD2" w:rsidR="001A1C59" w:rsidRDefault="001A1C59" w:rsidP="001A1C59">
      <w:pPr>
        <w:spacing w:before="210" w:after="210" w:line="240" w:lineRule="auto"/>
        <w:rPr>
          <w:rFonts w:ascii="Arial" w:eastAsia="Times New Roman" w:hAnsi="Arial" w:cs="Arial"/>
          <w:b/>
          <w:bCs/>
          <w:color w:val="111111"/>
          <w:sz w:val="57"/>
          <w:szCs w:val="57"/>
          <w:lang w:eastAsia="en-AU"/>
        </w:rPr>
      </w:pPr>
      <w:r w:rsidRPr="001A1C59">
        <w:rPr>
          <w:rFonts w:ascii="Arial" w:eastAsia="Times New Roman" w:hAnsi="Arial" w:cs="Arial"/>
          <w:b/>
          <w:bCs/>
          <w:color w:val="111111"/>
          <w:sz w:val="57"/>
          <w:szCs w:val="57"/>
          <w:lang w:eastAsia="en-AU"/>
        </w:rPr>
        <w:lastRenderedPageBreak/>
        <w:t>Organisational</w:t>
      </w:r>
      <w:r>
        <w:rPr>
          <w:rFonts w:ascii="Arial" w:eastAsia="Times New Roman" w:hAnsi="Arial" w:cs="Arial"/>
          <w:b/>
          <w:bCs/>
          <w:color w:val="111111"/>
          <w:sz w:val="57"/>
          <w:szCs w:val="57"/>
          <w:lang w:eastAsia="en-AU"/>
        </w:rPr>
        <w:t xml:space="preserve"> s</w:t>
      </w:r>
      <w:r w:rsidRPr="001A1C59">
        <w:rPr>
          <w:rFonts w:ascii="Arial" w:eastAsia="Times New Roman" w:hAnsi="Arial" w:cs="Arial"/>
          <w:b/>
          <w:bCs/>
          <w:color w:val="111111"/>
          <w:sz w:val="57"/>
          <w:szCs w:val="57"/>
          <w:lang w:eastAsia="en-AU"/>
        </w:rPr>
        <w:t>tructure</w:t>
      </w:r>
    </w:p>
    <w:p w14:paraId="170C05DD" w14:textId="77777777"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Minister for Environment and Climate Action</w:t>
      </w:r>
    </w:p>
    <w:p w14:paraId="2DB711E4" w14:textId="1E552142"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The Hon. Lily D’Ambrosio MP</w:t>
      </w:r>
    </w:p>
    <w:p w14:paraId="75862AE6" w14:textId="77777777"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Governing Board advisory committees</w:t>
      </w:r>
    </w:p>
    <w:p w14:paraId="78D148DF" w14:textId="2D27EF94" w:rsidR="006B3783" w:rsidRPr="00313F3D" w:rsidRDefault="006B3783" w:rsidP="00313F3D">
      <w:pPr>
        <w:pStyle w:val="ListParagraph"/>
        <w:numPr>
          <w:ilvl w:val="1"/>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Risk and Audit</w:t>
      </w:r>
    </w:p>
    <w:p w14:paraId="0FE594CA" w14:textId="3E150B72" w:rsidR="006B3783" w:rsidRPr="00313F3D" w:rsidRDefault="006B3783" w:rsidP="00313F3D">
      <w:pPr>
        <w:pStyle w:val="ListParagraph"/>
        <w:numPr>
          <w:ilvl w:val="1"/>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Science, Engineering and Health</w:t>
      </w:r>
    </w:p>
    <w:p w14:paraId="5598E7DA" w14:textId="3FD0CF28" w:rsidR="006B3783" w:rsidRPr="00313F3D" w:rsidRDefault="006B3783" w:rsidP="00313F3D">
      <w:pPr>
        <w:pStyle w:val="ListParagraph"/>
        <w:numPr>
          <w:ilvl w:val="1"/>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Executive Remuneration and Succession</w:t>
      </w:r>
    </w:p>
    <w:p w14:paraId="3F32AEA0" w14:textId="75EE9FA8"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EPA’s Governing Board</w:t>
      </w:r>
    </w:p>
    <w:p w14:paraId="4A2ADA25" w14:textId="155F9613"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DELWP Secretary</w:t>
      </w:r>
    </w:p>
    <w:p w14:paraId="2F0E05D5" w14:textId="6A90CD14"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 xml:space="preserve">Chief Executive Officer - Lee </w:t>
      </w:r>
      <w:proofErr w:type="spellStart"/>
      <w:r w:rsidRPr="00313F3D">
        <w:rPr>
          <w:rFonts w:ascii="Arial" w:eastAsia="Times New Roman" w:hAnsi="Arial" w:cs="Arial"/>
          <w:color w:val="333333"/>
          <w:sz w:val="20"/>
          <w:szCs w:val="20"/>
          <w:lang w:eastAsia="en-AU"/>
        </w:rPr>
        <w:t>Miezis</w:t>
      </w:r>
      <w:proofErr w:type="spellEnd"/>
    </w:p>
    <w:p w14:paraId="231F187D" w14:textId="5C3C8675"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Chief Environmental Scientist - Professor Mark Patrick Taylor</w:t>
      </w:r>
    </w:p>
    <w:p w14:paraId="2E0E61F9" w14:textId="77777777"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EPA is organised into seven main divisions and branches:</w:t>
      </w:r>
    </w:p>
    <w:p w14:paraId="09D1FEBD" w14:textId="77777777" w:rsidR="00FE3E6A" w:rsidRDefault="00FE3E6A" w:rsidP="00313F3D">
      <w:pPr>
        <w:spacing w:before="160" w:line="240" w:lineRule="auto"/>
        <w:rPr>
          <w:rFonts w:ascii="Arial" w:eastAsia="Times New Roman" w:hAnsi="Arial" w:cs="Arial"/>
          <w:b/>
          <w:bCs/>
          <w:color w:val="111111"/>
          <w:sz w:val="42"/>
          <w:szCs w:val="42"/>
          <w:lang w:eastAsia="en-AU"/>
        </w:rPr>
      </w:pPr>
      <w:r w:rsidRPr="00FE3E6A">
        <w:rPr>
          <w:rFonts w:ascii="Arial" w:eastAsia="Times New Roman" w:hAnsi="Arial" w:cs="Arial"/>
          <w:b/>
          <w:bCs/>
          <w:color w:val="111111"/>
          <w:sz w:val="42"/>
          <w:szCs w:val="42"/>
          <w:lang w:eastAsia="en-AU"/>
        </w:rPr>
        <w:t xml:space="preserve">Strategy </w:t>
      </w:r>
    </w:p>
    <w:p w14:paraId="69F37ACF" w14:textId="77777777" w:rsidR="00FE3E6A" w:rsidRDefault="00FE3E6A" w:rsidP="00313F3D">
      <w:pPr>
        <w:spacing w:before="160" w:line="240" w:lineRule="auto"/>
        <w:rPr>
          <w:rFonts w:ascii="Arial" w:eastAsia="Times New Roman" w:hAnsi="Arial" w:cs="Arial"/>
          <w:color w:val="333333"/>
          <w:sz w:val="20"/>
          <w:szCs w:val="20"/>
          <w:lang w:eastAsia="en-AU"/>
        </w:rPr>
      </w:pPr>
      <w:r w:rsidRPr="00FE3E6A">
        <w:rPr>
          <w:rFonts w:ascii="Arial" w:eastAsia="Times New Roman" w:hAnsi="Arial" w:cs="Arial"/>
          <w:color w:val="333333"/>
          <w:sz w:val="20"/>
          <w:szCs w:val="20"/>
          <w:lang w:eastAsia="en-AU"/>
        </w:rPr>
        <w:t>Defines and drives the</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regulatory direction,</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strategic priorities</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and capabilities</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across EPA and leads</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the organisation</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through changes in the</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regulatory and policy</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 xml:space="preserve">landscape. </w:t>
      </w:r>
    </w:p>
    <w:p w14:paraId="3EE96C29" w14:textId="1119B3D3" w:rsidR="00FE3E6A" w:rsidRDefault="00DD110A" w:rsidP="00313F3D">
      <w:pPr>
        <w:spacing w:before="160" w:line="240" w:lineRule="auto"/>
        <w:rPr>
          <w:rFonts w:ascii="Arial" w:eastAsia="Times New Roman" w:hAnsi="Arial" w:cs="Arial"/>
          <w:b/>
          <w:bCs/>
          <w:color w:val="111111"/>
          <w:sz w:val="42"/>
          <w:szCs w:val="42"/>
          <w:lang w:eastAsia="en-AU"/>
        </w:rPr>
      </w:pPr>
      <w:r w:rsidRPr="00DD110A">
        <w:rPr>
          <w:rFonts w:ascii="Arial" w:eastAsia="Times New Roman" w:hAnsi="Arial" w:cs="Arial"/>
          <w:b/>
          <w:bCs/>
          <w:color w:val="111111"/>
          <w:sz w:val="42"/>
          <w:szCs w:val="42"/>
          <w:lang w:eastAsia="en-AU"/>
        </w:rPr>
        <w:t>Operations</w:t>
      </w:r>
      <w:r w:rsidR="00FE3E6A" w:rsidRPr="00FE3E6A">
        <w:rPr>
          <w:rFonts w:ascii="Arial" w:eastAsia="Times New Roman" w:hAnsi="Arial" w:cs="Arial"/>
          <w:b/>
          <w:bCs/>
          <w:color w:val="111111"/>
          <w:sz w:val="42"/>
          <w:szCs w:val="42"/>
          <w:lang w:eastAsia="en-AU"/>
        </w:rPr>
        <w:t xml:space="preserve"> </w:t>
      </w:r>
    </w:p>
    <w:p w14:paraId="17BF8026" w14:textId="0B19B3D4" w:rsidR="00DD110A" w:rsidRDefault="00DD110A" w:rsidP="00313F3D">
      <w:pPr>
        <w:spacing w:before="160" w:line="240" w:lineRule="auto"/>
        <w:rPr>
          <w:rFonts w:ascii="Arial" w:eastAsia="Times New Roman" w:hAnsi="Arial" w:cs="Arial"/>
          <w:color w:val="333333"/>
          <w:sz w:val="20"/>
          <w:szCs w:val="20"/>
          <w:lang w:eastAsia="en-AU"/>
        </w:rPr>
      </w:pPr>
      <w:r w:rsidRPr="00DD110A">
        <w:rPr>
          <w:rFonts w:ascii="Arial" w:eastAsia="Times New Roman" w:hAnsi="Arial" w:cs="Arial"/>
          <w:color w:val="333333"/>
          <w:sz w:val="20"/>
          <w:szCs w:val="20"/>
          <w:lang w:eastAsia="en-AU"/>
        </w:rPr>
        <w:t>Leads EPA s frontline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regulatory response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to prevent harm to</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human health and the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environment through</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engagement and</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education; inspections</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and monitoring; and</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enforcing compliance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 xml:space="preserve">with the law. </w:t>
      </w:r>
    </w:p>
    <w:p w14:paraId="0CFBA407" w14:textId="77777777" w:rsidR="00DD110A" w:rsidRDefault="00DD110A" w:rsidP="00313F3D">
      <w:pPr>
        <w:spacing w:before="160" w:line="240" w:lineRule="auto"/>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Science</w:t>
      </w:r>
      <w:r w:rsidRPr="00FE3E6A">
        <w:rPr>
          <w:rFonts w:ascii="Arial" w:eastAsia="Times New Roman" w:hAnsi="Arial" w:cs="Arial"/>
          <w:b/>
          <w:bCs/>
          <w:color w:val="111111"/>
          <w:sz w:val="42"/>
          <w:szCs w:val="42"/>
          <w:lang w:eastAsia="en-AU"/>
        </w:rPr>
        <w:t xml:space="preserve"> </w:t>
      </w:r>
    </w:p>
    <w:p w14:paraId="4E3B1FD6" w14:textId="0798D3A2" w:rsidR="00E364D6" w:rsidRPr="00DD110A" w:rsidRDefault="00E364D6" w:rsidP="00313F3D">
      <w:pPr>
        <w:spacing w:before="160" w:line="240" w:lineRule="auto"/>
        <w:rPr>
          <w:rFonts w:ascii="Arial" w:eastAsia="Times New Roman" w:hAnsi="Arial" w:cs="Arial"/>
          <w:b/>
          <w:bCs/>
          <w:color w:val="111111"/>
          <w:sz w:val="42"/>
          <w:szCs w:val="42"/>
          <w:lang w:eastAsia="en-AU"/>
        </w:rPr>
      </w:pPr>
      <w:r w:rsidRPr="00E364D6">
        <w:rPr>
          <w:rFonts w:ascii="Arial" w:eastAsia="Times New Roman" w:hAnsi="Arial" w:cs="Arial"/>
          <w:color w:val="333333"/>
          <w:sz w:val="20"/>
          <w:szCs w:val="20"/>
          <w:lang w:eastAsia="en-AU"/>
        </w:rPr>
        <w:t xml:space="preserve">Enables regulatory excellence at EPA, delivering innovative and targeted scientific advice to support strategy and policy development, and strategic and operational decision making. </w:t>
      </w:r>
    </w:p>
    <w:p w14:paraId="4D41388C" w14:textId="7D65BC4F"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Corporate Services</w:t>
      </w:r>
      <w:r w:rsidRPr="00E364D6">
        <w:rPr>
          <w:rFonts w:ascii="Arial" w:eastAsia="Times New Roman" w:hAnsi="Arial" w:cs="Arial"/>
          <w:color w:val="333333"/>
          <w:sz w:val="20"/>
          <w:szCs w:val="20"/>
          <w:lang w:eastAsia="en-AU"/>
        </w:rPr>
        <w:t xml:space="preserve"> </w:t>
      </w:r>
    </w:p>
    <w:p w14:paraId="5C4C377A" w14:textId="4D62FC3F" w:rsidR="00E364D6" w:rsidRPr="00E364D6" w:rsidRDefault="00E364D6" w:rsidP="00313F3D">
      <w:pPr>
        <w:spacing w:before="16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Defines and drives the people, finance and information technology priorities for EPA, and enables a culture of high </w:t>
      </w:r>
      <w:proofErr w:type="gramStart"/>
      <w:r w:rsidRPr="00E364D6">
        <w:rPr>
          <w:rFonts w:ascii="Arial" w:eastAsia="Times New Roman" w:hAnsi="Arial" w:cs="Arial"/>
          <w:color w:val="333333"/>
          <w:sz w:val="20"/>
          <w:szCs w:val="20"/>
          <w:lang w:eastAsia="en-AU"/>
        </w:rPr>
        <w:t>performance  in</w:t>
      </w:r>
      <w:proofErr w:type="gramEnd"/>
      <w:r w:rsidRPr="00E364D6">
        <w:rPr>
          <w:rFonts w:ascii="Arial" w:eastAsia="Times New Roman" w:hAnsi="Arial" w:cs="Arial"/>
          <w:color w:val="333333"/>
          <w:sz w:val="20"/>
          <w:szCs w:val="20"/>
          <w:lang w:eastAsia="en-AU"/>
        </w:rPr>
        <w:t xml:space="preserve"> the delivery of regulatory functions. </w:t>
      </w:r>
    </w:p>
    <w:p w14:paraId="72F92D6A" w14:textId="07AAEA04"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Quality</w:t>
      </w:r>
      <w:r w:rsidRPr="00E364D6">
        <w:rPr>
          <w:rFonts w:ascii="Arial" w:eastAsia="Times New Roman" w:hAnsi="Arial" w:cs="Arial"/>
          <w:color w:val="333333"/>
          <w:sz w:val="20"/>
          <w:szCs w:val="20"/>
          <w:lang w:eastAsia="en-AU"/>
        </w:rPr>
        <w:t xml:space="preserve"> </w:t>
      </w:r>
    </w:p>
    <w:p w14:paraId="0E3A796B" w14:textId="7CB2967C" w:rsidR="00E364D6" w:rsidRPr="00E364D6" w:rsidRDefault="00E364D6" w:rsidP="00313F3D">
      <w:pPr>
        <w:spacing w:before="16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Drives and enables the quality of regulatory and enterprise decision making and operations through an independent quality and assurance function that works across EPA. </w:t>
      </w:r>
    </w:p>
    <w:p w14:paraId="56AD9522" w14:textId="07191862"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Legal</w:t>
      </w:r>
      <w:r w:rsidRPr="00E364D6">
        <w:rPr>
          <w:rFonts w:ascii="Arial" w:eastAsia="Times New Roman" w:hAnsi="Arial" w:cs="Arial"/>
          <w:color w:val="333333"/>
          <w:sz w:val="20"/>
          <w:szCs w:val="20"/>
          <w:lang w:eastAsia="en-AU"/>
        </w:rPr>
        <w:t xml:space="preserve"> </w:t>
      </w:r>
    </w:p>
    <w:p w14:paraId="2CB18DC6" w14:textId="13CCF66F" w:rsidR="00E364D6" w:rsidRPr="00E364D6" w:rsidRDefault="00E364D6" w:rsidP="00313F3D">
      <w:pPr>
        <w:spacing w:before="16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Provides a legal centre of expertise, responsible for defining and overseeing legal policies and processes, providing legal advice and support on regulation and enforcement matters, and managing EPA s legal obligations. </w:t>
      </w:r>
    </w:p>
    <w:p w14:paraId="3298A106" w14:textId="30C60909"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Public Affairs</w:t>
      </w:r>
      <w:r w:rsidR="00E364D6" w:rsidRPr="00E364D6">
        <w:rPr>
          <w:rFonts w:ascii="Arial" w:eastAsia="Times New Roman" w:hAnsi="Arial" w:cs="Arial"/>
          <w:color w:val="333333"/>
          <w:sz w:val="20"/>
          <w:szCs w:val="20"/>
          <w:lang w:eastAsia="en-AU"/>
        </w:rPr>
        <w:t xml:space="preserve"> </w:t>
      </w:r>
    </w:p>
    <w:p w14:paraId="7F628FF4" w14:textId="56DC4311" w:rsidR="00E364D6" w:rsidRPr="00E364D6" w:rsidRDefault="00E364D6" w:rsidP="00E364D6">
      <w:pPr>
        <w:spacing w:before="210" w:after="21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Enables regulatory excellence through communications and engagement with communities and industry to promote understanding and compliance with the laws that prevent harm to human health and the environment. </w:t>
      </w:r>
    </w:p>
    <w:p w14:paraId="4C6A44B4" w14:textId="435F4431" w:rsidR="001844B6" w:rsidRDefault="00DB3B9E" w:rsidP="00313F3D">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r w:rsidR="001844B6" w:rsidRPr="001844B6">
        <w:rPr>
          <w:rFonts w:ascii="Arial" w:eastAsia="Times New Roman" w:hAnsi="Arial" w:cs="Arial"/>
          <w:b/>
          <w:bCs/>
          <w:color w:val="111111"/>
          <w:sz w:val="57"/>
          <w:szCs w:val="57"/>
          <w:lang w:eastAsia="en-AU"/>
        </w:rPr>
        <w:lastRenderedPageBreak/>
        <w:t xml:space="preserve">Regional presence </w:t>
      </w:r>
    </w:p>
    <w:p w14:paraId="350C1CC4" w14:textId="4942F076" w:rsidR="00526260" w:rsidRDefault="00526260" w:rsidP="00CD6B4D">
      <w:pPr>
        <w:spacing w:before="210" w:after="210" w:line="240" w:lineRule="auto"/>
        <w:outlineLvl w:val="2"/>
        <w:rPr>
          <w:rFonts w:ascii="Arial" w:eastAsia="Times New Roman" w:hAnsi="Arial" w:cs="Arial"/>
          <w:color w:val="333333"/>
          <w:sz w:val="20"/>
          <w:szCs w:val="20"/>
          <w:lang w:eastAsia="en-AU"/>
        </w:rPr>
      </w:pPr>
      <w:r w:rsidRPr="00526260">
        <w:rPr>
          <w:rFonts w:ascii="Arial" w:eastAsia="Times New Roman" w:hAnsi="Arial" w:cs="Arial"/>
          <w:color w:val="333333"/>
          <w:sz w:val="20"/>
          <w:szCs w:val="20"/>
          <w:lang w:eastAsia="en-AU"/>
        </w:rPr>
        <w:t xml:space="preserve">EPA is focused on preventing harm from pollution and </w:t>
      </w:r>
      <w:proofErr w:type="gramStart"/>
      <w:r w:rsidRPr="00526260">
        <w:rPr>
          <w:rFonts w:ascii="Arial" w:eastAsia="Times New Roman" w:hAnsi="Arial" w:cs="Arial"/>
          <w:color w:val="333333"/>
          <w:sz w:val="20"/>
          <w:szCs w:val="20"/>
          <w:lang w:eastAsia="en-AU"/>
        </w:rPr>
        <w:t>waste  by</w:t>
      </w:r>
      <w:proofErr w:type="gramEnd"/>
      <w:r w:rsidRPr="00526260">
        <w:rPr>
          <w:rFonts w:ascii="Arial" w:eastAsia="Times New Roman" w:hAnsi="Arial" w:cs="Arial"/>
          <w:color w:val="333333"/>
          <w:sz w:val="20"/>
          <w:szCs w:val="20"/>
          <w:lang w:eastAsia="en-AU"/>
        </w:rPr>
        <w:t xml:space="preserve"> working with local communities</w:t>
      </w:r>
      <w:r>
        <w:rPr>
          <w:rFonts w:ascii="Arial" w:eastAsia="Times New Roman" w:hAnsi="Arial" w:cs="Arial"/>
          <w:color w:val="333333"/>
          <w:sz w:val="20"/>
          <w:szCs w:val="20"/>
          <w:lang w:eastAsia="en-AU"/>
        </w:rPr>
        <w:t>,</w:t>
      </w:r>
      <w:r w:rsidR="00CD6B4D">
        <w:rPr>
          <w:rFonts w:ascii="Arial" w:eastAsia="Times New Roman" w:hAnsi="Arial" w:cs="Arial"/>
          <w:color w:val="333333"/>
          <w:sz w:val="20"/>
          <w:szCs w:val="20"/>
          <w:lang w:eastAsia="en-AU"/>
        </w:rPr>
        <w:t xml:space="preserve"> </w:t>
      </w:r>
      <w:r w:rsidRPr="00526260">
        <w:rPr>
          <w:rFonts w:ascii="Arial" w:eastAsia="Times New Roman" w:hAnsi="Arial" w:cs="Arial"/>
          <w:color w:val="333333"/>
          <w:sz w:val="20"/>
          <w:szCs w:val="20"/>
          <w:lang w:eastAsia="en-AU"/>
        </w:rPr>
        <w:t xml:space="preserve">industry and </w:t>
      </w:r>
      <w:proofErr w:type="gramStart"/>
      <w:r w:rsidRPr="00526260">
        <w:rPr>
          <w:rFonts w:ascii="Arial" w:eastAsia="Times New Roman" w:hAnsi="Arial" w:cs="Arial"/>
          <w:color w:val="333333"/>
          <w:sz w:val="20"/>
          <w:szCs w:val="20"/>
          <w:lang w:eastAsia="en-AU"/>
        </w:rPr>
        <w:t>businesses  to</w:t>
      </w:r>
      <w:proofErr w:type="gramEnd"/>
      <w:r w:rsidRPr="00526260">
        <w:rPr>
          <w:rFonts w:ascii="Arial" w:eastAsia="Times New Roman" w:hAnsi="Arial" w:cs="Arial"/>
          <w:color w:val="333333"/>
          <w:sz w:val="20"/>
          <w:szCs w:val="20"/>
          <w:lang w:eastAsia="en-AU"/>
        </w:rPr>
        <w:t xml:space="preserve"> build understanding and ensure compliance </w:t>
      </w:r>
      <w:proofErr w:type="gramStart"/>
      <w:r w:rsidRPr="00526260">
        <w:rPr>
          <w:rFonts w:ascii="Arial" w:eastAsia="Times New Roman" w:hAnsi="Arial" w:cs="Arial"/>
          <w:color w:val="333333"/>
          <w:sz w:val="20"/>
          <w:szCs w:val="20"/>
          <w:lang w:eastAsia="en-AU"/>
        </w:rPr>
        <w:t>with  presence</w:t>
      </w:r>
      <w:proofErr w:type="gramEnd"/>
      <w:r w:rsidRPr="00526260">
        <w:rPr>
          <w:rFonts w:ascii="Arial" w:eastAsia="Times New Roman" w:hAnsi="Arial" w:cs="Arial"/>
          <w:color w:val="333333"/>
          <w:sz w:val="20"/>
          <w:szCs w:val="20"/>
          <w:lang w:eastAsia="en-AU"/>
        </w:rPr>
        <w:t xml:space="preserve"> Victoria’s environmental laws. </w:t>
      </w:r>
    </w:p>
    <w:p w14:paraId="280FAC92" w14:textId="77777777" w:rsidR="004204C3" w:rsidRPr="00526260" w:rsidRDefault="004204C3" w:rsidP="00CD6B4D">
      <w:pPr>
        <w:spacing w:before="210" w:after="210" w:line="240" w:lineRule="auto"/>
        <w:outlineLvl w:val="2"/>
        <w:rPr>
          <w:rFonts w:ascii="Arial" w:eastAsia="Times New Roman" w:hAnsi="Arial" w:cs="Arial"/>
          <w:color w:val="333333"/>
          <w:sz w:val="20"/>
          <w:szCs w:val="20"/>
          <w:lang w:eastAsia="en-AU"/>
        </w:rPr>
      </w:pPr>
    </w:p>
    <w:p w14:paraId="4BE2C298" w14:textId="77777777" w:rsidR="00CD6B4D" w:rsidRDefault="00CD6B4D" w:rsidP="00526260">
      <w:pPr>
        <w:spacing w:before="210" w:after="210" w:line="540" w:lineRule="atLeast"/>
        <w:outlineLvl w:val="2"/>
        <w:rPr>
          <w:rFonts w:ascii="Arial" w:eastAsia="Times New Roman" w:hAnsi="Arial" w:cs="Arial"/>
          <w:b/>
          <w:bCs/>
          <w:color w:val="111111"/>
          <w:sz w:val="42"/>
          <w:szCs w:val="42"/>
          <w:lang w:eastAsia="en-AU"/>
        </w:rPr>
      </w:pPr>
      <w:r w:rsidRPr="00CD6B4D">
        <w:rPr>
          <w:rFonts w:ascii="Arial" w:eastAsia="Times New Roman" w:hAnsi="Arial" w:cs="Arial"/>
          <w:b/>
          <w:bCs/>
          <w:color w:val="111111"/>
          <w:sz w:val="42"/>
          <w:szCs w:val="42"/>
          <w:lang w:eastAsia="en-AU"/>
        </w:rPr>
        <w:t xml:space="preserve">EPA serves Victoria </w:t>
      </w:r>
    </w:p>
    <w:p w14:paraId="0EF77A49" w14:textId="222713AF" w:rsidR="004204C3" w:rsidRDefault="00526260" w:rsidP="00CD6B4D">
      <w:pPr>
        <w:spacing w:before="210" w:after="210" w:line="240" w:lineRule="auto"/>
        <w:outlineLvl w:val="2"/>
        <w:rPr>
          <w:rFonts w:ascii="Arial" w:eastAsia="Times New Roman" w:hAnsi="Arial" w:cs="Arial"/>
          <w:color w:val="333333"/>
          <w:sz w:val="20"/>
          <w:szCs w:val="20"/>
          <w:lang w:eastAsia="en-AU"/>
        </w:rPr>
      </w:pPr>
      <w:r w:rsidRPr="00526260">
        <w:rPr>
          <w:rFonts w:ascii="Arial" w:eastAsia="Times New Roman" w:hAnsi="Arial" w:cs="Arial"/>
          <w:color w:val="333333"/>
          <w:sz w:val="20"/>
          <w:szCs w:val="20"/>
          <w:lang w:eastAsia="en-AU"/>
        </w:rPr>
        <w:t xml:space="preserve">EPA has a placed-based delivery model, with our team living and working across the State. This means we can bring a consistent and </w:t>
      </w:r>
      <w:proofErr w:type="gramStart"/>
      <w:r w:rsidRPr="00526260">
        <w:rPr>
          <w:rFonts w:ascii="Arial" w:eastAsia="Times New Roman" w:hAnsi="Arial" w:cs="Arial"/>
          <w:color w:val="333333"/>
          <w:sz w:val="20"/>
          <w:szCs w:val="20"/>
          <w:lang w:eastAsia="en-AU"/>
        </w:rPr>
        <w:t>aligned  ‘</w:t>
      </w:r>
      <w:proofErr w:type="gramEnd"/>
      <w:r w:rsidRPr="00526260">
        <w:rPr>
          <w:rFonts w:ascii="Arial" w:eastAsia="Times New Roman" w:hAnsi="Arial" w:cs="Arial"/>
          <w:color w:val="333333"/>
          <w:sz w:val="20"/>
          <w:szCs w:val="20"/>
          <w:lang w:eastAsia="en-AU"/>
        </w:rPr>
        <w:t>one-EPA’ approach to decision making, while tailoring our response to meet local requirements.</w:t>
      </w:r>
    </w:p>
    <w:p w14:paraId="6F3116C2" w14:textId="629959CE" w:rsidR="004204C3" w:rsidRDefault="00580E06" w:rsidP="00CD6B4D">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EPA serves Victorians and is strategically located across the State</w:t>
      </w:r>
      <w:r>
        <w:rPr>
          <w:rFonts w:ascii="Arial" w:eastAsia="Times New Roman" w:hAnsi="Arial" w:cs="Arial"/>
          <w:color w:val="333333"/>
          <w:sz w:val="20"/>
          <w:szCs w:val="20"/>
          <w:lang w:eastAsia="en-AU"/>
        </w:rPr>
        <w:t>:</w:t>
      </w:r>
      <w:r w:rsidR="00194619">
        <w:rPr>
          <w:rFonts w:ascii="Arial" w:eastAsia="Times New Roman" w:hAnsi="Arial" w:cs="Arial"/>
          <w:color w:val="333333"/>
          <w:sz w:val="20"/>
          <w:szCs w:val="20"/>
          <w:lang w:eastAsia="en-AU"/>
        </w:rPr>
        <w:br/>
      </w:r>
    </w:p>
    <w:p w14:paraId="6CDCF809" w14:textId="77777777" w:rsidR="00580E06" w:rsidRPr="00580E06" w:rsidRDefault="00580E06" w:rsidP="00580E06">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 xml:space="preserve">Bendigo / </w:t>
      </w:r>
      <w:proofErr w:type="gramStart"/>
      <w:r w:rsidRPr="00580E06">
        <w:rPr>
          <w:rFonts w:ascii="Arial" w:eastAsia="Times New Roman" w:hAnsi="Arial" w:cs="Arial"/>
          <w:color w:val="333333"/>
          <w:sz w:val="20"/>
          <w:szCs w:val="20"/>
          <w:lang w:eastAsia="en-AU"/>
        </w:rPr>
        <w:t>North West</w:t>
      </w:r>
      <w:proofErr w:type="gramEnd"/>
      <w:r w:rsidRPr="00580E06">
        <w:rPr>
          <w:rFonts w:ascii="Arial" w:eastAsia="Times New Roman" w:hAnsi="Arial" w:cs="Arial"/>
          <w:color w:val="333333"/>
          <w:sz w:val="20"/>
          <w:szCs w:val="20"/>
          <w:lang w:eastAsia="en-AU"/>
        </w:rPr>
        <w:t xml:space="preserve"> Victoria Region</w:t>
      </w:r>
    </w:p>
    <w:p w14:paraId="586264FB"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Carlton / Head office</w:t>
      </w:r>
    </w:p>
    <w:p w14:paraId="3A66AD42" w14:textId="77777777" w:rsidR="00194619"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Dandenong / Southern Metropolitan Melbourne Region</w:t>
      </w:r>
    </w:p>
    <w:p w14:paraId="31172F43" w14:textId="77777777" w:rsidR="00580E06" w:rsidRPr="00580E06" w:rsidRDefault="00580E06" w:rsidP="00580E06">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 xml:space="preserve">Geelong / </w:t>
      </w:r>
      <w:proofErr w:type="gramStart"/>
      <w:r w:rsidRPr="00580E06">
        <w:rPr>
          <w:rFonts w:ascii="Arial" w:eastAsia="Times New Roman" w:hAnsi="Arial" w:cs="Arial"/>
          <w:color w:val="333333"/>
          <w:sz w:val="20"/>
          <w:szCs w:val="20"/>
          <w:lang w:eastAsia="en-AU"/>
        </w:rPr>
        <w:t>South West</w:t>
      </w:r>
      <w:proofErr w:type="gramEnd"/>
      <w:r w:rsidRPr="00580E06">
        <w:rPr>
          <w:rFonts w:ascii="Arial" w:eastAsia="Times New Roman" w:hAnsi="Arial" w:cs="Arial"/>
          <w:color w:val="333333"/>
          <w:sz w:val="20"/>
          <w:szCs w:val="20"/>
          <w:lang w:eastAsia="en-AU"/>
        </w:rPr>
        <w:t xml:space="preserve"> Victoria Region</w:t>
      </w:r>
    </w:p>
    <w:p w14:paraId="3CA531A1"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Macleod / Science Centre</w:t>
      </w:r>
    </w:p>
    <w:p w14:paraId="1D328917"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Preston / Northern Metropolitan Melbourne Region</w:t>
      </w:r>
    </w:p>
    <w:p w14:paraId="3F53E118"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Sunshine / Western Metropolitan Melbourne Region</w:t>
      </w:r>
    </w:p>
    <w:p w14:paraId="0FEF18DC"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Traralgon / Gippsland Region</w:t>
      </w:r>
    </w:p>
    <w:p w14:paraId="3F07886E" w14:textId="0C8E856B" w:rsidR="00526260" w:rsidRDefault="00580E06"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 xml:space="preserve">Wangaratta / </w:t>
      </w:r>
      <w:proofErr w:type="gramStart"/>
      <w:r w:rsidRPr="00580E06">
        <w:rPr>
          <w:rFonts w:ascii="Arial" w:eastAsia="Times New Roman" w:hAnsi="Arial" w:cs="Arial"/>
          <w:color w:val="333333"/>
          <w:sz w:val="20"/>
          <w:szCs w:val="20"/>
          <w:lang w:eastAsia="en-AU"/>
        </w:rPr>
        <w:t>North East</w:t>
      </w:r>
      <w:proofErr w:type="gramEnd"/>
      <w:r w:rsidRPr="00580E06">
        <w:rPr>
          <w:rFonts w:ascii="Arial" w:eastAsia="Times New Roman" w:hAnsi="Arial" w:cs="Arial"/>
          <w:color w:val="333333"/>
          <w:sz w:val="20"/>
          <w:szCs w:val="20"/>
          <w:lang w:eastAsia="en-AU"/>
        </w:rPr>
        <w:t xml:space="preserve"> Victoria Region</w:t>
      </w:r>
    </w:p>
    <w:p w14:paraId="52A101BB" w14:textId="77777777" w:rsidR="00194619" w:rsidRDefault="00194619" w:rsidP="00194619">
      <w:pPr>
        <w:spacing w:before="210" w:after="210" w:line="240" w:lineRule="auto"/>
        <w:outlineLvl w:val="2"/>
        <w:rPr>
          <w:rFonts w:ascii="Arial" w:eastAsia="Times New Roman" w:hAnsi="Arial" w:cs="Arial"/>
          <w:color w:val="333333"/>
          <w:sz w:val="20"/>
          <w:szCs w:val="20"/>
          <w:lang w:eastAsia="en-AU"/>
        </w:rPr>
      </w:pPr>
    </w:p>
    <w:p w14:paraId="3D292BF6" w14:textId="1A740245" w:rsidR="00A1428B" w:rsidRPr="003643AB" w:rsidRDefault="00A1428B" w:rsidP="006D3756">
      <w:pPr>
        <w:spacing w:before="210" w:after="120" w:line="240" w:lineRule="auto"/>
        <w:rPr>
          <w:rFonts w:ascii="Arial" w:eastAsia="Times New Roman" w:hAnsi="Arial" w:cs="Arial"/>
          <w:color w:val="333333"/>
          <w:sz w:val="20"/>
          <w:szCs w:val="20"/>
          <w:lang w:eastAsia="en-AU"/>
        </w:rPr>
      </w:pPr>
    </w:p>
    <w:p w14:paraId="4B2C24E3" w14:textId="77777777" w:rsidR="003E1F80" w:rsidRDefault="003E1F80">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6613EE11" w14:textId="77777777" w:rsidR="003E1F80" w:rsidRDefault="003E1F80" w:rsidP="003E1F80">
      <w:pPr>
        <w:spacing w:before="210" w:after="210" w:line="240" w:lineRule="auto"/>
        <w:rPr>
          <w:rFonts w:ascii="Arial" w:eastAsia="Times New Roman" w:hAnsi="Arial" w:cs="Arial"/>
          <w:b/>
          <w:bCs/>
          <w:color w:val="111111"/>
          <w:sz w:val="57"/>
          <w:szCs w:val="57"/>
          <w:lang w:eastAsia="en-AU"/>
        </w:rPr>
      </w:pPr>
      <w:r w:rsidRPr="003E1F80">
        <w:rPr>
          <w:rFonts w:ascii="Arial" w:eastAsia="Times New Roman" w:hAnsi="Arial" w:cs="Arial"/>
          <w:b/>
          <w:bCs/>
          <w:color w:val="111111"/>
          <w:sz w:val="57"/>
          <w:szCs w:val="57"/>
          <w:lang w:eastAsia="en-AU"/>
        </w:rPr>
        <w:lastRenderedPageBreak/>
        <w:t xml:space="preserve">Reducing risks of harm </w:t>
      </w:r>
    </w:p>
    <w:p w14:paraId="68E9BFEE" w14:textId="77777777" w:rsidR="00313F3D" w:rsidRDefault="00313F3D" w:rsidP="00FA02CB">
      <w:pPr>
        <w:spacing w:before="210" w:after="210" w:line="240" w:lineRule="auto"/>
        <w:outlineLvl w:val="1"/>
        <w:rPr>
          <w:rFonts w:ascii="Arial" w:eastAsia="Times New Roman" w:hAnsi="Arial" w:cs="Arial"/>
          <w:color w:val="333333"/>
          <w:sz w:val="20"/>
          <w:szCs w:val="20"/>
          <w:lang w:eastAsia="en-AU"/>
        </w:rPr>
      </w:pPr>
    </w:p>
    <w:p w14:paraId="456FBCA3" w14:textId="38C7ED5C"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Industrial, commercial, and domestic activities that can be a source of pollution and waste are important to a strong Victorian economy and society. We know that if not properly managed, these activities can cause harm to human health and the environment. </w:t>
      </w:r>
    </w:p>
    <w:p w14:paraId="68F28D1D" w14:textId="77777777" w:rsid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EPA focusses its resources and efforts on the greatest risks of harm. This means we can make the biggest difference for all Victorians. </w:t>
      </w:r>
    </w:p>
    <w:p w14:paraId="02EAFE80" w14:textId="65BCAC07"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To identify these risks of harm, we use science, data and intelligence, drawing on our technical expertise and operational experience. We’re also guided by insights from community, Traditional Owners, industry and other partners, including local </w:t>
      </w:r>
      <w:proofErr w:type="gramStart"/>
      <w:r w:rsidRPr="00FA02CB">
        <w:rPr>
          <w:rFonts w:ascii="Arial" w:eastAsia="Times New Roman" w:hAnsi="Arial" w:cs="Arial"/>
          <w:color w:val="333333"/>
          <w:sz w:val="20"/>
          <w:szCs w:val="20"/>
          <w:lang w:eastAsia="en-AU"/>
        </w:rPr>
        <w:t>government  and</w:t>
      </w:r>
      <w:proofErr w:type="gramEnd"/>
      <w:r w:rsidRPr="00FA02CB">
        <w:rPr>
          <w:rFonts w:ascii="Arial" w:eastAsia="Times New Roman" w:hAnsi="Arial" w:cs="Arial"/>
          <w:color w:val="333333"/>
          <w:sz w:val="20"/>
          <w:szCs w:val="20"/>
          <w:lang w:eastAsia="en-AU"/>
        </w:rPr>
        <w:t xml:space="preserve"> co-regulators. </w:t>
      </w:r>
    </w:p>
    <w:p w14:paraId="0C322AFA" w14:textId="77777777"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Key risks of harm that we’ve identified include: </w:t>
      </w:r>
    </w:p>
    <w:p w14:paraId="7BA76E51"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Ongoing point source </w:t>
      </w:r>
      <w:proofErr w:type="gramStart"/>
      <w:r w:rsidRPr="00FA02CB">
        <w:rPr>
          <w:rFonts w:ascii="Arial" w:eastAsia="Times New Roman" w:hAnsi="Arial" w:cs="Arial"/>
          <w:b/>
          <w:bCs/>
          <w:color w:val="333333"/>
          <w:sz w:val="20"/>
          <w:szCs w:val="20"/>
          <w:lang w:eastAsia="en-AU"/>
        </w:rPr>
        <w:t>generators  of</w:t>
      </w:r>
      <w:proofErr w:type="gramEnd"/>
      <w:r w:rsidRPr="00FA02CB">
        <w:rPr>
          <w:rFonts w:ascii="Arial" w:eastAsia="Times New Roman" w:hAnsi="Arial" w:cs="Arial"/>
          <w:b/>
          <w:bCs/>
          <w:color w:val="333333"/>
          <w:sz w:val="20"/>
          <w:szCs w:val="20"/>
          <w:lang w:eastAsia="en-AU"/>
        </w:rPr>
        <w:t xml:space="preserve"> industrial pollution and waste: </w:t>
      </w:r>
    </w:p>
    <w:p w14:paraId="696B098B" w14:textId="1CF7CBFF"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Individual sites that emit significant amounts of pollution or generate significant amounts of hazardous waste as an inherent part of their operations. </w:t>
      </w:r>
    </w:p>
    <w:p w14:paraId="4A5A1401"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Potential catastrophic </w:t>
      </w:r>
      <w:proofErr w:type="gramStart"/>
      <w:r w:rsidRPr="00FA02CB">
        <w:rPr>
          <w:rFonts w:ascii="Arial" w:eastAsia="Times New Roman" w:hAnsi="Arial" w:cs="Arial"/>
          <w:b/>
          <w:bCs/>
          <w:color w:val="333333"/>
          <w:sz w:val="20"/>
          <w:szCs w:val="20"/>
          <w:lang w:eastAsia="en-AU"/>
        </w:rPr>
        <w:t>events  and</w:t>
      </w:r>
      <w:proofErr w:type="gramEnd"/>
      <w:r w:rsidRPr="00FA02CB">
        <w:rPr>
          <w:rFonts w:ascii="Arial" w:eastAsia="Times New Roman" w:hAnsi="Arial" w:cs="Arial"/>
          <w:b/>
          <w:bCs/>
          <w:color w:val="333333"/>
          <w:sz w:val="20"/>
          <w:szCs w:val="20"/>
          <w:lang w:eastAsia="en-AU"/>
        </w:rPr>
        <w:t xml:space="preserve"> other major failures: </w:t>
      </w:r>
    </w:p>
    <w:p w14:paraId="45E4C4C3" w14:textId="5C5E649B"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Hazard management and </w:t>
      </w:r>
      <w:proofErr w:type="gramStart"/>
      <w:r w:rsidRPr="00FA02CB">
        <w:rPr>
          <w:rFonts w:ascii="Arial" w:eastAsia="Times New Roman" w:hAnsi="Arial" w:cs="Arial"/>
          <w:color w:val="333333"/>
          <w:sz w:val="20"/>
          <w:szCs w:val="20"/>
          <w:lang w:eastAsia="en-AU"/>
        </w:rPr>
        <w:t>contingency  planning</w:t>
      </w:r>
      <w:proofErr w:type="gramEnd"/>
      <w:r w:rsidRPr="00FA02CB">
        <w:rPr>
          <w:rFonts w:ascii="Arial" w:eastAsia="Times New Roman" w:hAnsi="Arial" w:cs="Arial"/>
          <w:color w:val="333333"/>
          <w:sz w:val="20"/>
          <w:szCs w:val="20"/>
          <w:lang w:eastAsia="en-AU"/>
        </w:rPr>
        <w:t xml:space="preserve"> is required wherever </w:t>
      </w:r>
      <w:proofErr w:type="gramStart"/>
      <w:r w:rsidRPr="00FA02CB">
        <w:rPr>
          <w:rFonts w:ascii="Arial" w:eastAsia="Times New Roman" w:hAnsi="Arial" w:cs="Arial"/>
          <w:color w:val="333333"/>
          <w:sz w:val="20"/>
          <w:szCs w:val="20"/>
          <w:lang w:eastAsia="en-AU"/>
        </w:rPr>
        <w:t>there  is</w:t>
      </w:r>
      <w:proofErr w:type="gramEnd"/>
      <w:r w:rsidRPr="00FA02CB">
        <w:rPr>
          <w:rFonts w:ascii="Arial" w:eastAsia="Times New Roman" w:hAnsi="Arial" w:cs="Arial"/>
          <w:color w:val="333333"/>
          <w:sz w:val="20"/>
          <w:szCs w:val="20"/>
          <w:lang w:eastAsia="en-AU"/>
        </w:rPr>
        <w:t xml:space="preserve"> potential for major pollution events (floods or bushfires) or incidents (chemical release or fires in waste stockpiles). </w:t>
      </w:r>
    </w:p>
    <w:p w14:paraId="745D3EA9"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Cumulative emissions </w:t>
      </w:r>
      <w:proofErr w:type="gramStart"/>
      <w:r w:rsidRPr="00FA02CB">
        <w:rPr>
          <w:rFonts w:ascii="Arial" w:eastAsia="Times New Roman" w:hAnsi="Arial" w:cs="Arial"/>
          <w:b/>
          <w:bCs/>
          <w:color w:val="333333"/>
          <w:sz w:val="20"/>
          <w:szCs w:val="20"/>
          <w:lang w:eastAsia="en-AU"/>
        </w:rPr>
        <w:t>from  individuals</w:t>
      </w:r>
      <w:proofErr w:type="gramEnd"/>
      <w:r w:rsidRPr="00FA02CB">
        <w:rPr>
          <w:rFonts w:ascii="Arial" w:eastAsia="Times New Roman" w:hAnsi="Arial" w:cs="Arial"/>
          <w:b/>
          <w:bCs/>
          <w:color w:val="333333"/>
          <w:sz w:val="20"/>
          <w:szCs w:val="20"/>
          <w:lang w:eastAsia="en-AU"/>
        </w:rPr>
        <w:t xml:space="preserve"> and diffuse sources: </w:t>
      </w:r>
    </w:p>
    <w:p w14:paraId="1AA33F45" w14:textId="0D6981CC"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An increasing number of </w:t>
      </w:r>
      <w:proofErr w:type="gramStart"/>
      <w:r w:rsidRPr="00FA02CB">
        <w:rPr>
          <w:rFonts w:ascii="Arial" w:eastAsia="Times New Roman" w:hAnsi="Arial" w:cs="Arial"/>
          <w:color w:val="333333"/>
          <w:sz w:val="20"/>
          <w:szCs w:val="20"/>
          <w:lang w:eastAsia="en-AU"/>
        </w:rPr>
        <w:t>individually  small</w:t>
      </w:r>
      <w:proofErr w:type="gramEnd"/>
      <w:r w:rsidRPr="00FA02CB">
        <w:rPr>
          <w:rFonts w:ascii="Arial" w:eastAsia="Times New Roman" w:hAnsi="Arial" w:cs="Arial"/>
          <w:color w:val="333333"/>
          <w:sz w:val="20"/>
          <w:szCs w:val="20"/>
          <w:lang w:eastAsia="en-AU"/>
        </w:rPr>
        <w:t xml:space="preserve"> emissions (to air and water </w:t>
      </w:r>
      <w:proofErr w:type="gramStart"/>
      <w:r w:rsidRPr="00FA02CB">
        <w:rPr>
          <w:rFonts w:ascii="Arial" w:eastAsia="Times New Roman" w:hAnsi="Arial" w:cs="Arial"/>
          <w:color w:val="333333"/>
          <w:sz w:val="20"/>
          <w:szCs w:val="20"/>
          <w:lang w:eastAsia="en-AU"/>
        </w:rPr>
        <w:t>and  from</w:t>
      </w:r>
      <w:proofErr w:type="gramEnd"/>
      <w:r w:rsidRPr="00FA02CB">
        <w:rPr>
          <w:rFonts w:ascii="Arial" w:eastAsia="Times New Roman" w:hAnsi="Arial" w:cs="Arial"/>
          <w:color w:val="333333"/>
          <w:sz w:val="20"/>
          <w:szCs w:val="20"/>
          <w:lang w:eastAsia="en-AU"/>
        </w:rPr>
        <w:t xml:space="preserve"> noise, odour and litter) can </w:t>
      </w:r>
      <w:proofErr w:type="gramStart"/>
      <w:r w:rsidRPr="00FA02CB">
        <w:rPr>
          <w:rFonts w:ascii="Arial" w:eastAsia="Times New Roman" w:hAnsi="Arial" w:cs="Arial"/>
          <w:color w:val="333333"/>
          <w:sz w:val="20"/>
          <w:szCs w:val="20"/>
          <w:lang w:eastAsia="en-AU"/>
        </w:rPr>
        <w:t>lead  to</w:t>
      </w:r>
      <w:proofErr w:type="gramEnd"/>
      <w:r w:rsidRPr="00FA02CB">
        <w:rPr>
          <w:rFonts w:ascii="Arial" w:eastAsia="Times New Roman" w:hAnsi="Arial" w:cs="Arial"/>
          <w:color w:val="333333"/>
          <w:sz w:val="20"/>
          <w:szCs w:val="20"/>
          <w:lang w:eastAsia="en-AU"/>
        </w:rPr>
        <w:t xml:space="preserve"> environmental problems or general reductions in the quality of local environmental, health and amenity values. </w:t>
      </w:r>
    </w:p>
    <w:p w14:paraId="03BEE72D"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Spills and incidents </w:t>
      </w:r>
      <w:proofErr w:type="gramStart"/>
      <w:r w:rsidRPr="00FA02CB">
        <w:rPr>
          <w:rFonts w:ascii="Arial" w:eastAsia="Times New Roman" w:hAnsi="Arial" w:cs="Arial"/>
          <w:b/>
          <w:bCs/>
          <w:color w:val="333333"/>
          <w:sz w:val="20"/>
          <w:szCs w:val="20"/>
          <w:lang w:eastAsia="en-AU"/>
        </w:rPr>
        <w:t>from  business</w:t>
      </w:r>
      <w:proofErr w:type="gramEnd"/>
      <w:r w:rsidRPr="00FA02CB">
        <w:rPr>
          <w:rFonts w:ascii="Arial" w:eastAsia="Times New Roman" w:hAnsi="Arial" w:cs="Arial"/>
          <w:b/>
          <w:bCs/>
          <w:color w:val="333333"/>
          <w:sz w:val="20"/>
          <w:szCs w:val="20"/>
          <w:lang w:eastAsia="en-AU"/>
        </w:rPr>
        <w:t xml:space="preserve"> and industry: </w:t>
      </w:r>
    </w:p>
    <w:p w14:paraId="1070854F" w14:textId="09BD7F72"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The large number of </w:t>
      </w:r>
      <w:proofErr w:type="gramStart"/>
      <w:r w:rsidRPr="00FA02CB">
        <w:rPr>
          <w:rFonts w:ascii="Arial" w:eastAsia="Times New Roman" w:hAnsi="Arial" w:cs="Arial"/>
          <w:color w:val="333333"/>
          <w:sz w:val="20"/>
          <w:szCs w:val="20"/>
          <w:lang w:eastAsia="en-AU"/>
        </w:rPr>
        <w:t>commercial  and</w:t>
      </w:r>
      <w:proofErr w:type="gramEnd"/>
      <w:r w:rsidRPr="00FA02CB">
        <w:rPr>
          <w:rFonts w:ascii="Arial" w:eastAsia="Times New Roman" w:hAnsi="Arial" w:cs="Arial"/>
          <w:color w:val="333333"/>
          <w:sz w:val="20"/>
          <w:szCs w:val="20"/>
          <w:lang w:eastAsia="en-AU"/>
        </w:rPr>
        <w:t xml:space="preserve"> industrial activities can </w:t>
      </w:r>
      <w:proofErr w:type="gramStart"/>
      <w:r w:rsidRPr="00FA02CB">
        <w:rPr>
          <w:rFonts w:ascii="Arial" w:eastAsia="Times New Roman" w:hAnsi="Arial" w:cs="Arial"/>
          <w:color w:val="333333"/>
          <w:sz w:val="20"/>
          <w:szCs w:val="20"/>
          <w:lang w:eastAsia="en-AU"/>
        </w:rPr>
        <w:t>cause  numerous</w:t>
      </w:r>
      <w:proofErr w:type="gramEnd"/>
      <w:r w:rsidRPr="00FA02CB">
        <w:rPr>
          <w:rFonts w:ascii="Arial" w:eastAsia="Times New Roman" w:hAnsi="Arial" w:cs="Arial"/>
          <w:color w:val="333333"/>
          <w:sz w:val="20"/>
          <w:szCs w:val="20"/>
          <w:lang w:eastAsia="en-AU"/>
        </w:rPr>
        <w:t xml:space="preserve"> incidental or accidental </w:t>
      </w:r>
      <w:proofErr w:type="gramStart"/>
      <w:r w:rsidRPr="00FA02CB">
        <w:rPr>
          <w:rFonts w:ascii="Arial" w:eastAsia="Times New Roman" w:hAnsi="Arial" w:cs="Arial"/>
          <w:color w:val="333333"/>
          <w:sz w:val="20"/>
          <w:szCs w:val="20"/>
          <w:lang w:eastAsia="en-AU"/>
        </w:rPr>
        <w:t>spills  and</w:t>
      </w:r>
      <w:proofErr w:type="gramEnd"/>
      <w:r w:rsidRPr="00FA02CB">
        <w:rPr>
          <w:rFonts w:ascii="Arial" w:eastAsia="Times New Roman" w:hAnsi="Arial" w:cs="Arial"/>
          <w:color w:val="333333"/>
          <w:sz w:val="20"/>
          <w:szCs w:val="20"/>
          <w:lang w:eastAsia="en-AU"/>
        </w:rPr>
        <w:t xml:space="preserve"> discharges that are </w:t>
      </w:r>
      <w:proofErr w:type="gramStart"/>
      <w:r w:rsidRPr="00FA02CB">
        <w:rPr>
          <w:rFonts w:ascii="Arial" w:eastAsia="Times New Roman" w:hAnsi="Arial" w:cs="Arial"/>
          <w:color w:val="333333"/>
          <w:sz w:val="20"/>
          <w:szCs w:val="20"/>
          <w:lang w:eastAsia="en-AU"/>
        </w:rPr>
        <w:t>individually  small</w:t>
      </w:r>
      <w:proofErr w:type="gramEnd"/>
      <w:r w:rsidRPr="00FA02CB">
        <w:rPr>
          <w:rFonts w:ascii="Arial" w:eastAsia="Times New Roman" w:hAnsi="Arial" w:cs="Arial"/>
          <w:color w:val="333333"/>
          <w:sz w:val="20"/>
          <w:szCs w:val="20"/>
          <w:lang w:eastAsia="en-AU"/>
        </w:rPr>
        <w:t xml:space="preserve"> but can lead to “hot spots” or local areas of reduced environmental quality. </w:t>
      </w:r>
    </w:p>
    <w:p w14:paraId="47B6D614"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Exposure to contaminants and legacy sites: </w:t>
      </w:r>
    </w:p>
    <w:p w14:paraId="4115BBA4" w14:textId="2F13A206"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Historical contamination (from known and emerging contaminants) can pose actual and potential health risks to the community. </w:t>
      </w:r>
    </w:p>
    <w:p w14:paraId="79CC5DB0"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Hidden and criminal activities creating new long-term risks: </w:t>
      </w:r>
    </w:p>
    <w:p w14:paraId="3506241A" w14:textId="63D9B9E1"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Pollution from hidden or covert </w:t>
      </w:r>
      <w:proofErr w:type="gramStart"/>
      <w:r w:rsidRPr="00FA02CB">
        <w:rPr>
          <w:rFonts w:ascii="Arial" w:eastAsia="Times New Roman" w:hAnsi="Arial" w:cs="Arial"/>
          <w:color w:val="333333"/>
          <w:sz w:val="20"/>
          <w:szCs w:val="20"/>
          <w:lang w:eastAsia="en-AU"/>
        </w:rPr>
        <w:t>actors  (</w:t>
      </w:r>
      <w:proofErr w:type="gramEnd"/>
      <w:r w:rsidRPr="00FA02CB">
        <w:rPr>
          <w:rFonts w:ascii="Arial" w:eastAsia="Times New Roman" w:hAnsi="Arial" w:cs="Arial"/>
          <w:color w:val="333333"/>
          <w:sz w:val="20"/>
          <w:szCs w:val="20"/>
          <w:lang w:eastAsia="en-AU"/>
        </w:rPr>
        <w:t xml:space="preserve">for example, illegal dumping) can </w:t>
      </w:r>
      <w:proofErr w:type="gramStart"/>
      <w:r w:rsidRPr="00FA02CB">
        <w:rPr>
          <w:rFonts w:ascii="Arial" w:eastAsia="Times New Roman" w:hAnsi="Arial" w:cs="Arial"/>
          <w:color w:val="333333"/>
          <w:sz w:val="20"/>
          <w:szCs w:val="20"/>
          <w:lang w:eastAsia="en-AU"/>
        </w:rPr>
        <w:t>create  risks</w:t>
      </w:r>
      <w:proofErr w:type="gramEnd"/>
      <w:r w:rsidRPr="00FA02CB">
        <w:rPr>
          <w:rFonts w:ascii="Arial" w:eastAsia="Times New Roman" w:hAnsi="Arial" w:cs="Arial"/>
          <w:color w:val="333333"/>
          <w:sz w:val="20"/>
          <w:szCs w:val="20"/>
          <w:lang w:eastAsia="en-AU"/>
        </w:rPr>
        <w:t xml:space="preserve"> of new contamination or ‘legacy sites</w:t>
      </w:r>
      <w:proofErr w:type="gramStart"/>
      <w:r w:rsidRPr="00FA02CB">
        <w:rPr>
          <w:rFonts w:ascii="Arial" w:eastAsia="Times New Roman" w:hAnsi="Arial" w:cs="Arial"/>
          <w:color w:val="333333"/>
          <w:sz w:val="20"/>
          <w:szCs w:val="20"/>
          <w:lang w:eastAsia="en-AU"/>
        </w:rPr>
        <w:t>’  and</w:t>
      </w:r>
      <w:proofErr w:type="gramEnd"/>
      <w:r w:rsidRPr="00FA02CB">
        <w:rPr>
          <w:rFonts w:ascii="Arial" w:eastAsia="Times New Roman" w:hAnsi="Arial" w:cs="Arial"/>
          <w:color w:val="333333"/>
          <w:sz w:val="20"/>
          <w:szCs w:val="20"/>
          <w:lang w:eastAsia="en-AU"/>
        </w:rPr>
        <w:t xml:space="preserve"> undermine regulatory and </w:t>
      </w:r>
      <w:proofErr w:type="gramStart"/>
      <w:r w:rsidRPr="00FA02CB">
        <w:rPr>
          <w:rFonts w:ascii="Arial" w:eastAsia="Times New Roman" w:hAnsi="Arial" w:cs="Arial"/>
          <w:color w:val="333333"/>
          <w:sz w:val="20"/>
          <w:szCs w:val="20"/>
          <w:lang w:eastAsia="en-AU"/>
        </w:rPr>
        <w:t>market based</w:t>
      </w:r>
      <w:proofErr w:type="gramEnd"/>
      <w:r w:rsidRPr="00FA02CB">
        <w:rPr>
          <w:rFonts w:ascii="Arial" w:eastAsia="Times New Roman" w:hAnsi="Arial" w:cs="Arial"/>
          <w:color w:val="333333"/>
          <w:sz w:val="20"/>
          <w:szCs w:val="20"/>
          <w:lang w:eastAsia="en-AU"/>
        </w:rPr>
        <w:t xml:space="preserve"> frameworks. </w:t>
      </w:r>
    </w:p>
    <w:p w14:paraId="013CD9AE" w14:textId="1914A52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Conflicts between adjacent land uses and ongoing encroachment: </w:t>
      </w:r>
    </w:p>
    <w:p w14:paraId="48017A13" w14:textId="19AD9F78" w:rsid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Incompatible land-uses and </w:t>
      </w:r>
      <w:proofErr w:type="gramStart"/>
      <w:r w:rsidRPr="00FA02CB">
        <w:rPr>
          <w:rFonts w:ascii="Arial" w:eastAsia="Times New Roman" w:hAnsi="Arial" w:cs="Arial"/>
          <w:color w:val="333333"/>
          <w:sz w:val="20"/>
          <w:szCs w:val="20"/>
          <w:lang w:eastAsia="en-AU"/>
        </w:rPr>
        <w:t>the  encroachment</w:t>
      </w:r>
      <w:proofErr w:type="gramEnd"/>
      <w:r w:rsidRPr="00FA02CB">
        <w:rPr>
          <w:rFonts w:ascii="Arial" w:eastAsia="Times New Roman" w:hAnsi="Arial" w:cs="Arial"/>
          <w:color w:val="333333"/>
          <w:sz w:val="20"/>
          <w:szCs w:val="20"/>
          <w:lang w:eastAsia="en-AU"/>
        </w:rPr>
        <w:t xml:space="preserve"> of </w:t>
      </w:r>
      <w:proofErr w:type="gramStart"/>
      <w:r w:rsidRPr="00FA02CB">
        <w:rPr>
          <w:rFonts w:ascii="Arial" w:eastAsia="Times New Roman" w:hAnsi="Arial" w:cs="Arial"/>
          <w:color w:val="333333"/>
          <w:sz w:val="20"/>
          <w:szCs w:val="20"/>
          <w:lang w:eastAsia="en-AU"/>
        </w:rPr>
        <w:t>residential  development</w:t>
      </w:r>
      <w:proofErr w:type="gramEnd"/>
      <w:r w:rsidRPr="00FA02CB">
        <w:rPr>
          <w:rFonts w:ascii="Arial" w:eastAsia="Times New Roman" w:hAnsi="Arial" w:cs="Arial"/>
          <w:color w:val="333333"/>
          <w:sz w:val="20"/>
          <w:szCs w:val="20"/>
          <w:lang w:eastAsia="en-AU"/>
        </w:rPr>
        <w:t xml:space="preserve"> into buffers </w:t>
      </w:r>
      <w:proofErr w:type="gramStart"/>
      <w:r w:rsidRPr="00FA02CB">
        <w:rPr>
          <w:rFonts w:ascii="Arial" w:eastAsia="Times New Roman" w:hAnsi="Arial" w:cs="Arial"/>
          <w:color w:val="333333"/>
          <w:sz w:val="20"/>
          <w:szCs w:val="20"/>
          <w:lang w:eastAsia="en-AU"/>
        </w:rPr>
        <w:t>around  industrial</w:t>
      </w:r>
      <w:proofErr w:type="gramEnd"/>
      <w:r w:rsidRPr="00FA02CB">
        <w:rPr>
          <w:rFonts w:ascii="Arial" w:eastAsia="Times New Roman" w:hAnsi="Arial" w:cs="Arial"/>
          <w:color w:val="333333"/>
          <w:sz w:val="20"/>
          <w:szCs w:val="20"/>
          <w:lang w:eastAsia="en-AU"/>
        </w:rPr>
        <w:t xml:space="preserve"> activities can </w:t>
      </w:r>
      <w:proofErr w:type="gramStart"/>
      <w:r w:rsidRPr="00FA02CB">
        <w:rPr>
          <w:rFonts w:ascii="Arial" w:eastAsia="Times New Roman" w:hAnsi="Arial" w:cs="Arial"/>
          <w:color w:val="333333"/>
          <w:sz w:val="20"/>
          <w:szCs w:val="20"/>
          <w:lang w:eastAsia="en-AU"/>
        </w:rPr>
        <w:t>cause  environmental</w:t>
      </w:r>
      <w:proofErr w:type="gramEnd"/>
      <w:r w:rsidRPr="00FA02CB">
        <w:rPr>
          <w:rFonts w:ascii="Arial" w:eastAsia="Times New Roman" w:hAnsi="Arial" w:cs="Arial"/>
          <w:color w:val="333333"/>
          <w:sz w:val="20"/>
          <w:szCs w:val="20"/>
          <w:lang w:eastAsia="en-AU"/>
        </w:rPr>
        <w:t xml:space="preserve"> and public health impacts. </w:t>
      </w:r>
    </w:p>
    <w:p w14:paraId="3D257013" w14:textId="3B1DCF2C"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t>EPA constantly monitors</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key risks of harm and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assesses our effectiveness</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in reducing them.</w:t>
      </w:r>
    </w:p>
    <w:p w14:paraId="69217ED6" w14:textId="77777777"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t>In developing our Annual</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Delivery Plan, we scanned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known and emerging pollution</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and waste issues – those</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that cause current concern</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as well as those increasing</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risks to human health and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the environment.</w:t>
      </w:r>
    </w:p>
    <w:p w14:paraId="1564A25C" w14:textId="77777777" w:rsidR="00313F3D" w:rsidRDefault="00313F3D" w:rsidP="00E7603F">
      <w:pPr>
        <w:spacing w:before="210" w:after="210" w:line="240" w:lineRule="auto"/>
        <w:outlineLvl w:val="1"/>
        <w:rPr>
          <w:rFonts w:ascii="Arial" w:eastAsia="Times New Roman" w:hAnsi="Arial" w:cs="Arial"/>
          <w:color w:val="333333"/>
          <w:sz w:val="20"/>
          <w:szCs w:val="20"/>
          <w:lang w:eastAsia="en-AU"/>
        </w:rPr>
      </w:pPr>
    </w:p>
    <w:p w14:paraId="5DEA9A2C" w14:textId="1DC70078"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lastRenderedPageBreak/>
        <w:t>From this scan, we identified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the areas that we’ll focus</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our regulatory effort over</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the coming 12 months.</w:t>
      </w:r>
    </w:p>
    <w:p w14:paraId="2F2036B3" w14:textId="3280879F"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t>In 2022 23, in addition to continuing</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to embed new environment protection</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duties, and support community,</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industry and businesses to comply</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 xml:space="preserve">with environmental laws, </w:t>
      </w:r>
      <w:proofErr w:type="spellStart"/>
      <w:r w:rsidRPr="00E7603F">
        <w:rPr>
          <w:rFonts w:ascii="Arial" w:eastAsia="Times New Roman" w:hAnsi="Arial" w:cs="Arial"/>
          <w:color w:val="333333"/>
          <w:sz w:val="20"/>
          <w:szCs w:val="20"/>
          <w:lang w:eastAsia="en-AU"/>
        </w:rPr>
        <w:t>we re</w:t>
      </w:r>
      <w:proofErr w:type="spellEnd"/>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targeting our efforts on:</w:t>
      </w:r>
    </w:p>
    <w:p w14:paraId="4798AF2B" w14:textId="76C13787"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Reducing the impacts to air quality from emissions from large industrial activities in Victoria</w:t>
      </w:r>
    </w:p>
    <w:p w14:paraId="72A0F3BD" w14:textId="0233CB65"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Reducing the impacts to waterways from the discharge of wastes from water treatment plants</w:t>
      </w:r>
    </w:p>
    <w:p w14:paraId="21DDC3C8" w14:textId="62EAEA0A"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Preventing fires at high-risk waste and resource recovery activities</w:t>
      </w:r>
    </w:p>
    <w:p w14:paraId="0F552443" w14:textId="705495EE"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Reducing the impacts from</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poor waste and stormwater</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management practices at</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small industry in urban areas</w:t>
      </w:r>
    </w:p>
    <w:p w14:paraId="34CB7BD0" w14:textId="07216E55"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Disrupting illicit waste markets</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and the strengthening of</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legitimate waste markets.</w:t>
      </w:r>
    </w:p>
    <w:p w14:paraId="25CE1920" w14:textId="77777777" w:rsidR="00313F3D" w:rsidRDefault="00313F3D" w:rsidP="00A1428B">
      <w:pPr>
        <w:spacing w:before="210" w:after="210" w:line="240" w:lineRule="auto"/>
        <w:rPr>
          <w:rFonts w:ascii="Arial" w:eastAsia="Times New Roman" w:hAnsi="Arial" w:cs="Arial"/>
          <w:b/>
          <w:bCs/>
          <w:color w:val="111111"/>
          <w:sz w:val="57"/>
          <w:szCs w:val="57"/>
          <w:lang w:eastAsia="en-AU"/>
        </w:rPr>
      </w:pPr>
    </w:p>
    <w:p w14:paraId="780F686D" w14:textId="6A7501AC" w:rsidR="007603B9" w:rsidRDefault="007603B9" w:rsidP="00A1428B">
      <w:pPr>
        <w:spacing w:before="210" w:after="210" w:line="240" w:lineRule="auto"/>
        <w:rPr>
          <w:rFonts w:ascii="Arial" w:eastAsia="Times New Roman" w:hAnsi="Arial" w:cs="Arial"/>
          <w:b/>
          <w:bCs/>
          <w:color w:val="111111"/>
          <w:sz w:val="57"/>
          <w:szCs w:val="57"/>
          <w:lang w:eastAsia="en-AU"/>
        </w:rPr>
      </w:pPr>
      <w:r w:rsidRPr="007603B9">
        <w:rPr>
          <w:rFonts w:ascii="Arial" w:eastAsia="Times New Roman" w:hAnsi="Arial" w:cs="Arial"/>
          <w:b/>
          <w:bCs/>
          <w:color w:val="111111"/>
          <w:sz w:val="57"/>
          <w:szCs w:val="57"/>
          <w:lang w:eastAsia="en-AU"/>
        </w:rPr>
        <w:t xml:space="preserve">Delivering our Strategic Plan 2022-27 </w:t>
      </w:r>
    </w:p>
    <w:p w14:paraId="088F2F7B" w14:textId="77777777" w:rsidR="00313F3D" w:rsidRDefault="00313F3D" w:rsidP="00327B02">
      <w:pPr>
        <w:spacing w:before="210" w:after="210" w:line="240" w:lineRule="auto"/>
        <w:rPr>
          <w:rFonts w:ascii="Arial" w:eastAsia="Times New Roman" w:hAnsi="Arial" w:cs="Arial"/>
          <w:color w:val="333333"/>
          <w:sz w:val="20"/>
          <w:szCs w:val="20"/>
          <w:lang w:eastAsia="en-AU"/>
        </w:rPr>
      </w:pPr>
    </w:p>
    <w:p w14:paraId="6E372719" w14:textId="6EA69AD7"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Each financial year, EPA produces an Annual Delivery Plan describing what we’re aiming to deliver over the coming 12-months. </w:t>
      </w:r>
    </w:p>
    <w:p w14:paraId="15F4A3CA" w14:textId="094AAD5D"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Our Annual Delivery Plan is aligned to our 5-year strategic plan (see summary at Appendix 1) -and details how we’ll achieve our strategic outcomes. </w:t>
      </w:r>
    </w:p>
    <w:p w14:paraId="2798F2AE" w14:textId="7C9156C0"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The Annual Delivery Plan defines our Objectives and Key Results (OKRs), as well as priority projects and core services. </w:t>
      </w:r>
    </w:p>
    <w:p w14:paraId="4A2A588E" w14:textId="5400C9AD"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To ensure we are aligned and focused, our organisation-wide plan is supported by similar plans at the division and branch level, and performance and development plans for each individual member of our team. </w:t>
      </w:r>
    </w:p>
    <w:p w14:paraId="30521D3C" w14:textId="00F7CE28"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These plans provide a greater </w:t>
      </w:r>
      <w:proofErr w:type="gramStart"/>
      <w:r w:rsidRPr="00327B02">
        <w:rPr>
          <w:rFonts w:ascii="Arial" w:eastAsia="Times New Roman" w:hAnsi="Arial" w:cs="Arial"/>
          <w:color w:val="333333"/>
          <w:sz w:val="20"/>
          <w:szCs w:val="20"/>
          <w:lang w:eastAsia="en-AU"/>
        </w:rPr>
        <w:t>level  of</w:t>
      </w:r>
      <w:proofErr w:type="gramEnd"/>
      <w:r w:rsidRPr="00327B02">
        <w:rPr>
          <w:rFonts w:ascii="Arial" w:eastAsia="Times New Roman" w:hAnsi="Arial" w:cs="Arial"/>
          <w:color w:val="333333"/>
          <w:sz w:val="20"/>
          <w:szCs w:val="20"/>
          <w:lang w:eastAsia="en-AU"/>
        </w:rPr>
        <w:t xml:space="preserve"> detail about where we are </w:t>
      </w:r>
      <w:proofErr w:type="gramStart"/>
      <w:r w:rsidRPr="00327B02">
        <w:rPr>
          <w:rFonts w:ascii="Arial" w:eastAsia="Times New Roman" w:hAnsi="Arial" w:cs="Arial"/>
          <w:color w:val="333333"/>
          <w:sz w:val="20"/>
          <w:szCs w:val="20"/>
          <w:lang w:eastAsia="en-AU"/>
        </w:rPr>
        <w:t>putting  our</w:t>
      </w:r>
      <w:proofErr w:type="gramEnd"/>
      <w:r w:rsidRPr="00327B02">
        <w:rPr>
          <w:rFonts w:ascii="Arial" w:eastAsia="Times New Roman" w:hAnsi="Arial" w:cs="Arial"/>
          <w:color w:val="333333"/>
          <w:sz w:val="20"/>
          <w:szCs w:val="20"/>
          <w:lang w:eastAsia="en-AU"/>
        </w:rPr>
        <w:t xml:space="preserve"> efforts for the coming 12-months. </w:t>
      </w:r>
    </w:p>
    <w:p w14:paraId="4007FFC2" w14:textId="6683AFED" w:rsidR="00A1428B" w:rsidRPr="003643AB"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The Annual Delivery Plan is </w:t>
      </w:r>
      <w:proofErr w:type="gramStart"/>
      <w:r w:rsidRPr="00327B02">
        <w:rPr>
          <w:rFonts w:ascii="Arial" w:eastAsia="Times New Roman" w:hAnsi="Arial" w:cs="Arial"/>
          <w:color w:val="333333"/>
          <w:sz w:val="20"/>
          <w:szCs w:val="20"/>
          <w:lang w:eastAsia="en-AU"/>
        </w:rPr>
        <w:t>reviewed  each</w:t>
      </w:r>
      <w:proofErr w:type="gramEnd"/>
      <w:r w:rsidRPr="00327B02">
        <w:rPr>
          <w:rFonts w:ascii="Arial" w:eastAsia="Times New Roman" w:hAnsi="Arial" w:cs="Arial"/>
          <w:color w:val="333333"/>
          <w:sz w:val="20"/>
          <w:szCs w:val="20"/>
          <w:lang w:eastAsia="en-AU"/>
        </w:rPr>
        <w:t xml:space="preserve"> quarter, considering changes in our operating environment, to ensure we remain focused on the right priorities - and </w:t>
      </w:r>
      <w:proofErr w:type="gramStart"/>
      <w:r w:rsidRPr="00327B02">
        <w:rPr>
          <w:rFonts w:ascii="Arial" w:eastAsia="Times New Roman" w:hAnsi="Arial" w:cs="Arial"/>
          <w:color w:val="333333"/>
          <w:sz w:val="20"/>
          <w:szCs w:val="20"/>
          <w:lang w:eastAsia="en-AU"/>
        </w:rPr>
        <w:t>that  we’re</w:t>
      </w:r>
      <w:proofErr w:type="gramEnd"/>
      <w:r w:rsidRPr="00327B02">
        <w:rPr>
          <w:rFonts w:ascii="Arial" w:eastAsia="Times New Roman" w:hAnsi="Arial" w:cs="Arial"/>
          <w:color w:val="333333"/>
          <w:sz w:val="20"/>
          <w:szCs w:val="20"/>
          <w:lang w:eastAsia="en-AU"/>
        </w:rPr>
        <w:t xml:space="preserve"> doing our best to protect the health of our communities and environment</w:t>
      </w:r>
      <w:r w:rsidR="00A1428B" w:rsidRPr="003643AB">
        <w:rPr>
          <w:rFonts w:ascii="Arial" w:eastAsia="Times New Roman" w:hAnsi="Arial" w:cs="Arial"/>
          <w:color w:val="333333"/>
          <w:sz w:val="20"/>
          <w:szCs w:val="20"/>
          <w:lang w:eastAsia="en-AU"/>
        </w:rPr>
        <w:t>:</w:t>
      </w:r>
      <w:r w:rsidR="004A2483">
        <w:rPr>
          <w:rFonts w:ascii="Arial" w:eastAsia="Times New Roman" w:hAnsi="Arial" w:cs="Arial"/>
          <w:color w:val="333333"/>
          <w:sz w:val="20"/>
          <w:szCs w:val="20"/>
          <w:lang w:eastAsia="en-AU"/>
        </w:rPr>
        <w:br/>
      </w:r>
    </w:p>
    <w:p w14:paraId="367EE799" w14:textId="77777777" w:rsidR="00E44BCE"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5-year</w:t>
      </w:r>
      <w:r w:rsidR="00E44BCE" w:rsidRPr="00E44BCE">
        <w:rPr>
          <w:rFonts w:ascii="Arial" w:eastAsia="Times New Roman" w:hAnsi="Arial" w:cs="Arial"/>
          <w:color w:val="333333"/>
          <w:sz w:val="20"/>
          <w:szCs w:val="20"/>
          <w:lang w:eastAsia="en-AU"/>
        </w:rPr>
        <w:t xml:space="preserve"> </w:t>
      </w:r>
      <w:r w:rsidRPr="00E44BCE">
        <w:rPr>
          <w:rFonts w:ascii="Arial" w:eastAsia="Times New Roman" w:hAnsi="Arial" w:cs="Arial"/>
          <w:color w:val="333333"/>
          <w:sz w:val="20"/>
          <w:szCs w:val="20"/>
          <w:lang w:eastAsia="en-AU"/>
        </w:rPr>
        <w:t>Strategic Plan</w:t>
      </w:r>
      <w:r w:rsidR="00E44BCE" w:rsidRPr="00E44BCE">
        <w:rPr>
          <w:rFonts w:ascii="Arial" w:eastAsia="Times New Roman" w:hAnsi="Arial" w:cs="Arial"/>
          <w:color w:val="333333"/>
          <w:sz w:val="20"/>
          <w:szCs w:val="20"/>
          <w:lang w:eastAsia="en-AU"/>
        </w:rPr>
        <w:br/>
        <w:t xml:space="preserve">Strategic outcomes </w:t>
      </w:r>
    </w:p>
    <w:p w14:paraId="0C884166" w14:textId="77777777" w:rsidR="00E44BCE"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Organisational</w:t>
      </w:r>
      <w:r w:rsidR="00E44BCE" w:rsidRPr="00E44BCE">
        <w:rPr>
          <w:rFonts w:ascii="Arial" w:eastAsia="Times New Roman" w:hAnsi="Arial" w:cs="Arial"/>
          <w:color w:val="333333"/>
          <w:sz w:val="20"/>
          <w:szCs w:val="20"/>
          <w:lang w:eastAsia="en-AU"/>
        </w:rPr>
        <w:t xml:space="preserve"> </w:t>
      </w:r>
      <w:r w:rsidRPr="00E44BCE">
        <w:rPr>
          <w:rFonts w:ascii="Arial" w:eastAsia="Times New Roman" w:hAnsi="Arial" w:cs="Arial"/>
          <w:color w:val="333333"/>
          <w:sz w:val="20"/>
          <w:szCs w:val="20"/>
          <w:lang w:eastAsia="en-AU"/>
        </w:rPr>
        <w:t>Annual Delivery Plan</w:t>
      </w:r>
      <w:r w:rsidRPr="00E44BCE">
        <w:rPr>
          <w:rFonts w:ascii="Arial" w:eastAsia="Times New Roman" w:hAnsi="Arial" w:cs="Arial"/>
          <w:color w:val="333333"/>
          <w:sz w:val="20"/>
          <w:szCs w:val="20"/>
          <w:lang w:eastAsia="en-AU"/>
        </w:rPr>
        <w:br/>
        <w:t>OKRs, priority projects and core services</w:t>
      </w:r>
    </w:p>
    <w:p w14:paraId="721CEDC4" w14:textId="77777777" w:rsidR="000A323B"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Division and branch annual delivery plans</w:t>
      </w:r>
      <w:r w:rsidRPr="00E44BCE">
        <w:rPr>
          <w:rFonts w:ascii="Arial" w:eastAsia="Times New Roman" w:hAnsi="Arial" w:cs="Arial"/>
          <w:color w:val="333333"/>
          <w:sz w:val="20"/>
          <w:szCs w:val="20"/>
          <w:lang w:eastAsia="en-AU"/>
        </w:rPr>
        <w:br/>
        <w:t xml:space="preserve">OKRs, priority projects and core services </w:t>
      </w:r>
    </w:p>
    <w:p w14:paraId="0CF26B75" w14:textId="0F0FF454" w:rsidR="00991340" w:rsidRPr="00E44BCE"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Individual performance and development plans</w:t>
      </w:r>
    </w:p>
    <w:p w14:paraId="5C2B4F1F" w14:textId="77777777" w:rsidR="003C5323" w:rsidRDefault="003C5323">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4CE6A74A" w14:textId="395EA00A" w:rsidR="003C5323" w:rsidRDefault="003C5323" w:rsidP="003C5323">
      <w:pPr>
        <w:spacing w:before="210" w:after="210" w:line="240" w:lineRule="auto"/>
        <w:rPr>
          <w:rFonts w:ascii="Arial" w:eastAsia="Times New Roman" w:hAnsi="Arial" w:cs="Arial"/>
          <w:b/>
          <w:bCs/>
          <w:color w:val="111111"/>
          <w:sz w:val="57"/>
          <w:szCs w:val="57"/>
          <w:lang w:eastAsia="en-AU"/>
        </w:rPr>
      </w:pPr>
      <w:r w:rsidRPr="003C5323">
        <w:rPr>
          <w:rFonts w:ascii="Arial" w:eastAsia="Times New Roman" w:hAnsi="Arial" w:cs="Arial"/>
          <w:b/>
          <w:bCs/>
          <w:color w:val="111111"/>
          <w:sz w:val="57"/>
          <w:szCs w:val="57"/>
          <w:lang w:eastAsia="en-AU"/>
        </w:rPr>
        <w:lastRenderedPageBreak/>
        <w:t>Objectives and</w:t>
      </w:r>
      <w:r>
        <w:rPr>
          <w:rFonts w:ascii="Arial" w:eastAsia="Times New Roman" w:hAnsi="Arial" w:cs="Arial"/>
          <w:b/>
          <w:bCs/>
          <w:color w:val="111111"/>
          <w:sz w:val="57"/>
          <w:szCs w:val="57"/>
          <w:lang w:eastAsia="en-AU"/>
        </w:rPr>
        <w:t xml:space="preserve"> </w:t>
      </w:r>
      <w:r w:rsidRPr="003C5323">
        <w:rPr>
          <w:rFonts w:ascii="Arial" w:eastAsia="Times New Roman" w:hAnsi="Arial" w:cs="Arial"/>
          <w:b/>
          <w:bCs/>
          <w:color w:val="111111"/>
          <w:sz w:val="57"/>
          <w:szCs w:val="57"/>
          <w:lang w:eastAsia="en-AU"/>
        </w:rPr>
        <w:t xml:space="preserve">Key Results </w:t>
      </w:r>
    </w:p>
    <w:p w14:paraId="17138C6B" w14:textId="77777777" w:rsidR="00DF552F" w:rsidRPr="00DF552F" w:rsidRDefault="00DF552F" w:rsidP="00DF552F">
      <w:pPr>
        <w:spacing w:after="100" w:afterAutospacing="1" w:line="240" w:lineRule="auto"/>
        <w:ind w:left="360"/>
        <w:rPr>
          <w:rFonts w:ascii="Arial" w:eastAsia="Times New Roman" w:hAnsi="Arial" w:cs="Arial"/>
          <w:color w:val="333333"/>
          <w:sz w:val="20"/>
          <w:szCs w:val="20"/>
          <w:lang w:eastAsia="en-AU"/>
        </w:rPr>
      </w:pPr>
      <w:r w:rsidRPr="00DF552F">
        <w:rPr>
          <w:rFonts w:ascii="Arial" w:eastAsia="Times New Roman" w:hAnsi="Arial" w:cs="Arial"/>
          <w:color w:val="333333"/>
          <w:sz w:val="20"/>
          <w:szCs w:val="20"/>
          <w:lang w:eastAsia="en-AU"/>
        </w:rPr>
        <w:t>Objectives and Key Results (OKRs) is a goal setting methodology that aligns an organisation’s efforts and resources to focus on what matters.</w:t>
      </w:r>
    </w:p>
    <w:p w14:paraId="539EB123" w14:textId="735A3E26" w:rsidR="00DF552F" w:rsidRPr="00DF552F" w:rsidRDefault="00DF552F" w:rsidP="00DF552F">
      <w:pPr>
        <w:spacing w:after="100" w:afterAutospacing="1" w:line="240" w:lineRule="auto"/>
        <w:ind w:left="360"/>
        <w:rPr>
          <w:rFonts w:ascii="Arial" w:eastAsia="Times New Roman" w:hAnsi="Arial" w:cs="Arial"/>
          <w:color w:val="333333"/>
          <w:sz w:val="20"/>
          <w:szCs w:val="20"/>
          <w:lang w:eastAsia="en-AU"/>
        </w:rPr>
      </w:pPr>
      <w:r w:rsidRPr="00DF552F">
        <w:rPr>
          <w:rFonts w:ascii="Arial" w:eastAsia="Times New Roman" w:hAnsi="Arial" w:cs="Arial"/>
          <w:color w:val="333333"/>
          <w:sz w:val="20"/>
          <w:szCs w:val="20"/>
          <w:lang w:eastAsia="en-AU"/>
        </w:rPr>
        <w:t xml:space="preserve">OKRs require ambitious and significant objectives that define what we’ll focus on in the near term, paired with measurable key results that tell us how we know when we’ve achieved our objective. </w:t>
      </w:r>
    </w:p>
    <w:p w14:paraId="7C67642F" w14:textId="680F31F0" w:rsidR="00DF552F" w:rsidRDefault="00DF552F" w:rsidP="00DF552F">
      <w:pPr>
        <w:spacing w:after="100" w:afterAutospacing="1" w:line="240" w:lineRule="auto"/>
        <w:ind w:left="360"/>
        <w:rPr>
          <w:rFonts w:ascii="Arial" w:eastAsia="Times New Roman" w:hAnsi="Arial" w:cs="Arial"/>
          <w:color w:val="333333"/>
          <w:sz w:val="20"/>
          <w:szCs w:val="20"/>
          <w:lang w:eastAsia="en-AU"/>
        </w:rPr>
      </w:pPr>
      <w:r w:rsidRPr="00DF552F">
        <w:rPr>
          <w:rFonts w:ascii="Arial" w:eastAsia="Times New Roman" w:hAnsi="Arial" w:cs="Arial"/>
          <w:color w:val="333333"/>
          <w:sz w:val="20"/>
          <w:szCs w:val="20"/>
          <w:lang w:eastAsia="en-AU"/>
        </w:rPr>
        <w:t xml:space="preserve">EPA has developed OKRs to align the organisation and drive us forward in achieving our 5-year strategic outcomes. </w:t>
      </w:r>
    </w:p>
    <w:p w14:paraId="241F1AD1" w14:textId="34C3AFF3" w:rsidR="00863A74" w:rsidRDefault="00863A74" w:rsidP="0080345A">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Objective 1</w:t>
      </w:r>
      <w:r w:rsidRPr="00CD6B4D">
        <w:rPr>
          <w:rFonts w:ascii="Arial" w:eastAsia="Times New Roman" w:hAnsi="Arial" w:cs="Arial"/>
          <w:b/>
          <w:bCs/>
          <w:color w:val="111111"/>
          <w:sz w:val="42"/>
          <w:szCs w:val="42"/>
          <w:lang w:eastAsia="en-AU"/>
        </w:rPr>
        <w:t xml:space="preserve"> </w:t>
      </w:r>
    </w:p>
    <w:p w14:paraId="502634F3" w14:textId="7B40C49F" w:rsidR="00863A74" w:rsidRPr="0080345A" w:rsidRDefault="00863A74" w:rsidP="0080345A">
      <w:pPr>
        <w:pStyle w:val="NoSpacing"/>
        <w:rPr>
          <w:rFonts w:ascii="Arial" w:hAnsi="Arial" w:cs="Arial"/>
          <w:sz w:val="20"/>
          <w:szCs w:val="20"/>
          <w:lang w:eastAsia="en-AU"/>
        </w:rPr>
      </w:pPr>
      <w:r w:rsidRPr="0080345A">
        <w:rPr>
          <w:rFonts w:ascii="Arial" w:hAnsi="Arial" w:cs="Arial"/>
          <w:sz w:val="20"/>
          <w:szCs w:val="20"/>
          <w:lang w:eastAsia="en-AU"/>
        </w:rPr>
        <w:t>Make Victorians aware of their responsibilities to prevent harm to human health and the environment.</w:t>
      </w:r>
    </w:p>
    <w:p w14:paraId="7FFE11DF" w14:textId="77777777" w:rsidR="00863A74" w:rsidRPr="00863A74" w:rsidRDefault="00863A74" w:rsidP="0080345A">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51991C3D" w14:textId="5B28C31F" w:rsidR="00863A74" w:rsidRPr="00863A74" w:rsidRDefault="00863A74" w:rsidP="0080345A">
      <w:pPr>
        <w:spacing w:before="210" w:after="210" w:line="240" w:lineRule="auto"/>
        <w:ind w:left="720" w:hanging="720"/>
        <w:outlineLvl w:val="1"/>
        <w:rPr>
          <w:rFonts w:ascii="Arial" w:eastAsia="Times New Roman" w:hAnsi="Arial" w:cs="Arial"/>
          <w:color w:val="333333"/>
          <w:sz w:val="20"/>
          <w:szCs w:val="20"/>
          <w:lang w:eastAsia="en-AU"/>
        </w:rPr>
      </w:pPr>
      <w:r w:rsidRPr="00863A74">
        <w:rPr>
          <w:rFonts w:ascii="Arial" w:eastAsia="Times New Roman" w:hAnsi="Arial" w:cs="Arial"/>
          <w:color w:val="333333"/>
          <w:sz w:val="20"/>
          <w:szCs w:val="20"/>
          <w:lang w:eastAsia="en-AU"/>
        </w:rPr>
        <w:t>1.1</w:t>
      </w:r>
      <w:r w:rsidRPr="00863A74">
        <w:rPr>
          <w:rFonts w:ascii="Arial" w:eastAsia="Times New Roman" w:hAnsi="Arial" w:cs="Arial"/>
          <w:color w:val="333333"/>
          <w:sz w:val="20"/>
          <w:szCs w:val="20"/>
          <w:lang w:eastAsia="en-AU"/>
        </w:rPr>
        <w:tab/>
        <w:t>Increase the number of businesses and community members that are aware of their</w:t>
      </w:r>
      <w:r w:rsidR="0080345A">
        <w:rPr>
          <w:rFonts w:ascii="Arial" w:eastAsia="Times New Roman" w:hAnsi="Arial" w:cs="Arial"/>
          <w:color w:val="333333"/>
          <w:sz w:val="20"/>
          <w:szCs w:val="20"/>
          <w:lang w:eastAsia="en-AU"/>
        </w:rPr>
        <w:t xml:space="preserve"> </w:t>
      </w:r>
      <w:r w:rsidRPr="00863A74">
        <w:rPr>
          <w:rFonts w:ascii="Arial" w:eastAsia="Times New Roman" w:hAnsi="Arial" w:cs="Arial"/>
          <w:color w:val="333333"/>
          <w:sz w:val="20"/>
          <w:szCs w:val="20"/>
          <w:lang w:eastAsia="en-AU"/>
        </w:rPr>
        <w:t>environmental obligations by 30% and 45% respectively.</w:t>
      </w:r>
    </w:p>
    <w:p w14:paraId="1FFE9A98" w14:textId="73EACC7D" w:rsidR="00863A74" w:rsidRPr="00863A74" w:rsidRDefault="00863A74" w:rsidP="0080345A">
      <w:pPr>
        <w:spacing w:before="210" w:after="210" w:line="240" w:lineRule="auto"/>
        <w:ind w:left="720" w:hanging="720"/>
        <w:outlineLvl w:val="1"/>
        <w:rPr>
          <w:rFonts w:ascii="Arial" w:eastAsia="Times New Roman" w:hAnsi="Arial" w:cs="Arial"/>
          <w:color w:val="333333"/>
          <w:sz w:val="20"/>
          <w:szCs w:val="20"/>
          <w:lang w:eastAsia="en-AU"/>
        </w:rPr>
      </w:pPr>
      <w:r w:rsidRPr="00863A74">
        <w:rPr>
          <w:rFonts w:ascii="Arial" w:eastAsia="Times New Roman" w:hAnsi="Arial" w:cs="Arial"/>
          <w:color w:val="333333"/>
          <w:sz w:val="20"/>
          <w:szCs w:val="20"/>
          <w:lang w:eastAsia="en-AU"/>
        </w:rPr>
        <w:t>1.2</w:t>
      </w:r>
      <w:r w:rsidRPr="00863A74">
        <w:rPr>
          <w:rFonts w:ascii="Arial" w:eastAsia="Times New Roman" w:hAnsi="Arial" w:cs="Arial"/>
          <w:color w:val="333333"/>
          <w:sz w:val="20"/>
          <w:szCs w:val="20"/>
          <w:lang w:eastAsia="en-AU"/>
        </w:rPr>
        <w:tab/>
        <w:t>85% of businesses within priority industries hold an appropriate permission.</w:t>
      </w:r>
    </w:p>
    <w:p w14:paraId="34399854" w14:textId="4750AFA5" w:rsidR="00863A74" w:rsidRPr="00863A74" w:rsidRDefault="00863A74" w:rsidP="0080345A">
      <w:pPr>
        <w:spacing w:before="210" w:after="210" w:line="240" w:lineRule="auto"/>
        <w:ind w:left="720" w:hanging="720"/>
        <w:outlineLvl w:val="1"/>
        <w:rPr>
          <w:rFonts w:ascii="Arial" w:eastAsia="Times New Roman" w:hAnsi="Arial" w:cs="Arial"/>
          <w:color w:val="333333"/>
          <w:sz w:val="20"/>
          <w:szCs w:val="20"/>
          <w:lang w:eastAsia="en-AU"/>
        </w:rPr>
      </w:pPr>
      <w:r w:rsidRPr="00863A74">
        <w:rPr>
          <w:rFonts w:ascii="Arial" w:eastAsia="Times New Roman" w:hAnsi="Arial" w:cs="Arial"/>
          <w:color w:val="333333"/>
          <w:sz w:val="20"/>
          <w:szCs w:val="20"/>
          <w:lang w:eastAsia="en-AU"/>
        </w:rPr>
        <w:t>1.3</w:t>
      </w:r>
      <w:r w:rsidRPr="00863A74">
        <w:rPr>
          <w:rFonts w:ascii="Arial" w:eastAsia="Times New Roman" w:hAnsi="Arial" w:cs="Arial"/>
          <w:color w:val="333333"/>
          <w:sz w:val="20"/>
          <w:szCs w:val="20"/>
          <w:lang w:eastAsia="en-AU"/>
        </w:rPr>
        <w:tab/>
        <w:t>35% increase in interactions (such as responses, ‘</w:t>
      </w:r>
      <w:proofErr w:type="gramStart"/>
      <w:r w:rsidRPr="00863A74">
        <w:rPr>
          <w:rFonts w:ascii="Arial" w:eastAsia="Times New Roman" w:hAnsi="Arial" w:cs="Arial"/>
          <w:color w:val="333333"/>
          <w:sz w:val="20"/>
          <w:szCs w:val="20"/>
          <w:lang w:eastAsia="en-AU"/>
        </w:rPr>
        <w:t>hits’</w:t>
      </w:r>
      <w:proofErr w:type="gramEnd"/>
      <w:r w:rsidRPr="00863A74">
        <w:rPr>
          <w:rFonts w:ascii="Arial" w:eastAsia="Times New Roman" w:hAnsi="Arial" w:cs="Arial"/>
          <w:color w:val="333333"/>
          <w:sz w:val="20"/>
          <w:szCs w:val="20"/>
          <w:lang w:eastAsia="en-AU"/>
        </w:rPr>
        <w:t xml:space="preserve"> and incoming calls) across all EPA communication channels (traditional media, website, Twitter, Facebook, LinkedIn, Instagram, contact centre). </w:t>
      </w:r>
    </w:p>
    <w:p w14:paraId="50AE3DE2" w14:textId="7AC50B73" w:rsidR="00863A74" w:rsidRDefault="00863A74" w:rsidP="0080345A">
      <w:pPr>
        <w:spacing w:before="210" w:after="210" w:line="240" w:lineRule="auto"/>
        <w:ind w:left="720" w:hanging="720"/>
        <w:outlineLvl w:val="1"/>
        <w:rPr>
          <w:rFonts w:ascii="Arial" w:eastAsia="Times New Roman" w:hAnsi="Arial" w:cs="Arial"/>
          <w:b/>
          <w:bCs/>
          <w:color w:val="333333"/>
          <w:sz w:val="20"/>
          <w:szCs w:val="20"/>
          <w:lang w:eastAsia="en-AU"/>
        </w:rPr>
      </w:pPr>
      <w:r w:rsidRPr="00863A74">
        <w:rPr>
          <w:rFonts w:ascii="Arial" w:eastAsia="Times New Roman" w:hAnsi="Arial" w:cs="Arial"/>
          <w:color w:val="333333"/>
          <w:sz w:val="20"/>
          <w:szCs w:val="20"/>
          <w:lang w:eastAsia="en-AU"/>
        </w:rPr>
        <w:t>1.4</w:t>
      </w:r>
      <w:r w:rsidRPr="00863A74">
        <w:rPr>
          <w:rFonts w:ascii="Arial" w:eastAsia="Times New Roman" w:hAnsi="Arial" w:cs="Arial"/>
          <w:color w:val="333333"/>
          <w:sz w:val="20"/>
          <w:szCs w:val="20"/>
          <w:lang w:eastAsia="en-AU"/>
        </w:rPr>
        <w:tab/>
        <w:t>A Memorandum of Understanding with Recycling Victoria (the Authority) that clearly defines roles, responsibilities and interactions is agreed by 30 September 2022.</w:t>
      </w:r>
      <w:r w:rsidRPr="00863A74">
        <w:rPr>
          <w:rFonts w:ascii="Arial" w:eastAsia="Times New Roman" w:hAnsi="Arial" w:cs="Arial"/>
          <w:b/>
          <w:bCs/>
          <w:color w:val="333333"/>
          <w:sz w:val="20"/>
          <w:szCs w:val="20"/>
          <w:lang w:eastAsia="en-AU"/>
        </w:rPr>
        <w:t xml:space="preserve"> </w:t>
      </w:r>
    </w:p>
    <w:p w14:paraId="74552480" w14:textId="016627BB" w:rsidR="0080345A" w:rsidRDefault="0080345A" w:rsidP="0080345A">
      <w:pPr>
        <w:spacing w:before="210" w:after="210" w:line="240" w:lineRule="auto"/>
        <w:ind w:left="720" w:hanging="720"/>
        <w:outlineLvl w:val="1"/>
        <w:rPr>
          <w:rFonts w:ascii="Arial" w:eastAsia="Times New Roman" w:hAnsi="Arial" w:cs="Arial"/>
          <w:b/>
          <w:bCs/>
          <w:color w:val="333333"/>
          <w:sz w:val="20"/>
          <w:szCs w:val="20"/>
          <w:lang w:eastAsia="en-AU"/>
        </w:rPr>
      </w:pPr>
    </w:p>
    <w:p w14:paraId="23A7C770" w14:textId="7030C111" w:rsidR="0080345A" w:rsidRDefault="0080345A" w:rsidP="0080345A">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Objective 2</w:t>
      </w:r>
      <w:r w:rsidRPr="00CD6B4D">
        <w:rPr>
          <w:rFonts w:ascii="Arial" w:eastAsia="Times New Roman" w:hAnsi="Arial" w:cs="Arial"/>
          <w:b/>
          <w:bCs/>
          <w:color w:val="111111"/>
          <w:sz w:val="42"/>
          <w:szCs w:val="42"/>
          <w:lang w:eastAsia="en-AU"/>
        </w:rPr>
        <w:t xml:space="preserve"> </w:t>
      </w:r>
    </w:p>
    <w:p w14:paraId="2D59AE26" w14:textId="28993D87" w:rsidR="00C578D9" w:rsidRPr="00C578D9" w:rsidRDefault="00C578D9" w:rsidP="00C578D9">
      <w:pPr>
        <w:pStyle w:val="NoSpacing"/>
        <w:rPr>
          <w:rFonts w:ascii="Arial" w:hAnsi="Arial" w:cs="Arial"/>
          <w:sz w:val="20"/>
          <w:szCs w:val="20"/>
          <w:lang w:eastAsia="en-AU"/>
        </w:rPr>
      </w:pPr>
      <w:r w:rsidRPr="00C578D9">
        <w:rPr>
          <w:rFonts w:ascii="Arial" w:hAnsi="Arial" w:cs="Arial"/>
          <w:sz w:val="20"/>
          <w:szCs w:val="20"/>
          <w:lang w:eastAsia="en-AU"/>
        </w:rPr>
        <w:t>Target priority risks of harm</w:t>
      </w:r>
      <w:r>
        <w:rPr>
          <w:rFonts w:ascii="Arial" w:hAnsi="Arial" w:cs="Arial"/>
          <w:sz w:val="20"/>
          <w:szCs w:val="20"/>
          <w:lang w:eastAsia="en-AU"/>
        </w:rPr>
        <w:t xml:space="preserve"> </w:t>
      </w:r>
      <w:r w:rsidRPr="00C578D9">
        <w:rPr>
          <w:rFonts w:ascii="Arial" w:hAnsi="Arial" w:cs="Arial"/>
          <w:sz w:val="20"/>
          <w:szCs w:val="20"/>
          <w:lang w:eastAsia="en-AU"/>
        </w:rPr>
        <w:t>so our efforts are optimised</w:t>
      </w:r>
      <w:r>
        <w:rPr>
          <w:rFonts w:ascii="Arial" w:hAnsi="Arial" w:cs="Arial"/>
          <w:sz w:val="20"/>
          <w:szCs w:val="20"/>
          <w:lang w:eastAsia="en-AU"/>
        </w:rPr>
        <w:t xml:space="preserve"> </w:t>
      </w:r>
      <w:r w:rsidRPr="00C578D9">
        <w:rPr>
          <w:rFonts w:ascii="Arial" w:hAnsi="Arial" w:cs="Arial"/>
          <w:sz w:val="20"/>
          <w:szCs w:val="20"/>
          <w:lang w:eastAsia="en-AU"/>
        </w:rPr>
        <w:t>to make the biggest difference.</w:t>
      </w:r>
    </w:p>
    <w:p w14:paraId="2CFC6F3B" w14:textId="77777777" w:rsidR="0080345A" w:rsidRPr="00863A74" w:rsidRDefault="0080345A" w:rsidP="0080345A">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29E44757" w14:textId="4A5469F1"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2.1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priority risks of harm have</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operational and tactical plans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developed by 30 September 2022</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and implemented by 30 June 2023.</w:t>
      </w:r>
    </w:p>
    <w:p w14:paraId="17273EB2" w14:textId="05C40B8D"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2.2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90% of decisions about initial regulatory</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action are made within 48 hours of</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 non-compliance being identified.</w:t>
      </w:r>
    </w:p>
    <w:p w14:paraId="38F3A7BA" w14:textId="5FDC00BA"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2.3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95% or more of regulatory decisions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meet quality standards.</w:t>
      </w:r>
    </w:p>
    <w:p w14:paraId="470EF3B2" w14:textId="3972CBF9" w:rsidR="0080345A"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2.4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In-person community engagemen</w:t>
      </w:r>
      <w:r>
        <w:rPr>
          <w:rFonts w:ascii="Arial" w:eastAsia="Times New Roman" w:hAnsi="Arial" w:cs="Arial"/>
          <w:color w:val="333333"/>
          <w:sz w:val="20"/>
          <w:szCs w:val="20"/>
          <w:lang w:eastAsia="en-AU"/>
        </w:rPr>
        <w:t xml:space="preserve">t </w:t>
      </w:r>
      <w:r w:rsidRPr="00C578D9">
        <w:rPr>
          <w:rFonts w:ascii="Arial" w:eastAsia="Times New Roman" w:hAnsi="Arial" w:cs="Arial"/>
          <w:color w:val="333333"/>
          <w:sz w:val="20"/>
          <w:szCs w:val="20"/>
          <w:lang w:eastAsia="en-AU"/>
        </w:rPr>
        <w:t>commences within 36 hours of an agency</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command team being established</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for a pollution incident.</w:t>
      </w:r>
    </w:p>
    <w:p w14:paraId="0407EB9F" w14:textId="3EE6F646" w:rsid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p>
    <w:p w14:paraId="5879E05E" w14:textId="6A08082B" w:rsidR="00C578D9" w:rsidRDefault="00C578D9" w:rsidP="00C578D9">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lastRenderedPageBreak/>
        <w:t>Objective 3</w:t>
      </w:r>
      <w:r w:rsidRPr="00CD6B4D">
        <w:rPr>
          <w:rFonts w:ascii="Arial" w:eastAsia="Times New Roman" w:hAnsi="Arial" w:cs="Arial"/>
          <w:b/>
          <w:bCs/>
          <w:color w:val="111111"/>
          <w:sz w:val="42"/>
          <w:szCs w:val="42"/>
          <w:lang w:eastAsia="en-AU"/>
        </w:rPr>
        <w:t xml:space="preserve"> </w:t>
      </w:r>
    </w:p>
    <w:p w14:paraId="56707458" w14:textId="6A2408C8" w:rsidR="00C578D9" w:rsidRPr="00C578D9" w:rsidRDefault="00C578D9" w:rsidP="00C578D9">
      <w:pPr>
        <w:pStyle w:val="NoSpacing"/>
        <w:rPr>
          <w:rFonts w:ascii="Arial" w:hAnsi="Arial" w:cs="Arial"/>
          <w:sz w:val="20"/>
          <w:szCs w:val="20"/>
          <w:lang w:eastAsia="en-AU"/>
        </w:rPr>
      </w:pPr>
      <w:r w:rsidRPr="00C578D9">
        <w:rPr>
          <w:rFonts w:ascii="Arial" w:hAnsi="Arial" w:cs="Arial"/>
          <w:sz w:val="20"/>
          <w:szCs w:val="20"/>
          <w:lang w:eastAsia="en-AU"/>
        </w:rPr>
        <w:t>Integrate environmental public</w:t>
      </w:r>
      <w:r>
        <w:rPr>
          <w:rFonts w:ascii="Arial" w:hAnsi="Arial" w:cs="Arial"/>
          <w:sz w:val="20"/>
          <w:szCs w:val="20"/>
          <w:lang w:eastAsia="en-AU"/>
        </w:rPr>
        <w:t xml:space="preserve"> </w:t>
      </w:r>
      <w:r w:rsidRPr="00C578D9">
        <w:rPr>
          <w:rFonts w:ascii="Arial" w:hAnsi="Arial" w:cs="Arial"/>
          <w:sz w:val="20"/>
          <w:szCs w:val="20"/>
          <w:lang w:eastAsia="en-AU"/>
        </w:rPr>
        <w:t>health into everything we do.</w:t>
      </w:r>
    </w:p>
    <w:p w14:paraId="0A0CDA78" w14:textId="77777777" w:rsidR="00C578D9" w:rsidRPr="00863A74" w:rsidRDefault="00C578D9" w:rsidP="00C578D9">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4A96CD71" w14:textId="65B8430B"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3.1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staff receive basic training</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in environmental public health</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by 31 December 2022 or within</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3 months of commencement.</w:t>
      </w:r>
    </w:p>
    <w:p w14:paraId="3D82A828" w14:textId="14EEE502" w:rsid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3.2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Environmental public health is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demonstrably considered in 90%</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of regulatory actions and decisions.</w:t>
      </w:r>
    </w:p>
    <w:p w14:paraId="2BD435C6" w14:textId="071FC1AD" w:rsid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p>
    <w:p w14:paraId="3ECDEDFC" w14:textId="38D94445" w:rsidR="00C578D9" w:rsidRDefault="00C578D9" w:rsidP="00C578D9">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Objective 4</w:t>
      </w:r>
      <w:r w:rsidRPr="00CD6B4D">
        <w:rPr>
          <w:rFonts w:ascii="Arial" w:eastAsia="Times New Roman" w:hAnsi="Arial" w:cs="Arial"/>
          <w:b/>
          <w:bCs/>
          <w:color w:val="111111"/>
          <w:sz w:val="42"/>
          <w:szCs w:val="42"/>
          <w:lang w:eastAsia="en-AU"/>
        </w:rPr>
        <w:t xml:space="preserve"> </w:t>
      </w:r>
    </w:p>
    <w:p w14:paraId="675DCF5E" w14:textId="77777777" w:rsidR="00C578D9" w:rsidRPr="00C578D9" w:rsidRDefault="00C578D9" w:rsidP="00C578D9">
      <w:pPr>
        <w:pStyle w:val="NoSpacing"/>
        <w:rPr>
          <w:rFonts w:ascii="Arial" w:hAnsi="Arial" w:cs="Arial"/>
          <w:sz w:val="20"/>
          <w:szCs w:val="20"/>
          <w:lang w:eastAsia="en-AU"/>
        </w:rPr>
      </w:pPr>
      <w:r w:rsidRPr="00C578D9">
        <w:rPr>
          <w:rFonts w:ascii="Arial" w:hAnsi="Arial" w:cs="Arial"/>
          <w:sz w:val="20"/>
          <w:szCs w:val="20"/>
          <w:lang w:eastAsia="en-AU"/>
        </w:rPr>
        <w:t>Strengthen our culture</w:t>
      </w:r>
      <w:r>
        <w:rPr>
          <w:rFonts w:ascii="Arial" w:hAnsi="Arial" w:cs="Arial"/>
          <w:sz w:val="20"/>
          <w:szCs w:val="20"/>
          <w:lang w:eastAsia="en-AU"/>
        </w:rPr>
        <w:t xml:space="preserve"> </w:t>
      </w:r>
      <w:r w:rsidRPr="00C578D9">
        <w:rPr>
          <w:rFonts w:ascii="Arial" w:hAnsi="Arial" w:cs="Arial"/>
          <w:sz w:val="20"/>
          <w:szCs w:val="20"/>
          <w:lang w:eastAsia="en-AU"/>
        </w:rPr>
        <w:t>and capability to achieve</w:t>
      </w:r>
      <w:r>
        <w:rPr>
          <w:rFonts w:ascii="Arial" w:hAnsi="Arial" w:cs="Arial"/>
          <w:sz w:val="20"/>
          <w:szCs w:val="20"/>
          <w:lang w:eastAsia="en-AU"/>
        </w:rPr>
        <w:t xml:space="preserve"> </w:t>
      </w:r>
      <w:r w:rsidRPr="00C578D9">
        <w:rPr>
          <w:rFonts w:ascii="Arial" w:hAnsi="Arial" w:cs="Arial"/>
          <w:sz w:val="20"/>
          <w:szCs w:val="20"/>
          <w:lang w:eastAsia="en-AU"/>
        </w:rPr>
        <w:t>organisational excellence.</w:t>
      </w:r>
    </w:p>
    <w:p w14:paraId="14E929E2" w14:textId="77777777" w:rsidR="00C578D9" w:rsidRPr="00863A74" w:rsidRDefault="00C578D9" w:rsidP="00C578D9">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4FF889AF" w14:textId="77777777"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4.1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Employee safety, wellbeing, engagement</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and satisfaction measures improve</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by 25% by 30 June 2023.</w:t>
      </w:r>
    </w:p>
    <w:p w14:paraId="0CC6DC76" w14:textId="77777777"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4.2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priority system improvement</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projects delivered to plan.</w:t>
      </w:r>
    </w:p>
    <w:p w14:paraId="44046532" w14:textId="77777777"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4.3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Simplify 25 processes identified by staff as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being key pain points in the organisation.</w:t>
      </w:r>
    </w:p>
    <w:p w14:paraId="6855CE08" w14:textId="000403E8" w:rsidR="00C578D9" w:rsidRPr="0080345A"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4.4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staff receive community</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engagement training by 30 June 2023</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or within 3 months of commencement.</w:t>
      </w:r>
    </w:p>
    <w:p w14:paraId="54D3A1D1" w14:textId="77777777" w:rsidR="00C33E91" w:rsidRDefault="00C33E91">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180E2C6C" w14:textId="746EAC44" w:rsidR="00C578D9" w:rsidRDefault="00C578D9" w:rsidP="00A1428B">
      <w:pPr>
        <w:spacing w:before="210" w:after="210" w:line="240" w:lineRule="auto"/>
        <w:rPr>
          <w:rFonts w:ascii="Arial" w:eastAsia="Times New Roman" w:hAnsi="Arial" w:cs="Arial"/>
          <w:b/>
          <w:bCs/>
          <w:color w:val="111111"/>
          <w:sz w:val="57"/>
          <w:szCs w:val="57"/>
          <w:lang w:eastAsia="en-AU"/>
        </w:rPr>
      </w:pPr>
      <w:r w:rsidRPr="00C578D9">
        <w:rPr>
          <w:rFonts w:ascii="Arial" w:eastAsia="Times New Roman" w:hAnsi="Arial" w:cs="Arial"/>
          <w:b/>
          <w:bCs/>
          <w:color w:val="111111"/>
          <w:sz w:val="57"/>
          <w:szCs w:val="57"/>
          <w:lang w:eastAsia="en-AU"/>
        </w:rPr>
        <w:lastRenderedPageBreak/>
        <w:t>Priority projects</w:t>
      </w:r>
    </w:p>
    <w:p w14:paraId="2D920E94" w14:textId="77777777" w:rsidR="008F5B4F" w:rsidRDefault="008F5B4F" w:rsidP="00C578D9">
      <w:pPr>
        <w:spacing w:before="210" w:after="210" w:line="240" w:lineRule="auto"/>
        <w:rPr>
          <w:rFonts w:ascii="Arial" w:eastAsia="Times New Roman" w:hAnsi="Arial" w:cs="Arial"/>
          <w:color w:val="333333"/>
          <w:sz w:val="20"/>
          <w:szCs w:val="20"/>
          <w:lang w:eastAsia="en-AU"/>
        </w:rPr>
      </w:pPr>
    </w:p>
    <w:p w14:paraId="1796F806" w14:textId="34C96770" w:rsidR="00A1428B" w:rsidRDefault="00C578D9" w:rsidP="00C578D9">
      <w:pPr>
        <w:spacing w:before="210" w:after="210" w:line="240" w:lineRule="auto"/>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In addition to our OKRs, we’ve identified projects aligned to our 5-year strategic outcomes and Statements of Expectations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(see Appendix 2 and 3). While the full complement of the</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projects to be delivered in 2022-23 are identified in division and branch annual delivery plans, we’ve identified the following</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organisation-wide priority projects</w:t>
      </w:r>
      <w:r w:rsidR="00A1428B" w:rsidRPr="003643AB">
        <w:rPr>
          <w:rFonts w:ascii="Arial" w:eastAsia="Times New Roman" w:hAnsi="Arial" w:cs="Arial"/>
          <w:color w:val="333333"/>
          <w:sz w:val="20"/>
          <w:szCs w:val="20"/>
          <w:lang w:eastAsia="en-AU"/>
        </w:rPr>
        <w:t>:</w:t>
      </w:r>
    </w:p>
    <w:p w14:paraId="1297629D" w14:textId="47C2DA9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 Preventing harm from poor waste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stormwater management practices.</w:t>
      </w:r>
    </w:p>
    <w:p w14:paraId="52607428" w14:textId="12C88F8A"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 Preventing fires at high-risk waste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resource recovery activities.</w:t>
      </w:r>
    </w:p>
    <w:p w14:paraId="2EBE3F07" w14:textId="288A2264"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 Reducing impacts to air quality from emissions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from large industrial activities in Victoria.</w:t>
      </w:r>
    </w:p>
    <w:p w14:paraId="24E72C0A" w14:textId="0271336E"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4. Disrupting illicit waste markets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support legitimate waste markets.</w:t>
      </w:r>
    </w:p>
    <w:p w14:paraId="3A8D7DF6" w14:textId="1EB4B042"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5. Reducing impacts to waterways from</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the discharge of wastes from water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treatment plants.</w:t>
      </w:r>
    </w:p>
    <w:p w14:paraId="0BA925B8" w14:textId="6EF50655"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6. Preventing harm to waterways of Melbourne</w:t>
      </w:r>
      <w:r>
        <w:rPr>
          <w:rFonts w:ascii="Arial" w:eastAsia="Times New Roman" w:hAnsi="Arial" w:cs="Arial"/>
          <w:color w:val="333333"/>
          <w:sz w:val="20"/>
          <w:szCs w:val="20"/>
          <w:lang w:eastAsia="en-AU"/>
        </w:rPr>
        <w:t>’</w:t>
      </w:r>
      <w:r w:rsidRPr="00064AA2">
        <w:rPr>
          <w:rFonts w:ascii="Arial" w:eastAsia="Times New Roman" w:hAnsi="Arial" w:cs="Arial"/>
          <w:color w:val="333333"/>
          <w:sz w:val="20"/>
          <w:szCs w:val="20"/>
          <w:lang w:eastAsia="en-AU"/>
        </w:rPr>
        <w:t>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west (Waterways of the West Taskforce).</w:t>
      </w:r>
    </w:p>
    <w:p w14:paraId="1593FE18" w14:textId="1A3E641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7. Delivering an extended reporting period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for Beach Report and Yarra Watch programs.</w:t>
      </w:r>
    </w:p>
    <w:p w14:paraId="61E2735D"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8. Delivering the Environmental Health</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Tracking Network.</w:t>
      </w:r>
    </w:p>
    <w:p w14:paraId="47709652"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9. Delivering a new incident air monitoring</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vehicle and incident air and environmental</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monitoring equipment.</w:t>
      </w:r>
    </w:p>
    <w:p w14:paraId="12E3441D" w14:textId="431FD2C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10. Implementing a new Environmental Auditor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appointment program.</w:t>
      </w:r>
    </w:p>
    <w:p w14:paraId="5154C8A4" w14:textId="7D60703C"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11. Embedding Charter of Human Rights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considerations into all regulatory decision making.</w:t>
      </w:r>
    </w:p>
    <w:p w14:paraId="3252ED94" w14:textId="15018D5B"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12. Embedding General Environmental Duty</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information into all strategic engagement work.</w:t>
      </w:r>
    </w:p>
    <w:p w14:paraId="35761497" w14:textId="62B17DD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13. Improving EPAs website, including content</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accessibility and findability.</w:t>
      </w:r>
    </w:p>
    <w:p w14:paraId="4C0296F5" w14:textId="210B1BF4"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14. Designing a small business support program to</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increase awareness of environmental obligations.</w:t>
      </w:r>
    </w:p>
    <w:p w14:paraId="5AF4E7E1" w14:textId="79C23630"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15. Updating guidance on domestic wastewater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management plans.</w:t>
      </w:r>
    </w:p>
    <w:p w14:paraId="758D9543" w14:textId="5F226545"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16. Delivering guidance on recycling water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for the environment.</w:t>
      </w:r>
    </w:p>
    <w:p w14:paraId="5D0786B1" w14:textId="0B44A05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17. Transitioning licences under section 58</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of the Environment Protection Act 2017.</w:t>
      </w:r>
    </w:p>
    <w:p w14:paraId="454391F8"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18. Strengthening EPA s Quality Framework</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using Better Regulation Victoria’s 10 principles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of best practice regulation.</w:t>
      </w:r>
    </w:p>
    <w:p w14:paraId="4C43AA30"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19. Implementing the monitoring, evaluation,</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reporting and improvement framework.</w:t>
      </w:r>
    </w:p>
    <w:p w14:paraId="39F6F664" w14:textId="31C7466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20. Implementing the Regulatory Culture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Capability Plan.</w:t>
      </w:r>
    </w:p>
    <w:p w14:paraId="73B0475D" w14:textId="131F996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21. Continuing delivery of the Aboriginal</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Inclusion Action Plan program.</w:t>
      </w:r>
    </w:p>
    <w:p w14:paraId="26956F2A" w14:textId="6190C09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22. Piloting a new ‘Environment Protection</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on-Country’ program with</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Traditional Owners.</w:t>
      </w:r>
    </w:p>
    <w:p w14:paraId="36433A58" w14:textId="6F83763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23. Developing a new Aboriginal Strategy</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Partnerships Plan for 2023-25.</w:t>
      </w:r>
    </w:p>
    <w:p w14:paraId="51418083" w14:textId="2EC46E91"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24. Leading multi-year research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development collaborations.</w:t>
      </w:r>
    </w:p>
    <w:p w14:paraId="70C5F4DF" w14:textId="133EDB72"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25. Developing technical surveillance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detection and collection.</w:t>
      </w:r>
    </w:p>
    <w:p w14:paraId="18C3E0FE" w14:textId="2435292D"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26. Expanding the remotely piloted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aircraft system (RPAS) program.</w:t>
      </w:r>
    </w:p>
    <w:p w14:paraId="29BDB95A" w14:textId="37F0E87D"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27. Increasing criminal entity intelligence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collection through open-source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intelligence analysis.</w:t>
      </w:r>
    </w:p>
    <w:p w14:paraId="5AE4DE22"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lastRenderedPageBreak/>
        <w:t>28. Continuing delivery of Recycling</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Victoria programs - Waste Crime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Prevention and High-Risk Sites.</w:t>
      </w:r>
    </w:p>
    <w:p w14:paraId="192AB15F"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29. Creating a cross jurisdictional</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disruption Investigations network.</w:t>
      </w:r>
    </w:p>
    <w:p w14:paraId="6E7C6E62" w14:textId="01CCDE9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30. Managing contaminated land notifications.</w:t>
      </w:r>
    </w:p>
    <w:p w14:paraId="51A1D3E9" w14:textId="4BA7DC2E"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We’ll also deliver priority projects that will support</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us to achieve all three of our strategic outcomes.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These projects will strengthen the culture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capability of EPA – creating a great place to work</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making us more efficient and effective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 fulfilling our role:</w:t>
      </w:r>
    </w:p>
    <w:p w14:paraId="484B6677"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31. Designing a leadership development framework.</w:t>
      </w:r>
    </w:p>
    <w:p w14:paraId="087CC690" w14:textId="77240B4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32. Developing a Strategic People, Capability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Wellbeing Plan and Roadmap.</w:t>
      </w:r>
    </w:p>
    <w:p w14:paraId="35DA3770"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33. Delivering our Gender Equality Action Plan.</w:t>
      </w:r>
    </w:p>
    <w:p w14:paraId="0F8D9536"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34. Providing fit for purpose fleet and facilities.</w:t>
      </w:r>
    </w:p>
    <w:p w14:paraId="45A20412"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35. Reducing carbon emissions from EPA s vehicle fleet.</w:t>
      </w:r>
    </w:p>
    <w:p w14:paraId="7382FD01"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36. Delivering surveillance device information software.</w:t>
      </w:r>
    </w:p>
    <w:p w14:paraId="033100BC"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37. Improving systems for science data management.</w:t>
      </w:r>
    </w:p>
    <w:p w14:paraId="3793CC3E" w14:textId="7A09B7F0"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38. Developing a Strategic Technology Plan</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Roadmap.</w:t>
      </w:r>
    </w:p>
    <w:p w14:paraId="3C0F4A2B"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39. Upgrading video conferencing technology.</w:t>
      </w:r>
    </w:p>
    <w:p w14:paraId="55DFC7A5" w14:textId="319D3481" w:rsidR="00064AA2" w:rsidRPr="003643AB"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40. Upgrading internet speeds at EPA offices.</w:t>
      </w:r>
    </w:p>
    <w:p w14:paraId="501CBA36" w14:textId="77777777" w:rsidR="002A5600" w:rsidRDefault="002A5600">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078849F5" w14:textId="0E785806" w:rsidR="002A5600" w:rsidRDefault="002A5600" w:rsidP="002A5600">
      <w:pPr>
        <w:spacing w:before="210" w:after="210" w:line="240" w:lineRule="auto"/>
        <w:rPr>
          <w:rFonts w:ascii="Arial" w:eastAsia="Times New Roman" w:hAnsi="Arial" w:cs="Arial"/>
          <w:b/>
          <w:bCs/>
          <w:color w:val="111111"/>
          <w:sz w:val="57"/>
          <w:szCs w:val="57"/>
          <w:lang w:eastAsia="en-AU"/>
        </w:rPr>
      </w:pPr>
      <w:r w:rsidRPr="002A5600">
        <w:rPr>
          <w:rFonts w:ascii="Arial" w:eastAsia="Times New Roman" w:hAnsi="Arial" w:cs="Arial"/>
          <w:b/>
          <w:bCs/>
          <w:color w:val="111111"/>
          <w:sz w:val="57"/>
          <w:szCs w:val="57"/>
          <w:lang w:eastAsia="en-AU"/>
        </w:rPr>
        <w:lastRenderedPageBreak/>
        <w:t>Core regulatory</w:t>
      </w:r>
      <w:r>
        <w:rPr>
          <w:rFonts w:ascii="Arial" w:eastAsia="Times New Roman" w:hAnsi="Arial" w:cs="Arial"/>
          <w:b/>
          <w:bCs/>
          <w:color w:val="111111"/>
          <w:sz w:val="57"/>
          <w:szCs w:val="57"/>
          <w:lang w:eastAsia="en-AU"/>
        </w:rPr>
        <w:t xml:space="preserve"> </w:t>
      </w:r>
      <w:r>
        <w:rPr>
          <w:rFonts w:ascii="Arial" w:eastAsia="Times New Roman" w:hAnsi="Arial" w:cs="Arial"/>
          <w:b/>
          <w:bCs/>
          <w:color w:val="111111"/>
          <w:sz w:val="57"/>
          <w:szCs w:val="57"/>
          <w:lang w:eastAsia="en-AU"/>
        </w:rPr>
        <w:br/>
      </w:r>
      <w:r w:rsidRPr="002A5600">
        <w:rPr>
          <w:rFonts w:ascii="Arial" w:eastAsia="Times New Roman" w:hAnsi="Arial" w:cs="Arial"/>
          <w:b/>
          <w:bCs/>
          <w:color w:val="111111"/>
          <w:sz w:val="57"/>
          <w:szCs w:val="57"/>
          <w:lang w:eastAsia="en-AU"/>
        </w:rPr>
        <w:t>and enabling</w:t>
      </w:r>
      <w:r>
        <w:rPr>
          <w:rFonts w:ascii="Arial" w:eastAsia="Times New Roman" w:hAnsi="Arial" w:cs="Arial"/>
          <w:b/>
          <w:bCs/>
          <w:color w:val="111111"/>
          <w:sz w:val="57"/>
          <w:szCs w:val="57"/>
          <w:lang w:eastAsia="en-AU"/>
        </w:rPr>
        <w:t xml:space="preserve"> </w:t>
      </w:r>
      <w:r w:rsidRPr="002A5600">
        <w:rPr>
          <w:rFonts w:ascii="Arial" w:eastAsia="Times New Roman" w:hAnsi="Arial" w:cs="Arial"/>
          <w:b/>
          <w:bCs/>
          <w:color w:val="111111"/>
          <w:sz w:val="57"/>
          <w:szCs w:val="57"/>
          <w:lang w:eastAsia="en-AU"/>
        </w:rPr>
        <w:t>services</w:t>
      </w:r>
    </w:p>
    <w:p w14:paraId="174B3BD2" w14:textId="00B464AD" w:rsidR="00F06BEC" w:rsidRDefault="002A5600" w:rsidP="002A5600">
      <w:pPr>
        <w:spacing w:before="600" w:after="225" w:line="420" w:lineRule="atLeast"/>
        <w:outlineLvl w:val="3"/>
        <w:rPr>
          <w:rFonts w:ascii="Arial" w:eastAsia="Times New Roman" w:hAnsi="Arial" w:cs="Arial"/>
          <w:color w:val="333333"/>
          <w:sz w:val="20"/>
          <w:szCs w:val="20"/>
          <w:lang w:eastAsia="en-AU"/>
        </w:rPr>
      </w:pPr>
      <w:r w:rsidRPr="002A5600">
        <w:rPr>
          <w:rFonts w:ascii="Arial" w:eastAsia="Times New Roman" w:hAnsi="Arial" w:cs="Arial"/>
          <w:color w:val="333333"/>
          <w:sz w:val="20"/>
          <w:szCs w:val="20"/>
          <w:lang w:eastAsia="en-AU"/>
        </w:rPr>
        <w:t>In 2022-23, EPA will continue to deliver its core</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regulatory and enabling services to prevent</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and reduce the harmful effects of pollution</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and waste on Victorians and the environment.</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These core services are further defined in</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division and branch annual delivery plans.</w:t>
      </w:r>
      <w:r w:rsidR="00F06BEC">
        <w:rPr>
          <w:rFonts w:ascii="Arial" w:eastAsia="Times New Roman" w:hAnsi="Arial" w:cs="Arial"/>
          <w:color w:val="333333"/>
          <w:sz w:val="20"/>
          <w:szCs w:val="20"/>
          <w:lang w:eastAsia="en-AU"/>
        </w:rPr>
        <w:br/>
      </w:r>
    </w:p>
    <w:p w14:paraId="48801931" w14:textId="77777777" w:rsidR="00F06BEC" w:rsidRDefault="00F06BEC" w:rsidP="00F06BEC">
      <w:pPr>
        <w:spacing w:before="210" w:after="210" w:line="240" w:lineRule="auto"/>
        <w:rPr>
          <w:rFonts w:ascii="Arial" w:eastAsia="Times New Roman" w:hAnsi="Arial" w:cs="Arial"/>
          <w:b/>
          <w:bCs/>
          <w:color w:val="111111"/>
          <w:sz w:val="30"/>
          <w:szCs w:val="30"/>
          <w:lang w:eastAsia="en-AU"/>
        </w:rPr>
      </w:pPr>
      <w:r w:rsidRPr="00F06BEC">
        <w:rPr>
          <w:rFonts w:ascii="Arial" w:eastAsia="Times New Roman" w:hAnsi="Arial" w:cs="Arial"/>
          <w:b/>
          <w:bCs/>
          <w:color w:val="111111"/>
          <w:sz w:val="30"/>
          <w:szCs w:val="30"/>
          <w:lang w:eastAsia="en-AU"/>
        </w:rPr>
        <w:t>Statutory and strategic</w:t>
      </w:r>
      <w:r>
        <w:rPr>
          <w:rFonts w:ascii="Arial" w:eastAsia="Times New Roman" w:hAnsi="Arial" w:cs="Arial"/>
          <w:b/>
          <w:bCs/>
          <w:color w:val="111111"/>
          <w:sz w:val="30"/>
          <w:szCs w:val="30"/>
          <w:lang w:eastAsia="en-AU"/>
        </w:rPr>
        <w:t xml:space="preserve"> </w:t>
      </w:r>
      <w:r w:rsidRPr="00F06BEC">
        <w:rPr>
          <w:rFonts w:ascii="Arial" w:eastAsia="Times New Roman" w:hAnsi="Arial" w:cs="Arial"/>
          <w:b/>
          <w:bCs/>
          <w:color w:val="111111"/>
          <w:sz w:val="30"/>
          <w:szCs w:val="30"/>
          <w:lang w:eastAsia="en-AU"/>
        </w:rPr>
        <w:t>decisions, policy,</w:t>
      </w:r>
      <w:r>
        <w:rPr>
          <w:rFonts w:ascii="Arial" w:eastAsia="Times New Roman" w:hAnsi="Arial" w:cs="Arial"/>
          <w:b/>
          <w:bCs/>
          <w:color w:val="111111"/>
          <w:sz w:val="30"/>
          <w:szCs w:val="30"/>
          <w:lang w:eastAsia="en-AU"/>
        </w:rPr>
        <w:t xml:space="preserve"> </w:t>
      </w:r>
      <w:r w:rsidRPr="00F06BEC">
        <w:rPr>
          <w:rFonts w:ascii="Arial" w:eastAsia="Times New Roman" w:hAnsi="Arial" w:cs="Arial"/>
          <w:b/>
          <w:bCs/>
          <w:color w:val="111111"/>
          <w:sz w:val="30"/>
          <w:szCs w:val="30"/>
          <w:lang w:eastAsia="en-AU"/>
        </w:rPr>
        <w:t xml:space="preserve">and advice </w:t>
      </w:r>
    </w:p>
    <w:p w14:paraId="3B500C99" w14:textId="22098762"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proofErr w:type="spellStart"/>
      <w:r w:rsidRPr="00F06BEC">
        <w:rPr>
          <w:rFonts w:ascii="Arial" w:eastAsia="Times New Roman" w:hAnsi="Arial" w:cs="Arial"/>
          <w:color w:val="333333"/>
          <w:sz w:val="20"/>
          <w:szCs w:val="20"/>
          <w:lang w:eastAsia="en-AU"/>
        </w:rPr>
        <w:t>Permissioning</w:t>
      </w:r>
      <w:proofErr w:type="spellEnd"/>
      <w:r w:rsidRPr="00F06BEC">
        <w:rPr>
          <w:rFonts w:ascii="Arial" w:eastAsia="Times New Roman" w:hAnsi="Arial" w:cs="Arial"/>
          <w:color w:val="333333"/>
          <w:sz w:val="20"/>
          <w:szCs w:val="20"/>
          <w:lang w:eastAsia="en-AU"/>
        </w:rPr>
        <w:t xml:space="preserve"> (licenses, permits and registrations)</w:t>
      </w:r>
    </w:p>
    <w:p w14:paraId="09002440" w14:textId="555F57F9"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Major projects facilitation</w:t>
      </w:r>
    </w:p>
    <w:p w14:paraId="657B567B" w14:textId="1327608A"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Planning referrals</w:t>
      </w:r>
    </w:p>
    <w:p w14:paraId="47B1A578" w14:textId="6ED3D2EE"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Industry guidance</w:t>
      </w:r>
    </w:p>
    <w:p w14:paraId="141AEEEF" w14:textId="46C5CF44"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Scientific advice</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recommendations</w:t>
      </w:r>
    </w:p>
    <w:p w14:paraId="2E8B4156" w14:textId="600404C6" w:rsid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b/>
          <w:bCs/>
          <w:color w:val="333333"/>
          <w:sz w:val="20"/>
          <w:szCs w:val="20"/>
          <w:lang w:eastAsia="en-AU"/>
        </w:rPr>
      </w:pPr>
      <w:r w:rsidRPr="00F06BEC">
        <w:rPr>
          <w:rFonts w:ascii="Arial" w:eastAsia="Times New Roman" w:hAnsi="Arial" w:cs="Arial"/>
          <w:color w:val="333333"/>
          <w:sz w:val="20"/>
          <w:szCs w:val="20"/>
          <w:lang w:eastAsia="en-AU"/>
        </w:rPr>
        <w:t>Policy and regulation</w:t>
      </w:r>
      <w:r w:rsidRPr="00F06BEC">
        <w:rPr>
          <w:rFonts w:ascii="Arial" w:eastAsia="Times New Roman" w:hAnsi="Arial" w:cs="Arial"/>
          <w:b/>
          <w:bCs/>
          <w:color w:val="333333"/>
          <w:sz w:val="20"/>
          <w:szCs w:val="20"/>
          <w:lang w:eastAsia="en-AU"/>
        </w:rPr>
        <w:t xml:space="preserve"> </w:t>
      </w:r>
      <w:r>
        <w:rPr>
          <w:rFonts w:ascii="Arial" w:eastAsia="Times New Roman" w:hAnsi="Arial" w:cs="Arial"/>
          <w:b/>
          <w:bCs/>
          <w:color w:val="333333"/>
          <w:sz w:val="20"/>
          <w:szCs w:val="20"/>
          <w:lang w:eastAsia="en-AU"/>
        </w:rPr>
        <w:br/>
      </w:r>
    </w:p>
    <w:p w14:paraId="5B55868A" w14:textId="30A8C0FB" w:rsidR="00F06BEC" w:rsidRPr="00F06BEC" w:rsidRDefault="00F06BEC" w:rsidP="00F06BEC">
      <w:pPr>
        <w:spacing w:before="210" w:after="225" w:line="420" w:lineRule="atLeast"/>
        <w:outlineLvl w:val="3"/>
        <w:rPr>
          <w:rFonts w:ascii="Arial" w:eastAsia="Times New Roman" w:hAnsi="Arial" w:cs="Arial"/>
          <w:b/>
          <w:bCs/>
          <w:color w:val="111111"/>
          <w:sz w:val="30"/>
          <w:szCs w:val="30"/>
          <w:lang w:eastAsia="en-AU"/>
        </w:rPr>
      </w:pPr>
      <w:r w:rsidRPr="00F06BEC">
        <w:rPr>
          <w:rFonts w:ascii="Arial" w:eastAsia="Times New Roman" w:hAnsi="Arial" w:cs="Arial"/>
          <w:b/>
          <w:bCs/>
          <w:color w:val="111111"/>
          <w:sz w:val="30"/>
          <w:szCs w:val="30"/>
          <w:lang w:eastAsia="en-AU"/>
        </w:rPr>
        <w:t>Compliance and enforcement</w:t>
      </w:r>
    </w:p>
    <w:p w14:paraId="71724CF2" w14:textId="1265C9B4"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Authorised officer appointments</w:t>
      </w:r>
    </w:p>
    <w:p w14:paraId="48FEDAB9" w14:textId="3C72F8F1"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Investigations</w:t>
      </w:r>
    </w:p>
    <w:p w14:paraId="7419B9F4" w14:textId="1ADFF045"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High risk site clean-up</w:t>
      </w:r>
    </w:p>
    <w:p w14:paraId="19FFC22D" w14:textId="26FA4760"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Compliance programs</w:t>
      </w:r>
    </w:p>
    <w:p w14:paraId="03C8E7A2" w14:textId="71E634D1"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Infringement management</w:t>
      </w:r>
    </w:p>
    <w:p w14:paraId="16B652AB" w14:textId="615A16A0"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Financial assurance and levies</w:t>
      </w:r>
    </w:p>
    <w:p w14:paraId="6B8E235D" w14:textId="77C7A2F4"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Preventative programs</w:t>
      </w:r>
    </w:p>
    <w:p w14:paraId="719898A8" w14:textId="04BF45B9"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Incident coordination and response</w:t>
      </w:r>
    </w:p>
    <w:p w14:paraId="06255713" w14:textId="3F98E7F4"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Legal support and advice</w:t>
      </w:r>
    </w:p>
    <w:p w14:paraId="618A390F" w14:textId="64B66EB9"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Prosecutions</w:t>
      </w:r>
    </w:p>
    <w:p w14:paraId="18E65891" w14:textId="67F8AD6C"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Judicial review and VCAT applications</w:t>
      </w:r>
      <w:r w:rsidRPr="00F06BEC">
        <w:rPr>
          <w:rFonts w:ascii="Arial" w:eastAsia="Times New Roman" w:hAnsi="Arial" w:cs="Arial"/>
          <w:color w:val="333333"/>
          <w:sz w:val="20"/>
          <w:szCs w:val="20"/>
          <w:lang w:eastAsia="en-AU"/>
        </w:rPr>
        <w:br/>
      </w:r>
    </w:p>
    <w:p w14:paraId="3410A157" w14:textId="77777777" w:rsidR="008F5B4F" w:rsidRDefault="008F5B4F">
      <w:pPr>
        <w:rPr>
          <w:rFonts w:ascii="Arial" w:eastAsia="Times New Roman" w:hAnsi="Arial" w:cs="Arial"/>
          <w:b/>
          <w:bCs/>
          <w:color w:val="111111"/>
          <w:sz w:val="30"/>
          <w:szCs w:val="30"/>
          <w:lang w:eastAsia="en-AU"/>
        </w:rPr>
      </w:pPr>
      <w:r>
        <w:rPr>
          <w:rFonts w:ascii="Arial" w:eastAsia="Times New Roman" w:hAnsi="Arial" w:cs="Arial"/>
          <w:b/>
          <w:bCs/>
          <w:color w:val="111111"/>
          <w:sz w:val="30"/>
          <w:szCs w:val="30"/>
          <w:lang w:eastAsia="en-AU"/>
        </w:rPr>
        <w:br w:type="page"/>
      </w:r>
    </w:p>
    <w:p w14:paraId="246F56C2" w14:textId="574603E7" w:rsidR="00F06BEC" w:rsidRDefault="00F06BEC" w:rsidP="00F06BEC">
      <w:pPr>
        <w:spacing w:before="210" w:after="210" w:line="240" w:lineRule="auto"/>
        <w:outlineLvl w:val="3"/>
        <w:rPr>
          <w:rFonts w:ascii="Arial" w:eastAsia="Times New Roman" w:hAnsi="Arial" w:cs="Arial"/>
          <w:b/>
          <w:bCs/>
          <w:color w:val="111111"/>
          <w:sz w:val="30"/>
          <w:szCs w:val="30"/>
          <w:lang w:eastAsia="en-AU"/>
        </w:rPr>
      </w:pPr>
      <w:r w:rsidRPr="00F06BEC">
        <w:rPr>
          <w:rFonts w:ascii="Arial" w:eastAsia="Times New Roman" w:hAnsi="Arial" w:cs="Arial"/>
          <w:b/>
          <w:bCs/>
          <w:color w:val="111111"/>
          <w:sz w:val="30"/>
          <w:szCs w:val="30"/>
          <w:lang w:eastAsia="en-AU"/>
        </w:rPr>
        <w:lastRenderedPageBreak/>
        <w:t>People and governance</w:t>
      </w:r>
    </w:p>
    <w:p w14:paraId="45CD12C6" w14:textId="51C658E2"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Health, safety,</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wellbeing programs</w:t>
      </w:r>
    </w:p>
    <w:p w14:paraId="6D7C5528" w14:textId="27734F25" w:rsidR="00F06BEC" w:rsidRPr="00164934" w:rsidRDefault="00F06BEC"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Recruitment and</w:t>
      </w:r>
      <w:r w:rsidR="00164934">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talent management</w:t>
      </w:r>
    </w:p>
    <w:p w14:paraId="6C23837F" w14:textId="1DD41363"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Culture, diversity,</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inclusion programs</w:t>
      </w:r>
    </w:p>
    <w:p w14:paraId="297892AE" w14:textId="7714253D"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Finance and budget</w:t>
      </w:r>
    </w:p>
    <w:p w14:paraId="3B9FBB67" w14:textId="3F4AF9B5"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Procurement and</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contract management</w:t>
      </w:r>
    </w:p>
    <w:p w14:paraId="7CECE018" w14:textId="62FA2595"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Enterprise strategy, planning</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performance reporting</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management</w:t>
      </w:r>
    </w:p>
    <w:p w14:paraId="265DF374" w14:textId="52A5A843"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Enterprise risk management</w:t>
      </w:r>
    </w:p>
    <w:p w14:paraId="7D5170FE" w14:textId="74DFDCD8"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Facilities and fleet management</w:t>
      </w:r>
    </w:p>
    <w:p w14:paraId="3868C7E5" w14:textId="4771E448"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Governing Board secretariat</w:t>
      </w:r>
    </w:p>
    <w:p w14:paraId="26C96D57" w14:textId="4FAA1E85"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Audit (internal and external)</w:t>
      </w:r>
    </w:p>
    <w:p w14:paraId="18747195" w14:textId="2391BE13"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Integrity</w:t>
      </w:r>
    </w:p>
    <w:p w14:paraId="2656723D" w14:textId="03CB2D8C" w:rsidR="00F06BEC" w:rsidRPr="00164934" w:rsidRDefault="00F06BEC"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Freedom of information</w:t>
      </w:r>
      <w:r w:rsidR="00164934">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and privacy</w:t>
      </w:r>
    </w:p>
    <w:p w14:paraId="14F35FC7" w14:textId="7F1C4B73" w:rsidR="00F06BEC" w:rsidRPr="00164934" w:rsidRDefault="00F06BEC"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Briefing and correspondence</w:t>
      </w:r>
      <w:r w:rsidR="00164934">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coordination</w:t>
      </w:r>
      <w:r w:rsidRPr="00164934">
        <w:rPr>
          <w:rFonts w:ascii="Arial" w:eastAsia="Times New Roman" w:hAnsi="Arial" w:cs="Arial"/>
          <w:color w:val="333333"/>
          <w:sz w:val="20"/>
          <w:szCs w:val="20"/>
          <w:lang w:eastAsia="en-AU"/>
        </w:rPr>
        <w:br/>
      </w:r>
    </w:p>
    <w:p w14:paraId="41781913" w14:textId="46EC3A70" w:rsidR="00164934" w:rsidRPr="00164934" w:rsidRDefault="00164934" w:rsidP="00164934">
      <w:pPr>
        <w:spacing w:before="210" w:after="210" w:line="360" w:lineRule="auto"/>
        <w:outlineLvl w:val="3"/>
        <w:rPr>
          <w:rFonts w:ascii="Arial" w:eastAsia="Times New Roman" w:hAnsi="Arial" w:cs="Arial"/>
          <w:b/>
          <w:bCs/>
          <w:color w:val="111111"/>
          <w:sz w:val="30"/>
          <w:szCs w:val="30"/>
          <w:lang w:eastAsia="en-AU"/>
        </w:rPr>
      </w:pPr>
      <w:r w:rsidRPr="00164934">
        <w:rPr>
          <w:rFonts w:ascii="Arial" w:eastAsia="Times New Roman" w:hAnsi="Arial" w:cs="Arial"/>
          <w:b/>
          <w:bCs/>
          <w:color w:val="111111"/>
          <w:sz w:val="30"/>
          <w:szCs w:val="30"/>
          <w:lang w:eastAsia="en-AU"/>
        </w:rPr>
        <w:t>Relationships and engagement</w:t>
      </w:r>
    </w:p>
    <w:p w14:paraId="689F1C74" w14:textId="14A62B3F" w:rsidR="00164934" w:rsidRPr="00164934" w:rsidRDefault="00164934"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Aboriginal inclusion</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and partnerships</w:t>
      </w:r>
    </w:p>
    <w:p w14:paraId="3B137F6F" w14:textId="48991F65"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Community engagement</w:t>
      </w:r>
    </w:p>
    <w:p w14:paraId="760C9160" w14:textId="7828AEFB"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Citizen sciences</w:t>
      </w:r>
    </w:p>
    <w:p w14:paraId="5B31F7B9" w14:textId="01371F3A"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Science partnerships</w:t>
      </w:r>
    </w:p>
    <w:p w14:paraId="498F41DA" w14:textId="44317D95"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Government and</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stakeholder relations</w:t>
      </w:r>
    </w:p>
    <w:p w14:paraId="17DE2DE0" w14:textId="216847D0"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Inter-governmental coordination</w:t>
      </w:r>
    </w:p>
    <w:p w14:paraId="338A45AB" w14:textId="0122E027"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Education and</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information-sharing</w:t>
      </w:r>
    </w:p>
    <w:p w14:paraId="5A9F6DD0" w14:textId="349CF581"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Media</w:t>
      </w:r>
    </w:p>
    <w:p w14:paraId="313B5E8E" w14:textId="2F927558"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Engagement strategy</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and support</w:t>
      </w:r>
    </w:p>
    <w:p w14:paraId="68C1FCF2" w14:textId="253CF2EB"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Communication channel</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management including</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contact centre</w:t>
      </w:r>
      <w:r w:rsidRPr="00164934">
        <w:rPr>
          <w:rFonts w:ascii="Arial" w:eastAsia="Times New Roman" w:hAnsi="Arial" w:cs="Arial"/>
          <w:color w:val="333333"/>
          <w:sz w:val="20"/>
          <w:szCs w:val="20"/>
          <w:lang w:eastAsia="en-AU"/>
        </w:rPr>
        <w:br/>
      </w:r>
    </w:p>
    <w:p w14:paraId="2716DDD4" w14:textId="77777777" w:rsidR="004F639F" w:rsidRPr="004F639F" w:rsidRDefault="004F639F" w:rsidP="004F639F">
      <w:pPr>
        <w:spacing w:before="210" w:after="210" w:line="360" w:lineRule="auto"/>
        <w:outlineLvl w:val="3"/>
        <w:rPr>
          <w:rFonts w:ascii="Arial" w:eastAsia="Times New Roman" w:hAnsi="Arial" w:cs="Arial"/>
          <w:b/>
          <w:bCs/>
          <w:color w:val="111111"/>
          <w:sz w:val="30"/>
          <w:szCs w:val="30"/>
          <w:lang w:eastAsia="en-AU"/>
        </w:rPr>
      </w:pPr>
      <w:r w:rsidRPr="004F639F">
        <w:rPr>
          <w:rFonts w:ascii="Arial" w:eastAsia="Times New Roman" w:hAnsi="Arial" w:cs="Arial"/>
          <w:b/>
          <w:bCs/>
          <w:color w:val="111111"/>
          <w:sz w:val="30"/>
          <w:szCs w:val="30"/>
          <w:lang w:eastAsia="en-AU"/>
        </w:rPr>
        <w:t>Regulatory capability, standards, and appointments</w:t>
      </w:r>
    </w:p>
    <w:p w14:paraId="5E68448D" w14:textId="636D4075" w:rsidR="004F639F" w:rsidRPr="004F639F" w:rsidRDefault="004F639F" w:rsidP="004F639F">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Strengthening</w:t>
      </w:r>
      <w:r>
        <w:rPr>
          <w:rFonts w:ascii="Arial" w:eastAsia="Times New Roman" w:hAnsi="Arial" w:cs="Arial"/>
          <w:color w:val="333333"/>
          <w:sz w:val="20"/>
          <w:szCs w:val="20"/>
          <w:lang w:eastAsia="en-AU"/>
        </w:rPr>
        <w:t xml:space="preserve"> </w:t>
      </w:r>
      <w:r w:rsidRPr="004F639F">
        <w:rPr>
          <w:rFonts w:ascii="Arial" w:eastAsia="Times New Roman" w:hAnsi="Arial" w:cs="Arial"/>
          <w:color w:val="333333"/>
          <w:sz w:val="20"/>
          <w:szCs w:val="20"/>
          <w:lang w:eastAsia="en-AU"/>
        </w:rPr>
        <w:t>regulatory capability</w:t>
      </w:r>
    </w:p>
    <w:p w14:paraId="583664EC" w14:textId="2E45C095"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Developing</w:t>
      </w:r>
      <w:r>
        <w:rPr>
          <w:rFonts w:ascii="Arial" w:eastAsia="Times New Roman" w:hAnsi="Arial" w:cs="Arial"/>
          <w:color w:val="333333"/>
          <w:sz w:val="20"/>
          <w:szCs w:val="20"/>
          <w:lang w:eastAsia="en-AU"/>
        </w:rPr>
        <w:t xml:space="preserve"> </w:t>
      </w:r>
      <w:r w:rsidRPr="004F639F">
        <w:rPr>
          <w:rFonts w:ascii="Arial" w:eastAsia="Times New Roman" w:hAnsi="Arial" w:cs="Arial"/>
          <w:color w:val="333333"/>
          <w:sz w:val="20"/>
          <w:szCs w:val="20"/>
          <w:lang w:eastAsia="en-AU"/>
        </w:rPr>
        <w:t>regulatory standards</w:t>
      </w:r>
    </w:p>
    <w:p w14:paraId="2C789FA2" w14:textId="0E07D0A0"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Accredited consignor</w:t>
      </w:r>
      <w:r>
        <w:rPr>
          <w:rFonts w:ascii="Arial" w:eastAsia="Times New Roman" w:hAnsi="Arial" w:cs="Arial"/>
          <w:color w:val="333333"/>
          <w:sz w:val="20"/>
          <w:szCs w:val="20"/>
          <w:lang w:eastAsia="en-AU"/>
        </w:rPr>
        <w:t xml:space="preserve"> </w:t>
      </w:r>
      <w:r w:rsidRPr="004F639F">
        <w:rPr>
          <w:rFonts w:ascii="Arial" w:eastAsia="Times New Roman" w:hAnsi="Arial" w:cs="Arial"/>
          <w:color w:val="333333"/>
          <w:sz w:val="20"/>
          <w:szCs w:val="20"/>
          <w:lang w:eastAsia="en-AU"/>
        </w:rPr>
        <w:t>appointments</w:t>
      </w:r>
    </w:p>
    <w:p w14:paraId="2A90D7A1" w14:textId="4C2D1346"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Regulatory assurance and review</w:t>
      </w:r>
    </w:p>
    <w:p w14:paraId="764E1D4E" w14:textId="5CDB320F"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Environmental audit program</w:t>
      </w:r>
    </w:p>
    <w:p w14:paraId="17354D69" w14:textId="77777777" w:rsidR="00F06BEC" w:rsidRPr="00F06BEC" w:rsidRDefault="00F06BEC" w:rsidP="00F06BEC">
      <w:pPr>
        <w:spacing w:before="210" w:after="210" w:line="240" w:lineRule="auto"/>
        <w:outlineLvl w:val="3"/>
        <w:rPr>
          <w:rFonts w:ascii="Arial" w:eastAsia="Times New Roman" w:hAnsi="Arial" w:cs="Arial"/>
          <w:color w:val="333333"/>
          <w:sz w:val="20"/>
          <w:szCs w:val="20"/>
          <w:lang w:eastAsia="en-AU"/>
        </w:rPr>
      </w:pPr>
    </w:p>
    <w:p w14:paraId="11DE46DD" w14:textId="77777777" w:rsidR="00804D86" w:rsidRDefault="00804D86">
      <w:pPr>
        <w:rPr>
          <w:rFonts w:ascii="Arial" w:eastAsia="Times New Roman" w:hAnsi="Arial" w:cs="Arial"/>
          <w:b/>
          <w:bCs/>
          <w:color w:val="111111"/>
          <w:sz w:val="30"/>
          <w:szCs w:val="30"/>
          <w:lang w:eastAsia="en-AU"/>
        </w:rPr>
      </w:pPr>
      <w:r>
        <w:rPr>
          <w:rFonts w:ascii="Arial" w:eastAsia="Times New Roman" w:hAnsi="Arial" w:cs="Arial"/>
          <w:b/>
          <w:bCs/>
          <w:color w:val="111111"/>
          <w:sz w:val="30"/>
          <w:szCs w:val="30"/>
          <w:lang w:eastAsia="en-AU"/>
        </w:rPr>
        <w:br w:type="page"/>
      </w:r>
    </w:p>
    <w:p w14:paraId="70D510B3" w14:textId="77777777" w:rsidR="00804D86" w:rsidRDefault="00804D86" w:rsidP="00804D86">
      <w:pPr>
        <w:spacing w:before="600" w:after="225" w:line="420" w:lineRule="atLeast"/>
        <w:outlineLvl w:val="3"/>
        <w:rPr>
          <w:rFonts w:ascii="Arial" w:eastAsia="Times New Roman" w:hAnsi="Arial" w:cs="Arial"/>
          <w:b/>
          <w:bCs/>
          <w:color w:val="111111"/>
          <w:sz w:val="57"/>
          <w:szCs w:val="57"/>
          <w:lang w:eastAsia="en-AU"/>
        </w:rPr>
      </w:pPr>
      <w:r w:rsidRPr="00804D86">
        <w:rPr>
          <w:rFonts w:ascii="Arial" w:eastAsia="Times New Roman" w:hAnsi="Arial" w:cs="Arial"/>
          <w:b/>
          <w:bCs/>
          <w:color w:val="111111"/>
          <w:sz w:val="57"/>
          <w:szCs w:val="57"/>
          <w:lang w:eastAsia="en-AU"/>
        </w:rPr>
        <w:lastRenderedPageBreak/>
        <w:t>Performance</w:t>
      </w:r>
      <w:r>
        <w:rPr>
          <w:rFonts w:ascii="Arial" w:eastAsia="Times New Roman" w:hAnsi="Arial" w:cs="Arial"/>
          <w:b/>
          <w:bCs/>
          <w:color w:val="111111"/>
          <w:sz w:val="57"/>
          <w:szCs w:val="57"/>
          <w:lang w:eastAsia="en-AU"/>
        </w:rPr>
        <w:t xml:space="preserve"> </w:t>
      </w:r>
      <w:r w:rsidRPr="00804D86">
        <w:rPr>
          <w:rFonts w:ascii="Arial" w:eastAsia="Times New Roman" w:hAnsi="Arial" w:cs="Arial"/>
          <w:b/>
          <w:bCs/>
          <w:color w:val="111111"/>
          <w:sz w:val="57"/>
          <w:szCs w:val="57"/>
          <w:lang w:eastAsia="en-AU"/>
        </w:rPr>
        <w:t>measures</w:t>
      </w:r>
    </w:p>
    <w:p w14:paraId="28381922" w14:textId="12162A64" w:rsidR="00804D86" w:rsidRPr="00804D86" w:rsidRDefault="00804D86" w:rsidP="00804D86">
      <w:pPr>
        <w:spacing w:before="600" w:after="225" w:line="420" w:lineRule="atLeast"/>
        <w:outlineLvl w:val="3"/>
        <w:rPr>
          <w:rFonts w:ascii="Arial" w:eastAsia="Times New Roman" w:hAnsi="Arial" w:cs="Arial"/>
          <w:color w:val="333333"/>
          <w:sz w:val="20"/>
          <w:szCs w:val="20"/>
          <w:lang w:eastAsia="en-AU"/>
        </w:rPr>
      </w:pPr>
      <w:r w:rsidRPr="00804D86">
        <w:rPr>
          <w:rFonts w:ascii="Arial" w:eastAsia="Times New Roman" w:hAnsi="Arial" w:cs="Arial"/>
          <w:color w:val="333333"/>
          <w:sz w:val="20"/>
          <w:szCs w:val="20"/>
          <w:lang w:eastAsia="en-AU"/>
        </w:rPr>
        <w:t>Our service delivery is assessed against the 2022-23</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performance measures and targets set by the Victorian</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Government and defined in the service output ‘Statutory</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Activities and Environment Protection’ in Budget Paper 3</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(BP3). We aim to meet or exceed these targets</w:t>
      </w:r>
      <w:r w:rsidRPr="002A5600">
        <w:rPr>
          <w:rFonts w:ascii="Arial" w:eastAsia="Times New Roman" w:hAnsi="Arial" w:cs="Arial"/>
          <w:color w:val="333333"/>
          <w:sz w:val="20"/>
          <w:szCs w:val="20"/>
          <w:lang w:eastAsia="en-AU"/>
        </w:rPr>
        <w:t>.</w:t>
      </w:r>
    </w:p>
    <w:p w14:paraId="3EB0801C" w14:textId="0C977BC9" w:rsidR="00A1428B" w:rsidRPr="002A5600" w:rsidRDefault="00BE4C82" w:rsidP="00804D86">
      <w:pPr>
        <w:spacing w:before="600" w:after="225" w:line="420" w:lineRule="atLeast"/>
        <w:outlineLvl w:val="3"/>
        <w:rPr>
          <w:rFonts w:ascii="Arial" w:eastAsia="Times New Roman" w:hAnsi="Arial" w:cs="Arial"/>
          <w:color w:val="333333"/>
          <w:sz w:val="20"/>
          <w:szCs w:val="20"/>
          <w:lang w:eastAsia="en-AU"/>
        </w:rPr>
      </w:pPr>
      <w:r w:rsidRPr="00BE4C82">
        <w:rPr>
          <w:rFonts w:ascii="Arial" w:eastAsia="Times New Roman" w:hAnsi="Arial" w:cs="Arial"/>
          <w:b/>
          <w:bCs/>
          <w:color w:val="111111"/>
          <w:sz w:val="30"/>
          <w:szCs w:val="30"/>
          <w:lang w:eastAsia="en-AU"/>
        </w:rPr>
        <w:t>Quantity</w:t>
      </w:r>
      <w:r w:rsidR="00A260BA">
        <w:rPr>
          <w:rFonts w:ascii="Arial" w:eastAsia="Times New Roman" w:hAnsi="Arial" w:cs="Arial"/>
          <w:b/>
          <w:bCs/>
          <w:color w:val="111111"/>
          <w:sz w:val="30"/>
          <w:szCs w:val="30"/>
          <w:lang w:eastAsia="en-AU"/>
        </w:rPr>
        <w:br/>
      </w:r>
    </w:p>
    <w:p w14:paraId="6DC7F90A" w14:textId="77777777" w:rsidR="002D08B7" w:rsidRPr="002D08B7" w:rsidRDefault="002D08B7" w:rsidP="002D08B7">
      <w:pPr>
        <w:spacing w:after="0" w:line="240" w:lineRule="auto"/>
        <w:rPr>
          <w:rFonts w:ascii="Arial" w:eastAsia="Times New Roman" w:hAnsi="Arial" w:cs="Arial"/>
          <w:b/>
          <w:bCs/>
          <w:color w:val="333333"/>
          <w:sz w:val="20"/>
          <w:szCs w:val="20"/>
          <w:lang w:eastAsia="en-AU"/>
        </w:rPr>
      </w:pPr>
      <w:r w:rsidRPr="002D08B7">
        <w:rPr>
          <w:rFonts w:ascii="Arial" w:eastAsia="Times New Roman" w:hAnsi="Arial" w:cs="Arial"/>
          <w:b/>
          <w:bCs/>
          <w:color w:val="333333"/>
          <w:sz w:val="20"/>
          <w:szCs w:val="20"/>
          <w:lang w:eastAsia="en-AU"/>
        </w:rPr>
        <w:t>Inspections that assess premises whose operations could represent</w:t>
      </w:r>
    </w:p>
    <w:p w14:paraId="142F7B9B" w14:textId="2BA9D777" w:rsidR="00A1428B" w:rsidRPr="00F63F9E" w:rsidRDefault="002D08B7" w:rsidP="002D08B7">
      <w:pPr>
        <w:spacing w:after="0" w:line="240" w:lineRule="auto"/>
        <w:rPr>
          <w:rFonts w:ascii="Arial" w:eastAsia="Times New Roman" w:hAnsi="Arial" w:cs="Arial"/>
          <w:b/>
          <w:bCs/>
          <w:color w:val="333333"/>
          <w:sz w:val="20"/>
          <w:szCs w:val="20"/>
          <w:lang w:eastAsia="en-AU"/>
        </w:rPr>
      </w:pPr>
      <w:r w:rsidRPr="002D08B7">
        <w:rPr>
          <w:rFonts w:ascii="Arial" w:eastAsia="Times New Roman" w:hAnsi="Arial" w:cs="Arial"/>
          <w:b/>
          <w:bCs/>
          <w:color w:val="333333"/>
          <w:sz w:val="20"/>
          <w:szCs w:val="20"/>
          <w:lang w:eastAsia="en-AU"/>
        </w:rPr>
        <w:t>a significant risk to the environment and human health</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F10C27" w:rsidRPr="003643AB" w14:paraId="04B0A770" w14:textId="77777777" w:rsidTr="002D08B7">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5AC85427" w14:textId="1D834343" w:rsidR="00F10C27" w:rsidRPr="003643AB" w:rsidRDefault="00F10C27" w:rsidP="00DD022D">
            <w:pPr>
              <w:spacing w:after="210" w:line="360" w:lineRule="atLeast"/>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 xml:space="preserve">Unit of measure - </w:t>
            </w:r>
            <w:r w:rsidR="002D08B7">
              <w:rPr>
                <w:rFonts w:ascii="Arial" w:eastAsia="Times New Roman" w:hAnsi="Arial" w:cs="Arial"/>
                <w:color w:val="333333"/>
                <w:sz w:val="20"/>
                <w:szCs w:val="20"/>
                <w:lang w:eastAsia="en-AU"/>
              </w:rPr>
              <w:t>Number</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1E7CD03" w14:textId="2C6C644A" w:rsidR="00F10C27" w:rsidRPr="003643AB" w:rsidRDefault="00F10C27" w:rsidP="00DD022D">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2D08B7">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w:t>
            </w:r>
            <w:r w:rsidR="002D08B7">
              <w:rPr>
                <w:rFonts w:ascii="Arial" w:eastAsia="Times New Roman" w:hAnsi="Arial" w:cs="Arial"/>
                <w:color w:val="333333"/>
                <w:sz w:val="20"/>
                <w:szCs w:val="20"/>
                <w:lang w:eastAsia="en-AU"/>
              </w:rPr>
              <w:t>360-400</w:t>
            </w:r>
          </w:p>
        </w:tc>
      </w:tr>
    </w:tbl>
    <w:p w14:paraId="142757F8" w14:textId="469E4744" w:rsidR="002D08B7" w:rsidRPr="00F63F9E" w:rsidRDefault="00BE4C82" w:rsidP="002D08B7">
      <w:pPr>
        <w:spacing w:after="0" w:line="240" w:lineRule="auto"/>
        <w:rPr>
          <w:rFonts w:ascii="Arial" w:eastAsia="Times New Roman" w:hAnsi="Arial" w:cs="Arial"/>
          <w:b/>
          <w:bCs/>
          <w:color w:val="333333"/>
          <w:sz w:val="20"/>
          <w:szCs w:val="20"/>
          <w:lang w:eastAsia="en-AU"/>
        </w:rPr>
      </w:pPr>
      <w:r w:rsidRPr="00BE4C82">
        <w:rPr>
          <w:rFonts w:ascii="Arial" w:eastAsia="Times New Roman" w:hAnsi="Arial" w:cs="Arial"/>
          <w:b/>
          <w:bCs/>
          <w:color w:val="333333"/>
          <w:sz w:val="20"/>
          <w:szCs w:val="20"/>
          <w:lang w:eastAsia="en-AU"/>
        </w:rPr>
        <w:t>Environment condition notifications provided to Victorians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2D08B7" w:rsidRPr="003643AB" w14:paraId="550D27ED" w14:textId="77777777" w:rsidTr="00BE4C82">
        <w:trPr>
          <w:trHeight w:val="757"/>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46672CD" w14:textId="77777777" w:rsidR="002D08B7" w:rsidRPr="003643AB" w:rsidRDefault="002D08B7" w:rsidP="00940D64">
            <w:pPr>
              <w:spacing w:after="210" w:line="360" w:lineRule="atLeast"/>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Number</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294EF4AC" w14:textId="724BA161" w:rsidR="002D08B7" w:rsidRPr="003643AB" w:rsidRDefault="002D08B7" w:rsidP="00940D64">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BE4C82">
              <w:rPr>
                <w:rFonts w:ascii="Arial" w:eastAsia="Times New Roman" w:hAnsi="Arial" w:cs="Arial"/>
                <w:color w:val="333333"/>
                <w:sz w:val="20"/>
                <w:szCs w:val="20"/>
                <w:lang w:eastAsia="en-AU"/>
              </w:rPr>
              <w:t>800</w:t>
            </w:r>
          </w:p>
        </w:tc>
      </w:tr>
    </w:tbl>
    <w:p w14:paraId="6785CAF0" w14:textId="0F41F852" w:rsidR="00BE4C82" w:rsidRPr="002A5600" w:rsidRDefault="00BE4C82" w:rsidP="00BE4C82">
      <w:pPr>
        <w:spacing w:before="210" w:after="210" w:line="420" w:lineRule="atLeast"/>
        <w:outlineLvl w:val="3"/>
        <w:rPr>
          <w:rFonts w:ascii="Arial" w:eastAsia="Times New Roman" w:hAnsi="Arial" w:cs="Arial"/>
          <w:color w:val="333333"/>
          <w:sz w:val="20"/>
          <w:szCs w:val="20"/>
          <w:lang w:eastAsia="en-AU"/>
        </w:rPr>
      </w:pPr>
      <w:r w:rsidRPr="00BE4C82">
        <w:rPr>
          <w:rFonts w:ascii="Arial" w:eastAsia="Times New Roman" w:hAnsi="Arial" w:cs="Arial"/>
          <w:b/>
          <w:bCs/>
          <w:color w:val="111111"/>
          <w:sz w:val="30"/>
          <w:szCs w:val="30"/>
          <w:lang w:eastAsia="en-AU"/>
        </w:rPr>
        <w:t>Quality</w:t>
      </w:r>
      <w:r>
        <w:rPr>
          <w:rFonts w:ascii="Arial" w:eastAsia="Times New Roman" w:hAnsi="Arial" w:cs="Arial"/>
          <w:b/>
          <w:bCs/>
          <w:color w:val="111111"/>
          <w:sz w:val="30"/>
          <w:szCs w:val="30"/>
          <w:lang w:eastAsia="en-AU"/>
        </w:rPr>
        <w:br/>
      </w:r>
    </w:p>
    <w:p w14:paraId="03B4AEE7" w14:textId="4E86D681" w:rsidR="00BE4C82" w:rsidRPr="00F63F9E" w:rsidRDefault="00BF5C8C" w:rsidP="00BE4C82">
      <w:pPr>
        <w:spacing w:after="0" w:line="240" w:lineRule="auto"/>
        <w:rPr>
          <w:rFonts w:ascii="Arial" w:eastAsia="Times New Roman" w:hAnsi="Arial" w:cs="Arial"/>
          <w:b/>
          <w:bCs/>
          <w:color w:val="333333"/>
          <w:sz w:val="20"/>
          <w:szCs w:val="20"/>
          <w:lang w:eastAsia="en-AU"/>
        </w:rPr>
      </w:pPr>
      <w:r w:rsidRPr="00BF5C8C">
        <w:rPr>
          <w:rFonts w:ascii="Arial" w:eastAsia="Times New Roman" w:hAnsi="Arial" w:cs="Arial"/>
          <w:b/>
          <w:bCs/>
          <w:color w:val="333333"/>
          <w:sz w:val="20"/>
          <w:szCs w:val="20"/>
          <w:lang w:eastAsia="en-AU"/>
        </w:rPr>
        <w:t>Community and duty holder trust in EPA scale</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BE4C82" w:rsidRPr="003643AB" w14:paraId="06BE1F65"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5A68273" w14:textId="5925AF06" w:rsidR="00BE4C82" w:rsidRPr="003643AB" w:rsidRDefault="00BE4C82" w:rsidP="00940D64">
            <w:pPr>
              <w:spacing w:after="210" w:line="360" w:lineRule="atLeast"/>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 xml:space="preserve">Unit of measure - </w:t>
            </w:r>
            <w:r w:rsidR="00BF5C8C" w:rsidRPr="00BF5C8C">
              <w:rPr>
                <w:rFonts w:ascii="Arial" w:eastAsia="Times New Roman" w:hAnsi="Arial" w:cs="Arial"/>
                <w:color w:val="333333"/>
                <w:sz w:val="20"/>
                <w:szCs w:val="20"/>
                <w:lang w:eastAsia="en-AU"/>
              </w:rPr>
              <w:t>1-100</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FE747E7" w14:textId="4D478D5D" w:rsidR="00BE4C82" w:rsidRPr="003643AB" w:rsidRDefault="00BE4C82" w:rsidP="00940D64">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BF5C8C">
              <w:rPr>
                <w:rFonts w:ascii="Arial" w:eastAsia="Times New Roman" w:hAnsi="Arial" w:cs="Arial"/>
                <w:color w:val="333333"/>
                <w:sz w:val="20"/>
                <w:szCs w:val="20"/>
                <w:lang w:eastAsia="en-AU"/>
              </w:rPr>
              <w:t>70</w:t>
            </w:r>
          </w:p>
        </w:tc>
      </w:tr>
    </w:tbl>
    <w:p w14:paraId="26BF1D34" w14:textId="77777777" w:rsidR="008F5B4F" w:rsidRDefault="008F5B4F" w:rsidP="00BF5C8C">
      <w:pPr>
        <w:spacing w:before="210" w:after="210" w:line="420" w:lineRule="atLeast"/>
        <w:outlineLvl w:val="3"/>
        <w:rPr>
          <w:rFonts w:ascii="Arial" w:eastAsia="Times New Roman" w:hAnsi="Arial" w:cs="Arial"/>
          <w:b/>
          <w:bCs/>
          <w:color w:val="111111"/>
          <w:sz w:val="30"/>
          <w:szCs w:val="30"/>
          <w:lang w:eastAsia="en-AU"/>
        </w:rPr>
      </w:pPr>
    </w:p>
    <w:p w14:paraId="24EDE4DB" w14:textId="77777777" w:rsidR="008F5B4F" w:rsidRDefault="008F5B4F">
      <w:pPr>
        <w:rPr>
          <w:rFonts w:ascii="Arial" w:eastAsia="Times New Roman" w:hAnsi="Arial" w:cs="Arial"/>
          <w:b/>
          <w:bCs/>
          <w:color w:val="111111"/>
          <w:sz w:val="30"/>
          <w:szCs w:val="30"/>
          <w:lang w:eastAsia="en-AU"/>
        </w:rPr>
      </w:pPr>
      <w:r>
        <w:rPr>
          <w:rFonts w:ascii="Arial" w:eastAsia="Times New Roman" w:hAnsi="Arial" w:cs="Arial"/>
          <w:b/>
          <w:bCs/>
          <w:color w:val="111111"/>
          <w:sz w:val="30"/>
          <w:szCs w:val="30"/>
          <w:lang w:eastAsia="en-AU"/>
        </w:rPr>
        <w:br w:type="page"/>
      </w:r>
    </w:p>
    <w:p w14:paraId="04ED32D1" w14:textId="0CD00F76" w:rsidR="00BF5C8C" w:rsidRPr="002A5600" w:rsidRDefault="00BF5C8C" w:rsidP="008F5B4F">
      <w:pPr>
        <w:spacing w:before="60" w:after="60" w:line="240" w:lineRule="auto"/>
        <w:outlineLvl w:val="3"/>
        <w:rPr>
          <w:rFonts w:ascii="Arial" w:eastAsia="Times New Roman" w:hAnsi="Arial" w:cs="Arial"/>
          <w:color w:val="333333"/>
          <w:sz w:val="20"/>
          <w:szCs w:val="20"/>
          <w:lang w:eastAsia="en-AU"/>
        </w:rPr>
      </w:pPr>
      <w:r w:rsidRPr="00BF5C8C">
        <w:rPr>
          <w:rFonts w:ascii="Arial" w:eastAsia="Times New Roman" w:hAnsi="Arial" w:cs="Arial"/>
          <w:b/>
          <w:bCs/>
          <w:color w:val="111111"/>
          <w:sz w:val="30"/>
          <w:szCs w:val="30"/>
          <w:lang w:eastAsia="en-AU"/>
        </w:rPr>
        <w:lastRenderedPageBreak/>
        <w:t>Timeliness</w:t>
      </w:r>
      <w:r>
        <w:rPr>
          <w:rFonts w:ascii="Arial" w:eastAsia="Times New Roman" w:hAnsi="Arial" w:cs="Arial"/>
          <w:b/>
          <w:bCs/>
          <w:color w:val="111111"/>
          <w:sz w:val="30"/>
          <w:szCs w:val="30"/>
          <w:lang w:eastAsia="en-AU"/>
        </w:rPr>
        <w:br/>
      </w:r>
    </w:p>
    <w:p w14:paraId="1AC32B6F" w14:textId="05FC1E21" w:rsidR="00BF5C8C" w:rsidRPr="00F63F9E" w:rsidRDefault="007A3964" w:rsidP="008F5B4F">
      <w:pPr>
        <w:spacing w:before="60" w:after="60" w:line="240" w:lineRule="auto"/>
        <w:rPr>
          <w:rFonts w:ascii="Arial" w:eastAsia="Times New Roman" w:hAnsi="Arial" w:cs="Arial"/>
          <w:b/>
          <w:bCs/>
          <w:color w:val="333333"/>
          <w:sz w:val="20"/>
          <w:szCs w:val="20"/>
          <w:lang w:eastAsia="en-AU"/>
        </w:rPr>
      </w:pPr>
      <w:r w:rsidRPr="007A3964">
        <w:rPr>
          <w:rFonts w:ascii="Arial" w:eastAsia="Times New Roman" w:hAnsi="Arial" w:cs="Arial"/>
          <w:b/>
          <w:bCs/>
          <w:color w:val="333333"/>
          <w:sz w:val="20"/>
          <w:szCs w:val="20"/>
          <w:lang w:eastAsia="en-AU"/>
        </w:rPr>
        <w:t>Environmental audits and preliminary risk screening assessment reports are reviewed to ensure</w:t>
      </w:r>
      <w:r>
        <w:rPr>
          <w:rFonts w:ascii="Arial" w:eastAsia="Times New Roman" w:hAnsi="Arial" w:cs="Arial"/>
          <w:b/>
          <w:bCs/>
          <w:color w:val="333333"/>
          <w:sz w:val="20"/>
          <w:szCs w:val="20"/>
          <w:lang w:eastAsia="en-AU"/>
        </w:rPr>
        <w:t xml:space="preserve"> </w:t>
      </w:r>
      <w:r w:rsidRPr="007A3964">
        <w:rPr>
          <w:rFonts w:ascii="Arial" w:eastAsia="Times New Roman" w:hAnsi="Arial" w:cs="Arial"/>
          <w:b/>
          <w:bCs/>
          <w:color w:val="333333"/>
          <w:sz w:val="20"/>
          <w:szCs w:val="20"/>
          <w:lang w:eastAsia="en-AU"/>
        </w:rPr>
        <w:t>administrative compliance with legislation and guidelines within 14 days of submission</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BF5C8C" w:rsidRPr="003643AB" w14:paraId="101E05DE"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C65FAF2" w14:textId="4ABECF3A" w:rsidR="00BF5C8C" w:rsidRPr="003643AB" w:rsidRDefault="00BF5C8C"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 xml:space="preserve">Unit of measure </w:t>
            </w:r>
            <w:r w:rsidR="007A3964">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w:t>
            </w:r>
            <w:r w:rsidR="007A3964">
              <w:rPr>
                <w:rFonts w:ascii="Arial" w:eastAsia="Times New Roman" w:hAnsi="Arial" w:cs="Arial"/>
                <w:color w:val="333333"/>
                <w:sz w:val="20"/>
                <w:szCs w:val="20"/>
                <w:lang w:eastAsia="en-AU"/>
              </w:rPr>
              <w:t>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7F58E389" w14:textId="75DDBA95" w:rsidR="00BF5C8C" w:rsidRPr="003643AB" w:rsidRDefault="00BF5C8C"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7A3964">
              <w:rPr>
                <w:rFonts w:ascii="Arial" w:eastAsia="Times New Roman" w:hAnsi="Arial" w:cs="Arial"/>
                <w:color w:val="333333"/>
                <w:sz w:val="20"/>
                <w:szCs w:val="20"/>
                <w:lang w:eastAsia="en-AU"/>
              </w:rPr>
              <w:t>80</w:t>
            </w:r>
          </w:p>
        </w:tc>
      </w:tr>
    </w:tbl>
    <w:p w14:paraId="5353BAB6" w14:textId="14B9D14C" w:rsidR="00394C73" w:rsidRPr="00394C73" w:rsidRDefault="00394C73" w:rsidP="008F5B4F">
      <w:pPr>
        <w:spacing w:before="60" w:after="60" w:line="240" w:lineRule="auto"/>
        <w:rPr>
          <w:rFonts w:ascii="Arial" w:eastAsia="Times New Roman" w:hAnsi="Arial" w:cs="Arial"/>
          <w:b/>
          <w:bCs/>
          <w:color w:val="333333"/>
          <w:sz w:val="20"/>
          <w:szCs w:val="20"/>
          <w:lang w:eastAsia="en-AU"/>
        </w:rPr>
      </w:pPr>
      <w:r w:rsidRPr="00394C73">
        <w:rPr>
          <w:rFonts w:ascii="Arial" w:eastAsia="Times New Roman" w:hAnsi="Arial" w:cs="Arial"/>
          <w:b/>
          <w:bCs/>
          <w:color w:val="333333"/>
          <w:sz w:val="20"/>
          <w:szCs w:val="20"/>
          <w:lang w:eastAsia="en-AU"/>
        </w:rPr>
        <w:t>EPA confirms duty holder compliance with remedial notice requirements, or escalates</w:t>
      </w:r>
    </w:p>
    <w:p w14:paraId="14EA3553" w14:textId="4E2EB182" w:rsidR="007A3964" w:rsidRPr="00F63F9E" w:rsidRDefault="00394C73" w:rsidP="008F5B4F">
      <w:pPr>
        <w:spacing w:before="60" w:after="60" w:line="240" w:lineRule="auto"/>
        <w:rPr>
          <w:rFonts w:ascii="Arial" w:eastAsia="Times New Roman" w:hAnsi="Arial" w:cs="Arial"/>
          <w:b/>
          <w:bCs/>
          <w:color w:val="333333"/>
          <w:sz w:val="20"/>
          <w:szCs w:val="20"/>
          <w:lang w:eastAsia="en-AU"/>
        </w:rPr>
      </w:pPr>
      <w:r w:rsidRPr="00394C73">
        <w:rPr>
          <w:rFonts w:ascii="Arial" w:eastAsia="Times New Roman" w:hAnsi="Arial" w:cs="Arial"/>
          <w:b/>
          <w:bCs/>
          <w:color w:val="333333"/>
          <w:sz w:val="20"/>
          <w:szCs w:val="20"/>
          <w:lang w:eastAsia="en-AU"/>
        </w:rPr>
        <w:t>for further action, within 14 days of the compliance due date</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7A3964" w:rsidRPr="003643AB" w14:paraId="19F02414"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780C77F5" w14:textId="77777777" w:rsidR="007A3964" w:rsidRPr="003643AB" w:rsidRDefault="007A3964"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162E4CC" w14:textId="77777777" w:rsidR="007A3964" w:rsidRPr="003643AB" w:rsidRDefault="007A3964"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80</w:t>
            </w:r>
          </w:p>
        </w:tc>
      </w:tr>
    </w:tbl>
    <w:p w14:paraId="4593A7C6" w14:textId="5EEEBABF" w:rsidR="00394C73" w:rsidRPr="00F63F9E" w:rsidRDefault="00394C73" w:rsidP="008F5B4F">
      <w:pPr>
        <w:spacing w:before="60" w:after="60" w:line="240" w:lineRule="auto"/>
        <w:rPr>
          <w:rFonts w:ascii="Arial" w:eastAsia="Times New Roman" w:hAnsi="Arial" w:cs="Arial"/>
          <w:b/>
          <w:bCs/>
          <w:color w:val="333333"/>
          <w:sz w:val="20"/>
          <w:szCs w:val="20"/>
          <w:lang w:eastAsia="en-AU"/>
        </w:rPr>
      </w:pPr>
      <w:r w:rsidRPr="00394C73">
        <w:rPr>
          <w:rFonts w:ascii="Arial" w:eastAsia="Times New Roman" w:hAnsi="Arial" w:cs="Arial"/>
          <w:b/>
          <w:bCs/>
          <w:color w:val="333333"/>
          <w:sz w:val="20"/>
          <w:szCs w:val="20"/>
          <w:lang w:eastAsia="en-AU"/>
        </w:rPr>
        <w:t>Pollution reporters requesting follow up by EPA receive contact within three working days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394C73" w:rsidRPr="003643AB" w14:paraId="214117B4"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C982920" w14:textId="77777777" w:rsidR="00394C73" w:rsidRPr="003643AB" w:rsidRDefault="00394C73"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046E946F" w14:textId="0B9C20EB" w:rsidR="00394C73" w:rsidRPr="003643AB" w:rsidRDefault="00394C73"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75</w:t>
            </w:r>
          </w:p>
        </w:tc>
      </w:tr>
    </w:tbl>
    <w:p w14:paraId="333D92E5" w14:textId="325C94E0" w:rsidR="00394C73" w:rsidRPr="00F63F9E" w:rsidRDefault="004415E2" w:rsidP="008F5B4F">
      <w:pPr>
        <w:spacing w:before="60" w:after="60" w:line="240" w:lineRule="auto"/>
        <w:rPr>
          <w:rFonts w:ascii="Arial" w:eastAsia="Times New Roman" w:hAnsi="Arial" w:cs="Arial"/>
          <w:b/>
          <w:bCs/>
          <w:color w:val="333333"/>
          <w:sz w:val="20"/>
          <w:szCs w:val="20"/>
          <w:lang w:eastAsia="en-AU"/>
        </w:rPr>
      </w:pPr>
      <w:r w:rsidRPr="004415E2">
        <w:rPr>
          <w:rFonts w:ascii="Arial" w:eastAsia="Times New Roman" w:hAnsi="Arial" w:cs="Arial"/>
          <w:b/>
          <w:bCs/>
          <w:color w:val="333333"/>
          <w:sz w:val="20"/>
          <w:szCs w:val="20"/>
          <w:lang w:eastAsia="en-AU"/>
        </w:rPr>
        <w:t>Applications for licences, permits and registrations completed within statutory timelines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394C73" w:rsidRPr="003643AB" w14:paraId="20BA1269"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5C391EED" w14:textId="77777777" w:rsidR="00394C73" w:rsidRPr="003643AB" w:rsidRDefault="00394C73"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6644BBB" w14:textId="2F355DBD" w:rsidR="00394C73" w:rsidRPr="003643AB" w:rsidRDefault="00394C73"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4415E2">
              <w:rPr>
                <w:rFonts w:ascii="Arial" w:eastAsia="Times New Roman" w:hAnsi="Arial" w:cs="Arial"/>
                <w:color w:val="333333"/>
                <w:sz w:val="20"/>
                <w:szCs w:val="20"/>
                <w:lang w:eastAsia="en-AU"/>
              </w:rPr>
              <w:t>7</w:t>
            </w:r>
            <w:r>
              <w:rPr>
                <w:rFonts w:ascii="Arial" w:eastAsia="Times New Roman" w:hAnsi="Arial" w:cs="Arial"/>
                <w:color w:val="333333"/>
                <w:sz w:val="20"/>
                <w:szCs w:val="20"/>
                <w:lang w:eastAsia="en-AU"/>
              </w:rPr>
              <w:t>0</w:t>
            </w:r>
          </w:p>
        </w:tc>
      </w:tr>
    </w:tbl>
    <w:p w14:paraId="22081AE3" w14:textId="7D305549" w:rsidR="004415E2" w:rsidRPr="00F63F9E" w:rsidRDefault="004415E2" w:rsidP="008F5B4F">
      <w:pPr>
        <w:spacing w:before="60" w:after="60" w:line="240" w:lineRule="auto"/>
        <w:rPr>
          <w:rFonts w:ascii="Arial" w:eastAsia="Times New Roman" w:hAnsi="Arial" w:cs="Arial"/>
          <w:b/>
          <w:bCs/>
          <w:color w:val="333333"/>
          <w:sz w:val="20"/>
          <w:szCs w:val="20"/>
          <w:lang w:eastAsia="en-AU"/>
        </w:rPr>
      </w:pPr>
      <w:r w:rsidRPr="004415E2">
        <w:rPr>
          <w:rFonts w:ascii="Arial" w:eastAsia="Times New Roman" w:hAnsi="Arial" w:cs="Arial"/>
          <w:b/>
          <w:bCs/>
          <w:color w:val="333333"/>
          <w:sz w:val="20"/>
          <w:szCs w:val="20"/>
          <w:lang w:eastAsia="en-AU"/>
        </w:rPr>
        <w:t>Planning matters responded to within agreed timeframes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4415E2" w:rsidRPr="003643AB" w14:paraId="6B3D5688"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2BFC4A89" w14:textId="77777777" w:rsidR="004415E2" w:rsidRPr="003643AB" w:rsidRDefault="004415E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08C43BF8" w14:textId="0B4BAE4A" w:rsidR="004415E2" w:rsidRPr="003643AB" w:rsidRDefault="004415E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65</w:t>
            </w:r>
          </w:p>
        </w:tc>
      </w:tr>
    </w:tbl>
    <w:p w14:paraId="39097A59" w14:textId="3DA78185" w:rsidR="004415E2" w:rsidRPr="00F63F9E" w:rsidRDefault="004415E2" w:rsidP="008F5B4F">
      <w:pPr>
        <w:spacing w:before="60" w:after="60" w:line="240" w:lineRule="auto"/>
        <w:rPr>
          <w:rFonts w:ascii="Arial" w:eastAsia="Times New Roman" w:hAnsi="Arial" w:cs="Arial"/>
          <w:b/>
          <w:bCs/>
          <w:color w:val="333333"/>
          <w:sz w:val="20"/>
          <w:szCs w:val="20"/>
          <w:lang w:eastAsia="en-AU"/>
        </w:rPr>
      </w:pPr>
      <w:r w:rsidRPr="004415E2">
        <w:rPr>
          <w:rFonts w:ascii="Arial" w:eastAsia="Times New Roman" w:hAnsi="Arial" w:cs="Arial"/>
          <w:b/>
          <w:bCs/>
          <w:color w:val="333333"/>
          <w:sz w:val="20"/>
          <w:szCs w:val="20"/>
          <w:lang w:eastAsia="en-AU"/>
        </w:rPr>
        <w:t>Applications for internal review of remedial notices completed within statutory timeframes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4415E2" w:rsidRPr="003643AB" w14:paraId="4C171CCD"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3BA78D90" w14:textId="77777777" w:rsidR="004415E2" w:rsidRPr="003643AB" w:rsidRDefault="004415E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25EE9000" w14:textId="13986C6D" w:rsidR="004415E2" w:rsidRPr="003643AB" w:rsidRDefault="004415E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100</w:t>
            </w:r>
          </w:p>
        </w:tc>
      </w:tr>
    </w:tbl>
    <w:p w14:paraId="196D20EB" w14:textId="65176AA4" w:rsidR="004415E2" w:rsidRPr="00F63F9E" w:rsidRDefault="00D36072" w:rsidP="008F5B4F">
      <w:pPr>
        <w:spacing w:before="60" w:after="60" w:line="240" w:lineRule="auto"/>
        <w:rPr>
          <w:rFonts w:ascii="Arial" w:eastAsia="Times New Roman" w:hAnsi="Arial" w:cs="Arial"/>
          <w:b/>
          <w:bCs/>
          <w:color w:val="333333"/>
          <w:sz w:val="20"/>
          <w:szCs w:val="20"/>
          <w:lang w:eastAsia="en-AU"/>
        </w:rPr>
      </w:pPr>
      <w:r w:rsidRPr="00D36072">
        <w:rPr>
          <w:rFonts w:ascii="Arial" w:eastAsia="Times New Roman" w:hAnsi="Arial" w:cs="Arial"/>
          <w:b/>
          <w:bCs/>
          <w:color w:val="333333"/>
          <w:sz w:val="20"/>
          <w:szCs w:val="20"/>
          <w:lang w:eastAsia="en-AU"/>
        </w:rPr>
        <w:t>EPA provides technical advice to lead agencies within agreed timelines during emergency incidents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4415E2" w:rsidRPr="003643AB" w14:paraId="4307B5EB"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0A9498C9" w14:textId="77777777" w:rsidR="004415E2" w:rsidRPr="003643AB" w:rsidRDefault="004415E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01B62074" w14:textId="05E1A32D" w:rsidR="004415E2" w:rsidRPr="003643AB" w:rsidRDefault="004415E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D36072">
              <w:rPr>
                <w:rFonts w:ascii="Arial" w:eastAsia="Times New Roman" w:hAnsi="Arial" w:cs="Arial"/>
                <w:color w:val="333333"/>
                <w:sz w:val="20"/>
                <w:szCs w:val="20"/>
                <w:lang w:eastAsia="en-AU"/>
              </w:rPr>
              <w:t>70</w:t>
            </w:r>
          </w:p>
        </w:tc>
      </w:tr>
    </w:tbl>
    <w:p w14:paraId="1148F1AD" w14:textId="759A0163" w:rsidR="00D36072" w:rsidRPr="00F63F9E" w:rsidRDefault="00D36072" w:rsidP="008F5B4F">
      <w:pPr>
        <w:spacing w:before="60" w:after="60" w:line="240" w:lineRule="auto"/>
        <w:rPr>
          <w:rFonts w:ascii="Arial" w:eastAsia="Times New Roman" w:hAnsi="Arial" w:cs="Arial"/>
          <w:b/>
          <w:bCs/>
          <w:color w:val="333333"/>
          <w:sz w:val="20"/>
          <w:szCs w:val="20"/>
          <w:lang w:eastAsia="en-AU"/>
        </w:rPr>
      </w:pPr>
      <w:r w:rsidRPr="00D36072">
        <w:rPr>
          <w:rFonts w:ascii="Arial" w:eastAsia="Times New Roman" w:hAnsi="Arial" w:cs="Arial"/>
          <w:b/>
          <w:bCs/>
          <w:color w:val="333333"/>
          <w:sz w:val="20"/>
          <w:szCs w:val="20"/>
          <w:lang w:eastAsia="en-AU"/>
        </w:rPr>
        <w:t>EPA responds to priority waste incidents within one day of notification</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D36072" w:rsidRPr="003643AB" w14:paraId="1D53151F"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366C271B" w14:textId="77777777" w:rsidR="00D36072" w:rsidRPr="003643AB" w:rsidRDefault="00D3607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6E25058E" w14:textId="5E792055" w:rsidR="00D36072" w:rsidRPr="003643AB" w:rsidRDefault="00D3607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90</w:t>
            </w:r>
          </w:p>
        </w:tc>
      </w:tr>
    </w:tbl>
    <w:p w14:paraId="61DF6435" w14:textId="77777777" w:rsidR="00D36072" w:rsidRPr="00D36072" w:rsidRDefault="00D36072" w:rsidP="00D36072">
      <w:pPr>
        <w:rPr>
          <w:rFonts w:ascii="Arial" w:eastAsia="Times New Roman" w:hAnsi="Arial" w:cs="Arial"/>
          <w:color w:val="333333"/>
          <w:sz w:val="16"/>
          <w:szCs w:val="16"/>
          <w:lang w:eastAsia="en-AU"/>
        </w:rPr>
      </w:pPr>
      <w:r w:rsidRPr="00D36072">
        <w:rPr>
          <w:rFonts w:ascii="Arial" w:eastAsia="Times New Roman" w:hAnsi="Arial" w:cs="Arial"/>
          <w:color w:val="333333"/>
          <w:sz w:val="16"/>
          <w:szCs w:val="16"/>
          <w:lang w:eastAsia="en-AU"/>
        </w:rPr>
        <w:t xml:space="preserve">To complement these output measures and targets and monitor our progress against we </w:t>
      </w:r>
      <w:proofErr w:type="spellStart"/>
      <w:r w:rsidRPr="00D36072">
        <w:rPr>
          <w:rFonts w:ascii="Arial" w:eastAsia="Times New Roman" w:hAnsi="Arial" w:cs="Arial"/>
          <w:color w:val="333333"/>
          <w:sz w:val="16"/>
          <w:szCs w:val="16"/>
          <w:lang w:eastAsia="en-AU"/>
        </w:rPr>
        <w:t>ve</w:t>
      </w:r>
      <w:proofErr w:type="spellEnd"/>
      <w:r w:rsidRPr="00D36072">
        <w:rPr>
          <w:rFonts w:ascii="Arial" w:eastAsia="Times New Roman" w:hAnsi="Arial" w:cs="Arial"/>
          <w:color w:val="333333"/>
          <w:sz w:val="16"/>
          <w:szCs w:val="16"/>
          <w:lang w:eastAsia="en-AU"/>
        </w:rPr>
        <w:t xml:space="preserve"> also identified outcome</w:t>
      </w:r>
    </w:p>
    <w:p w14:paraId="13B1DDA4" w14:textId="52142516" w:rsidR="005E3A94" w:rsidRDefault="00D36072" w:rsidP="00D36072">
      <w:pPr>
        <w:rPr>
          <w:rFonts w:ascii="Arial" w:eastAsia="Times New Roman" w:hAnsi="Arial" w:cs="Arial"/>
          <w:b/>
          <w:bCs/>
          <w:color w:val="111111"/>
          <w:sz w:val="57"/>
          <w:szCs w:val="57"/>
          <w:lang w:eastAsia="en-AU"/>
        </w:rPr>
      </w:pPr>
      <w:r w:rsidRPr="00D36072">
        <w:rPr>
          <w:rFonts w:ascii="Arial" w:eastAsia="Times New Roman" w:hAnsi="Arial" w:cs="Arial"/>
          <w:color w:val="333333"/>
          <w:sz w:val="16"/>
          <w:szCs w:val="16"/>
          <w:lang w:eastAsia="en-AU"/>
        </w:rPr>
        <w:t>measures and targets in our Strategic Plan 2022 27. We’ll improve these outcome measures and targets over time.</w:t>
      </w:r>
      <w:r w:rsidR="005E3A94">
        <w:rPr>
          <w:rFonts w:ascii="Arial" w:eastAsia="Times New Roman" w:hAnsi="Arial" w:cs="Arial"/>
          <w:b/>
          <w:bCs/>
          <w:color w:val="111111"/>
          <w:sz w:val="57"/>
          <w:szCs w:val="57"/>
          <w:lang w:eastAsia="en-AU"/>
        </w:rPr>
        <w:br w:type="page"/>
      </w:r>
    </w:p>
    <w:p w14:paraId="0AA02256" w14:textId="77777777" w:rsidR="002E4709" w:rsidRDefault="002E4709" w:rsidP="00A1428B">
      <w:pPr>
        <w:spacing w:before="600" w:after="225" w:line="540" w:lineRule="atLeast"/>
        <w:outlineLvl w:val="2"/>
        <w:rPr>
          <w:rFonts w:ascii="Arial" w:eastAsia="Times New Roman" w:hAnsi="Arial" w:cs="Arial"/>
          <w:b/>
          <w:bCs/>
          <w:color w:val="111111"/>
          <w:sz w:val="57"/>
          <w:szCs w:val="57"/>
          <w:lang w:eastAsia="en-AU"/>
        </w:rPr>
      </w:pPr>
      <w:r w:rsidRPr="002E4709">
        <w:rPr>
          <w:rFonts w:ascii="Arial" w:eastAsia="Times New Roman" w:hAnsi="Arial" w:cs="Arial"/>
          <w:b/>
          <w:bCs/>
          <w:color w:val="111111"/>
          <w:sz w:val="57"/>
          <w:szCs w:val="57"/>
          <w:lang w:eastAsia="en-AU"/>
        </w:rPr>
        <w:lastRenderedPageBreak/>
        <w:t xml:space="preserve">Resources </w:t>
      </w:r>
    </w:p>
    <w:p w14:paraId="0910F10A" w14:textId="5FF81AA0" w:rsidR="002E4709" w:rsidRDefault="002E4709" w:rsidP="006754F9">
      <w:pPr>
        <w:spacing w:before="600" w:after="225" w:line="240" w:lineRule="auto"/>
        <w:outlineLvl w:val="2"/>
        <w:rPr>
          <w:rFonts w:ascii="Arial" w:eastAsia="Times New Roman" w:hAnsi="Arial" w:cs="Arial"/>
          <w:color w:val="333333"/>
          <w:sz w:val="20"/>
          <w:szCs w:val="20"/>
          <w:lang w:eastAsia="en-AU"/>
        </w:rPr>
      </w:pPr>
      <w:r w:rsidRPr="002E4709">
        <w:rPr>
          <w:rFonts w:ascii="Arial" w:eastAsia="Times New Roman" w:hAnsi="Arial" w:cs="Arial"/>
          <w:color w:val="333333"/>
          <w:sz w:val="20"/>
          <w:szCs w:val="20"/>
          <w:lang w:eastAsia="en-AU"/>
        </w:rPr>
        <w:t xml:space="preserve">Our resources are used to deliver our legislative obligations and strategic priorities, and to manage current and emerging risks. Our resources also enable us to continually improve our regulatory approach, build effective partnerships, and develop organisational capability and a high performing culture. </w:t>
      </w:r>
    </w:p>
    <w:p w14:paraId="1D66E1A8" w14:textId="77777777" w:rsidR="006754F9" w:rsidRDefault="006754F9" w:rsidP="00A1428B">
      <w:pPr>
        <w:spacing w:before="210" w:after="210" w:line="240" w:lineRule="auto"/>
        <w:rPr>
          <w:rFonts w:ascii="Arial" w:eastAsia="Times New Roman" w:hAnsi="Arial" w:cs="Arial"/>
          <w:b/>
          <w:bCs/>
          <w:color w:val="111111"/>
          <w:sz w:val="42"/>
          <w:szCs w:val="42"/>
          <w:lang w:eastAsia="en-AU"/>
        </w:rPr>
      </w:pPr>
      <w:r w:rsidRPr="006754F9">
        <w:rPr>
          <w:rFonts w:ascii="Arial" w:eastAsia="Times New Roman" w:hAnsi="Arial" w:cs="Arial"/>
          <w:b/>
          <w:bCs/>
          <w:color w:val="111111"/>
          <w:sz w:val="42"/>
          <w:szCs w:val="42"/>
          <w:lang w:eastAsia="en-AU"/>
        </w:rPr>
        <w:t xml:space="preserve">Our budget </w:t>
      </w:r>
    </w:p>
    <w:p w14:paraId="28F19AA9" w14:textId="35518085" w:rsidR="002C4C03" w:rsidRPr="002C4C03" w:rsidRDefault="006754F9" w:rsidP="002C4C03">
      <w:pPr>
        <w:spacing w:before="210" w:after="225" w:line="240" w:lineRule="auto"/>
        <w:outlineLvl w:val="2"/>
        <w:rPr>
          <w:rFonts w:ascii="Arial" w:eastAsia="Times New Roman" w:hAnsi="Arial" w:cs="Arial"/>
          <w:color w:val="333333"/>
          <w:sz w:val="20"/>
          <w:szCs w:val="20"/>
          <w:lang w:eastAsia="en-AU"/>
        </w:rPr>
      </w:pPr>
      <w:r w:rsidRPr="006754F9">
        <w:rPr>
          <w:rFonts w:ascii="Arial" w:eastAsia="Times New Roman" w:hAnsi="Arial" w:cs="Arial"/>
          <w:color w:val="333333"/>
          <w:sz w:val="20"/>
          <w:szCs w:val="20"/>
          <w:lang w:eastAsia="en-AU"/>
        </w:rPr>
        <w:t>EPA’s consolidated revenue for 2022-23 is forecast at $175.9 million, with expenditure of $217.8</w:t>
      </w:r>
      <w:r>
        <w:rPr>
          <w:rFonts w:ascii="Arial" w:eastAsia="Times New Roman" w:hAnsi="Arial" w:cs="Arial"/>
          <w:color w:val="333333"/>
          <w:sz w:val="20"/>
          <w:szCs w:val="20"/>
          <w:lang w:eastAsia="en-AU"/>
        </w:rPr>
        <w:t xml:space="preserve"> </w:t>
      </w:r>
      <w:r w:rsidRPr="006754F9">
        <w:rPr>
          <w:rFonts w:ascii="Arial" w:eastAsia="Times New Roman" w:hAnsi="Arial" w:cs="Arial"/>
          <w:color w:val="333333"/>
          <w:sz w:val="20"/>
          <w:szCs w:val="20"/>
          <w:lang w:eastAsia="en-AU"/>
        </w:rPr>
        <w:t xml:space="preserve">million. The deficit will be met by drawing down on cash reserves, with funds carried over from deferred expenditure in 2021-22. </w:t>
      </w:r>
    </w:p>
    <w:p w14:paraId="57C7071B" w14:textId="77777777" w:rsidR="002C4C03" w:rsidRPr="002C4C03" w:rsidRDefault="002C4C03" w:rsidP="002C4C03">
      <w:pPr>
        <w:autoSpaceDE w:val="0"/>
        <w:autoSpaceDN w:val="0"/>
        <w:adjustRightInd w:val="0"/>
        <w:spacing w:after="0" w:line="240" w:lineRule="auto"/>
        <w:rPr>
          <w:rFonts w:ascii="VIC SemiBold" w:hAnsi="VIC SemiBold"/>
          <w:color w:val="FFFFFF"/>
          <w:sz w:val="17"/>
          <w:szCs w:val="17"/>
          <w:lang w:val="en-GB"/>
        </w:rPr>
      </w:pPr>
      <w:r w:rsidRPr="002C4C03">
        <w:rPr>
          <w:rFonts w:ascii="VIC SemiBold" w:hAnsi="VIC SemiBold"/>
          <w:b/>
          <w:bCs/>
          <w:color w:val="FFFFFF"/>
          <w:sz w:val="17"/>
          <w:szCs w:val="17"/>
          <w:lang w:val="en-GB"/>
        </w:rPr>
        <w:t xml:space="preserve">Revenue ($ million)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30"/>
        <w:gridCol w:w="1757"/>
      </w:tblGrid>
      <w:tr w:rsidR="002C4C03" w:rsidRPr="007931C1" w14:paraId="75AFA945" w14:textId="77777777" w:rsidTr="002C4C03">
        <w:trPr>
          <w:trHeight w:val="133"/>
        </w:trPr>
        <w:tc>
          <w:tcPr>
            <w:tcW w:w="4730" w:type="dxa"/>
            <w:tcBorders>
              <w:top w:val="nil"/>
              <w:left w:val="nil"/>
              <w:bottom w:val="none" w:sz="6" w:space="0" w:color="auto"/>
              <w:right w:val="none" w:sz="6" w:space="0" w:color="auto"/>
            </w:tcBorders>
            <w:shd w:val="clear" w:color="auto" w:fill="auto"/>
          </w:tcPr>
          <w:p w14:paraId="5DEFB073" w14:textId="203B6D3D" w:rsidR="002C4C03" w:rsidRPr="007931C1" w:rsidRDefault="002C4C03"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b/>
                <w:bCs/>
                <w:sz w:val="20"/>
                <w:szCs w:val="20"/>
                <w:lang w:val="en-GB"/>
              </w:rPr>
              <w:t>Revenue</w:t>
            </w:r>
          </w:p>
        </w:tc>
        <w:tc>
          <w:tcPr>
            <w:tcW w:w="1757" w:type="dxa"/>
            <w:tcBorders>
              <w:top w:val="nil"/>
              <w:left w:val="none" w:sz="6" w:space="0" w:color="auto"/>
              <w:bottom w:val="none" w:sz="6" w:space="0" w:color="auto"/>
              <w:right w:val="nil"/>
            </w:tcBorders>
            <w:shd w:val="clear" w:color="auto" w:fill="auto"/>
          </w:tcPr>
          <w:p w14:paraId="4F511C18" w14:textId="15CDC498" w:rsidR="002C4C03" w:rsidRPr="007931C1" w:rsidRDefault="002C4C03"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b/>
                <w:bCs/>
                <w:sz w:val="20"/>
                <w:szCs w:val="20"/>
                <w:lang w:val="en-GB"/>
              </w:rPr>
              <w:t>($ million)</w:t>
            </w:r>
          </w:p>
        </w:tc>
      </w:tr>
      <w:tr w:rsidR="002C4C03" w:rsidRPr="007931C1" w14:paraId="05EED67C" w14:textId="77777777" w:rsidTr="002C4C03">
        <w:trPr>
          <w:trHeight w:val="133"/>
        </w:trPr>
        <w:tc>
          <w:tcPr>
            <w:tcW w:w="4730" w:type="dxa"/>
            <w:tcBorders>
              <w:top w:val="none" w:sz="6" w:space="0" w:color="auto"/>
              <w:left w:val="nil"/>
              <w:bottom w:val="none" w:sz="6" w:space="0" w:color="auto"/>
              <w:right w:val="none" w:sz="6" w:space="0" w:color="auto"/>
            </w:tcBorders>
            <w:shd w:val="clear" w:color="auto" w:fill="auto"/>
          </w:tcPr>
          <w:p w14:paraId="09687C1E"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Municipal and Industrial Landfill Levy distribution </w:t>
            </w:r>
          </w:p>
        </w:tc>
        <w:tc>
          <w:tcPr>
            <w:tcW w:w="1757" w:type="dxa"/>
            <w:tcBorders>
              <w:top w:val="none" w:sz="6" w:space="0" w:color="auto"/>
              <w:left w:val="none" w:sz="6" w:space="0" w:color="auto"/>
              <w:bottom w:val="none" w:sz="6" w:space="0" w:color="auto"/>
              <w:right w:val="nil"/>
            </w:tcBorders>
            <w:shd w:val="clear" w:color="auto" w:fill="auto"/>
          </w:tcPr>
          <w:p w14:paraId="086E2E32"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28.4 </w:t>
            </w:r>
          </w:p>
        </w:tc>
      </w:tr>
      <w:tr w:rsidR="002C4C03" w:rsidRPr="007931C1" w14:paraId="41B8235F" w14:textId="77777777" w:rsidTr="002C4C03">
        <w:trPr>
          <w:trHeight w:val="201"/>
        </w:trPr>
        <w:tc>
          <w:tcPr>
            <w:tcW w:w="4730" w:type="dxa"/>
            <w:tcBorders>
              <w:top w:val="none" w:sz="6" w:space="0" w:color="auto"/>
              <w:left w:val="nil"/>
              <w:bottom w:val="none" w:sz="6" w:space="0" w:color="auto"/>
              <w:right w:val="none" w:sz="6" w:space="0" w:color="auto"/>
            </w:tcBorders>
            <w:shd w:val="clear" w:color="auto" w:fill="auto"/>
            <w:vAlign w:val="center"/>
          </w:tcPr>
          <w:p w14:paraId="36A70DDE"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Prescribed waste levies </w:t>
            </w:r>
          </w:p>
        </w:tc>
        <w:tc>
          <w:tcPr>
            <w:tcW w:w="1757" w:type="dxa"/>
            <w:tcBorders>
              <w:top w:val="none" w:sz="6" w:space="0" w:color="auto"/>
              <w:left w:val="none" w:sz="6" w:space="0" w:color="auto"/>
              <w:bottom w:val="none" w:sz="6" w:space="0" w:color="auto"/>
              <w:right w:val="nil"/>
            </w:tcBorders>
            <w:shd w:val="clear" w:color="auto" w:fill="auto"/>
            <w:vAlign w:val="center"/>
          </w:tcPr>
          <w:p w14:paraId="41CBC7AE"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77.5 </w:t>
            </w:r>
          </w:p>
        </w:tc>
      </w:tr>
      <w:tr w:rsidR="002C4C03" w:rsidRPr="007931C1" w14:paraId="4B0103E4" w14:textId="77777777" w:rsidTr="002C4C03">
        <w:trPr>
          <w:trHeight w:val="201"/>
        </w:trPr>
        <w:tc>
          <w:tcPr>
            <w:tcW w:w="4730" w:type="dxa"/>
            <w:tcBorders>
              <w:top w:val="none" w:sz="6" w:space="0" w:color="auto"/>
              <w:left w:val="nil"/>
              <w:bottom w:val="none" w:sz="6" w:space="0" w:color="auto"/>
              <w:right w:val="none" w:sz="6" w:space="0" w:color="auto"/>
            </w:tcBorders>
            <w:shd w:val="clear" w:color="auto" w:fill="auto"/>
            <w:vAlign w:val="center"/>
          </w:tcPr>
          <w:p w14:paraId="5031C016"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High-risk site rehabilitation funding </w:t>
            </w:r>
          </w:p>
        </w:tc>
        <w:tc>
          <w:tcPr>
            <w:tcW w:w="1757" w:type="dxa"/>
            <w:tcBorders>
              <w:top w:val="none" w:sz="6" w:space="0" w:color="auto"/>
              <w:left w:val="none" w:sz="6" w:space="0" w:color="auto"/>
              <w:bottom w:val="none" w:sz="6" w:space="0" w:color="auto"/>
              <w:right w:val="nil"/>
            </w:tcBorders>
            <w:shd w:val="clear" w:color="auto" w:fill="auto"/>
            <w:vAlign w:val="center"/>
          </w:tcPr>
          <w:p w14:paraId="1FA2FE43"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2.3 </w:t>
            </w:r>
          </w:p>
        </w:tc>
      </w:tr>
      <w:tr w:rsidR="002C4C03" w:rsidRPr="007931C1" w14:paraId="0CBCE6E4" w14:textId="77777777" w:rsidTr="002C4C03">
        <w:trPr>
          <w:trHeight w:val="201"/>
        </w:trPr>
        <w:tc>
          <w:tcPr>
            <w:tcW w:w="4730" w:type="dxa"/>
            <w:tcBorders>
              <w:top w:val="none" w:sz="6" w:space="0" w:color="auto"/>
              <w:left w:val="nil"/>
              <w:bottom w:val="none" w:sz="6" w:space="0" w:color="auto"/>
              <w:right w:val="none" w:sz="6" w:space="0" w:color="auto"/>
            </w:tcBorders>
            <w:shd w:val="clear" w:color="auto" w:fill="auto"/>
            <w:vAlign w:val="center"/>
          </w:tcPr>
          <w:p w14:paraId="00FF1A79"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Specific project and initiative funding </w:t>
            </w:r>
          </w:p>
        </w:tc>
        <w:tc>
          <w:tcPr>
            <w:tcW w:w="1757" w:type="dxa"/>
            <w:tcBorders>
              <w:top w:val="none" w:sz="6" w:space="0" w:color="auto"/>
              <w:left w:val="none" w:sz="6" w:space="0" w:color="auto"/>
              <w:bottom w:val="none" w:sz="6" w:space="0" w:color="auto"/>
              <w:right w:val="nil"/>
            </w:tcBorders>
            <w:shd w:val="clear" w:color="auto" w:fill="auto"/>
            <w:vAlign w:val="center"/>
          </w:tcPr>
          <w:p w14:paraId="55A742DC"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55.4 </w:t>
            </w:r>
          </w:p>
        </w:tc>
      </w:tr>
      <w:tr w:rsidR="002C4C03" w:rsidRPr="007931C1" w14:paraId="3CC54115" w14:textId="77777777" w:rsidTr="002C4C03">
        <w:trPr>
          <w:trHeight w:val="130"/>
        </w:trPr>
        <w:tc>
          <w:tcPr>
            <w:tcW w:w="4730" w:type="dxa"/>
            <w:tcBorders>
              <w:top w:val="none" w:sz="6" w:space="0" w:color="auto"/>
              <w:left w:val="nil"/>
              <w:bottom w:val="none" w:sz="6" w:space="0" w:color="auto"/>
              <w:right w:val="none" w:sz="6" w:space="0" w:color="auto"/>
            </w:tcBorders>
            <w:shd w:val="clear" w:color="auto" w:fill="auto"/>
            <w:vAlign w:val="bottom"/>
          </w:tcPr>
          <w:p w14:paraId="45F26629"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Fees, fines, licence levies, other </w:t>
            </w:r>
          </w:p>
        </w:tc>
        <w:tc>
          <w:tcPr>
            <w:tcW w:w="1757" w:type="dxa"/>
            <w:tcBorders>
              <w:top w:val="none" w:sz="6" w:space="0" w:color="auto"/>
              <w:left w:val="none" w:sz="6" w:space="0" w:color="auto"/>
              <w:bottom w:val="none" w:sz="6" w:space="0" w:color="auto"/>
              <w:right w:val="nil"/>
            </w:tcBorders>
            <w:shd w:val="clear" w:color="auto" w:fill="auto"/>
            <w:vAlign w:val="bottom"/>
          </w:tcPr>
          <w:p w14:paraId="7F46089C"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12.3 </w:t>
            </w:r>
          </w:p>
        </w:tc>
      </w:tr>
      <w:tr w:rsidR="002C4C03" w:rsidRPr="007931C1" w14:paraId="689E5715" w14:textId="77777777" w:rsidTr="002C4C03">
        <w:trPr>
          <w:trHeight w:val="130"/>
        </w:trPr>
        <w:tc>
          <w:tcPr>
            <w:tcW w:w="4730" w:type="dxa"/>
            <w:tcBorders>
              <w:top w:val="none" w:sz="6" w:space="0" w:color="auto"/>
              <w:left w:val="nil"/>
              <w:bottom w:val="nil"/>
              <w:right w:val="none" w:sz="6" w:space="0" w:color="auto"/>
            </w:tcBorders>
            <w:shd w:val="clear" w:color="auto" w:fill="auto"/>
            <w:vAlign w:val="bottom"/>
          </w:tcPr>
          <w:p w14:paraId="28FEF553" w14:textId="6A5A378A" w:rsidR="002C4C03" w:rsidRPr="007931C1" w:rsidRDefault="002C4C03"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b/>
                <w:bCs/>
                <w:sz w:val="20"/>
                <w:szCs w:val="20"/>
                <w:lang w:val="en-GB"/>
              </w:rPr>
              <w:t>Total revenue</w:t>
            </w:r>
          </w:p>
        </w:tc>
        <w:tc>
          <w:tcPr>
            <w:tcW w:w="1757" w:type="dxa"/>
            <w:tcBorders>
              <w:top w:val="none" w:sz="6" w:space="0" w:color="auto"/>
              <w:left w:val="none" w:sz="6" w:space="0" w:color="auto"/>
              <w:bottom w:val="nil"/>
              <w:right w:val="nil"/>
            </w:tcBorders>
            <w:shd w:val="clear" w:color="auto" w:fill="auto"/>
            <w:vAlign w:val="bottom"/>
          </w:tcPr>
          <w:p w14:paraId="58163FE7" w14:textId="565F16B4" w:rsidR="002C4C03" w:rsidRPr="007931C1" w:rsidRDefault="002C4C03"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b/>
                <w:bCs/>
                <w:sz w:val="20"/>
                <w:szCs w:val="20"/>
                <w:lang w:val="en-GB"/>
              </w:rPr>
              <w:t>175.9</w:t>
            </w:r>
          </w:p>
        </w:tc>
      </w:tr>
    </w:tbl>
    <w:p w14:paraId="0A70DA19" w14:textId="79F0C63F" w:rsidR="00E77B6A" w:rsidRPr="007931C1" w:rsidRDefault="00E77B6A" w:rsidP="000E79E4">
      <w:pPr>
        <w:spacing w:before="210" w:after="210" w:line="360" w:lineRule="auto"/>
        <w:rPr>
          <w:rFonts w:ascii="Arial" w:eastAsia="Times New Roman" w:hAnsi="Arial" w:cs="Arial"/>
          <w:color w:val="333333"/>
          <w:sz w:val="20"/>
          <w:szCs w:val="20"/>
          <w:lang w:eastAsia="en-AU"/>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30"/>
        <w:gridCol w:w="1757"/>
      </w:tblGrid>
      <w:tr w:rsidR="00E77B6A" w:rsidRPr="007931C1" w14:paraId="634BB05C" w14:textId="77777777" w:rsidTr="00940D64">
        <w:trPr>
          <w:trHeight w:val="133"/>
        </w:trPr>
        <w:tc>
          <w:tcPr>
            <w:tcW w:w="4730" w:type="dxa"/>
            <w:tcBorders>
              <w:top w:val="nil"/>
              <w:left w:val="nil"/>
              <w:bottom w:val="none" w:sz="6" w:space="0" w:color="auto"/>
              <w:right w:val="none" w:sz="6" w:space="0" w:color="auto"/>
            </w:tcBorders>
            <w:shd w:val="clear" w:color="auto" w:fill="auto"/>
          </w:tcPr>
          <w:p w14:paraId="7E9EC4E6" w14:textId="6CBA8CB8" w:rsidR="00E77B6A" w:rsidRPr="007931C1" w:rsidRDefault="00A56663"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b/>
                <w:bCs/>
                <w:sz w:val="20"/>
                <w:szCs w:val="20"/>
                <w:lang w:val="en-GB"/>
              </w:rPr>
              <w:t>Operating expenditure</w:t>
            </w:r>
            <w:r w:rsidRPr="007931C1">
              <w:rPr>
                <w:rFonts w:ascii="Arial" w:hAnsi="Arial" w:cs="Arial"/>
                <w:b/>
                <w:bCs/>
                <w:sz w:val="20"/>
                <w:szCs w:val="20"/>
                <w:lang w:val="en-GB"/>
              </w:rPr>
              <w:tab/>
            </w:r>
          </w:p>
        </w:tc>
        <w:tc>
          <w:tcPr>
            <w:tcW w:w="1757" w:type="dxa"/>
            <w:tcBorders>
              <w:top w:val="nil"/>
              <w:left w:val="none" w:sz="6" w:space="0" w:color="auto"/>
              <w:bottom w:val="none" w:sz="6" w:space="0" w:color="auto"/>
              <w:right w:val="nil"/>
            </w:tcBorders>
            <w:shd w:val="clear" w:color="auto" w:fill="auto"/>
          </w:tcPr>
          <w:p w14:paraId="2BF4A431" w14:textId="77777777" w:rsidR="00E77B6A" w:rsidRPr="007931C1" w:rsidRDefault="00E77B6A"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b/>
                <w:bCs/>
                <w:sz w:val="20"/>
                <w:szCs w:val="20"/>
                <w:lang w:val="en-GB"/>
              </w:rPr>
              <w:t>($ million)</w:t>
            </w:r>
          </w:p>
        </w:tc>
      </w:tr>
      <w:tr w:rsidR="00A56663" w:rsidRPr="007931C1" w14:paraId="66933E37" w14:textId="77777777" w:rsidTr="00940D64">
        <w:trPr>
          <w:trHeight w:val="133"/>
        </w:trPr>
        <w:tc>
          <w:tcPr>
            <w:tcW w:w="4730" w:type="dxa"/>
            <w:tcBorders>
              <w:top w:val="none" w:sz="6" w:space="0" w:color="auto"/>
              <w:left w:val="nil"/>
              <w:bottom w:val="none" w:sz="6" w:space="0" w:color="auto"/>
              <w:right w:val="none" w:sz="6" w:space="0" w:color="auto"/>
            </w:tcBorders>
            <w:shd w:val="clear" w:color="auto" w:fill="auto"/>
          </w:tcPr>
          <w:p w14:paraId="69B99AFA" w14:textId="2EA3D6EA"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People costs (salaries and on-costs)</w:t>
            </w:r>
          </w:p>
        </w:tc>
        <w:tc>
          <w:tcPr>
            <w:tcW w:w="1757" w:type="dxa"/>
            <w:tcBorders>
              <w:top w:val="none" w:sz="6" w:space="0" w:color="auto"/>
              <w:left w:val="none" w:sz="6" w:space="0" w:color="auto"/>
              <w:bottom w:val="none" w:sz="6" w:space="0" w:color="auto"/>
              <w:right w:val="nil"/>
            </w:tcBorders>
            <w:shd w:val="clear" w:color="auto" w:fill="auto"/>
          </w:tcPr>
          <w:p w14:paraId="107B55B2" w14:textId="519CD06C"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99.8</w:t>
            </w:r>
          </w:p>
        </w:tc>
      </w:tr>
      <w:tr w:rsidR="00A56663" w:rsidRPr="007931C1" w14:paraId="41FD6965" w14:textId="77777777" w:rsidTr="00055B69">
        <w:trPr>
          <w:trHeight w:val="201"/>
        </w:trPr>
        <w:tc>
          <w:tcPr>
            <w:tcW w:w="4730" w:type="dxa"/>
            <w:tcBorders>
              <w:top w:val="none" w:sz="6" w:space="0" w:color="auto"/>
              <w:left w:val="nil"/>
              <w:bottom w:val="none" w:sz="6" w:space="0" w:color="auto"/>
              <w:right w:val="none" w:sz="6" w:space="0" w:color="auto"/>
            </w:tcBorders>
            <w:shd w:val="clear" w:color="auto" w:fill="auto"/>
          </w:tcPr>
          <w:p w14:paraId="39C6B8CB" w14:textId="503C2192"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Information technology expenses</w:t>
            </w:r>
          </w:p>
        </w:tc>
        <w:tc>
          <w:tcPr>
            <w:tcW w:w="1757" w:type="dxa"/>
            <w:tcBorders>
              <w:top w:val="none" w:sz="6" w:space="0" w:color="auto"/>
              <w:left w:val="none" w:sz="6" w:space="0" w:color="auto"/>
              <w:bottom w:val="none" w:sz="6" w:space="0" w:color="auto"/>
              <w:right w:val="nil"/>
            </w:tcBorders>
            <w:shd w:val="clear" w:color="auto" w:fill="auto"/>
          </w:tcPr>
          <w:p w14:paraId="17AC2468" w14:textId="215CC004"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27.9</w:t>
            </w:r>
          </w:p>
        </w:tc>
      </w:tr>
      <w:tr w:rsidR="00A56663" w:rsidRPr="007931C1" w14:paraId="1CAC5EBD" w14:textId="77777777" w:rsidTr="00055B69">
        <w:trPr>
          <w:trHeight w:val="201"/>
        </w:trPr>
        <w:tc>
          <w:tcPr>
            <w:tcW w:w="4730" w:type="dxa"/>
            <w:tcBorders>
              <w:top w:val="none" w:sz="6" w:space="0" w:color="auto"/>
              <w:left w:val="nil"/>
              <w:bottom w:val="none" w:sz="6" w:space="0" w:color="auto"/>
              <w:right w:val="none" w:sz="6" w:space="0" w:color="auto"/>
            </w:tcBorders>
            <w:shd w:val="clear" w:color="auto" w:fill="auto"/>
          </w:tcPr>
          <w:p w14:paraId="31C129B3" w14:textId="55CE41E3"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Contracted services – high-risk sites rehabilitation</w:t>
            </w:r>
          </w:p>
        </w:tc>
        <w:tc>
          <w:tcPr>
            <w:tcW w:w="1757" w:type="dxa"/>
            <w:tcBorders>
              <w:top w:val="none" w:sz="6" w:space="0" w:color="auto"/>
              <w:left w:val="none" w:sz="6" w:space="0" w:color="auto"/>
              <w:bottom w:val="none" w:sz="6" w:space="0" w:color="auto"/>
              <w:right w:val="nil"/>
            </w:tcBorders>
            <w:shd w:val="clear" w:color="auto" w:fill="auto"/>
          </w:tcPr>
          <w:p w14:paraId="5A6981FB" w14:textId="16F80EDE"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26.5</w:t>
            </w:r>
          </w:p>
        </w:tc>
      </w:tr>
      <w:tr w:rsidR="00A56663" w:rsidRPr="007931C1" w14:paraId="67C25CB6" w14:textId="77777777" w:rsidTr="00055B69">
        <w:trPr>
          <w:trHeight w:val="201"/>
        </w:trPr>
        <w:tc>
          <w:tcPr>
            <w:tcW w:w="4730" w:type="dxa"/>
            <w:tcBorders>
              <w:top w:val="none" w:sz="6" w:space="0" w:color="auto"/>
              <w:left w:val="nil"/>
              <w:bottom w:val="none" w:sz="6" w:space="0" w:color="auto"/>
              <w:right w:val="none" w:sz="6" w:space="0" w:color="auto"/>
            </w:tcBorders>
            <w:shd w:val="clear" w:color="auto" w:fill="auto"/>
          </w:tcPr>
          <w:p w14:paraId="1BBB495C" w14:textId="6E4B49A7"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Contracted services - general</w:t>
            </w:r>
          </w:p>
        </w:tc>
        <w:tc>
          <w:tcPr>
            <w:tcW w:w="1757" w:type="dxa"/>
            <w:tcBorders>
              <w:top w:val="none" w:sz="6" w:space="0" w:color="auto"/>
              <w:left w:val="none" w:sz="6" w:space="0" w:color="auto"/>
              <w:bottom w:val="none" w:sz="6" w:space="0" w:color="auto"/>
              <w:right w:val="nil"/>
            </w:tcBorders>
            <w:shd w:val="clear" w:color="auto" w:fill="auto"/>
          </w:tcPr>
          <w:p w14:paraId="7AFA19F2" w14:textId="3E6E6397"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22.5</w:t>
            </w:r>
          </w:p>
        </w:tc>
      </w:tr>
      <w:tr w:rsidR="00A56663" w:rsidRPr="007931C1" w14:paraId="1AE7DCD0" w14:textId="77777777" w:rsidTr="00055B69">
        <w:trPr>
          <w:trHeight w:val="130"/>
        </w:trPr>
        <w:tc>
          <w:tcPr>
            <w:tcW w:w="4730" w:type="dxa"/>
            <w:tcBorders>
              <w:top w:val="none" w:sz="6" w:space="0" w:color="auto"/>
              <w:left w:val="nil"/>
              <w:bottom w:val="none" w:sz="6" w:space="0" w:color="auto"/>
              <w:right w:val="none" w:sz="6" w:space="0" w:color="auto"/>
            </w:tcBorders>
            <w:shd w:val="clear" w:color="auto" w:fill="auto"/>
          </w:tcPr>
          <w:p w14:paraId="266B9F70" w14:textId="1D621A66"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Accommodation costs</w:t>
            </w:r>
          </w:p>
        </w:tc>
        <w:tc>
          <w:tcPr>
            <w:tcW w:w="1757" w:type="dxa"/>
            <w:tcBorders>
              <w:top w:val="none" w:sz="6" w:space="0" w:color="auto"/>
              <w:left w:val="none" w:sz="6" w:space="0" w:color="auto"/>
              <w:bottom w:val="none" w:sz="6" w:space="0" w:color="auto"/>
              <w:right w:val="nil"/>
            </w:tcBorders>
            <w:shd w:val="clear" w:color="auto" w:fill="auto"/>
          </w:tcPr>
          <w:p w14:paraId="09D0660E" w14:textId="00708EA5"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10.9</w:t>
            </w:r>
          </w:p>
        </w:tc>
      </w:tr>
      <w:tr w:rsidR="007931C1" w:rsidRPr="007931C1" w14:paraId="013DF9F8"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0B74F43A" w14:textId="5B622E58"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Other expenses (including legal, grants, fees)</w:t>
            </w:r>
          </w:p>
        </w:tc>
        <w:tc>
          <w:tcPr>
            <w:tcW w:w="1757" w:type="dxa"/>
            <w:tcBorders>
              <w:top w:val="none" w:sz="6" w:space="0" w:color="auto"/>
              <w:left w:val="none" w:sz="6" w:space="0" w:color="auto"/>
              <w:bottom w:val="nil"/>
              <w:right w:val="nil"/>
            </w:tcBorders>
            <w:shd w:val="clear" w:color="auto" w:fill="auto"/>
          </w:tcPr>
          <w:p w14:paraId="20CA0567" w14:textId="6098D0AA"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14.9</w:t>
            </w:r>
          </w:p>
        </w:tc>
      </w:tr>
      <w:tr w:rsidR="007931C1" w:rsidRPr="007931C1" w14:paraId="7EF815FE"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34826EE2" w14:textId="6189FCC5"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Depreciation</w:t>
            </w:r>
          </w:p>
        </w:tc>
        <w:tc>
          <w:tcPr>
            <w:tcW w:w="1757" w:type="dxa"/>
            <w:tcBorders>
              <w:top w:val="none" w:sz="6" w:space="0" w:color="auto"/>
              <w:left w:val="none" w:sz="6" w:space="0" w:color="auto"/>
              <w:bottom w:val="nil"/>
              <w:right w:val="nil"/>
            </w:tcBorders>
            <w:shd w:val="clear" w:color="auto" w:fill="auto"/>
          </w:tcPr>
          <w:p w14:paraId="0AE49A17" w14:textId="05B30ACE"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15.3</w:t>
            </w:r>
          </w:p>
        </w:tc>
      </w:tr>
      <w:tr w:rsidR="007931C1" w:rsidRPr="007931C1" w14:paraId="362D3217"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3366DDBB" w14:textId="40B23044"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Total operating expenditure</w:t>
            </w:r>
          </w:p>
        </w:tc>
        <w:tc>
          <w:tcPr>
            <w:tcW w:w="1757" w:type="dxa"/>
            <w:tcBorders>
              <w:top w:val="none" w:sz="6" w:space="0" w:color="auto"/>
              <w:left w:val="none" w:sz="6" w:space="0" w:color="auto"/>
              <w:bottom w:val="nil"/>
              <w:right w:val="nil"/>
            </w:tcBorders>
            <w:shd w:val="clear" w:color="auto" w:fill="auto"/>
          </w:tcPr>
          <w:p w14:paraId="0C550F00" w14:textId="0EF279B9"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217.8</w:t>
            </w:r>
          </w:p>
        </w:tc>
      </w:tr>
      <w:tr w:rsidR="007931C1" w:rsidRPr="007931C1" w14:paraId="3DE960B4"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0FD252F7" w14:textId="07345998"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Draw down on cash reserves</w:t>
            </w:r>
          </w:p>
        </w:tc>
        <w:tc>
          <w:tcPr>
            <w:tcW w:w="1757" w:type="dxa"/>
            <w:tcBorders>
              <w:top w:val="none" w:sz="6" w:space="0" w:color="auto"/>
              <w:left w:val="none" w:sz="6" w:space="0" w:color="auto"/>
              <w:bottom w:val="nil"/>
              <w:right w:val="nil"/>
            </w:tcBorders>
            <w:shd w:val="clear" w:color="auto" w:fill="auto"/>
          </w:tcPr>
          <w:p w14:paraId="12C580C2" w14:textId="7E5DD636"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41.9</w:t>
            </w:r>
          </w:p>
        </w:tc>
      </w:tr>
      <w:tr w:rsidR="002F69D5" w:rsidRPr="002F69D5" w14:paraId="4716667F" w14:textId="77777777" w:rsidTr="00DF00D5">
        <w:trPr>
          <w:trHeight w:val="130"/>
        </w:trPr>
        <w:tc>
          <w:tcPr>
            <w:tcW w:w="4730" w:type="dxa"/>
            <w:tcBorders>
              <w:top w:val="none" w:sz="6" w:space="0" w:color="auto"/>
              <w:left w:val="nil"/>
              <w:bottom w:val="nil"/>
              <w:right w:val="none" w:sz="6" w:space="0" w:color="auto"/>
            </w:tcBorders>
            <w:shd w:val="clear" w:color="auto" w:fill="auto"/>
          </w:tcPr>
          <w:p w14:paraId="4C0ED41B" w14:textId="5BE4BED1" w:rsidR="002F69D5" w:rsidRPr="002F69D5" w:rsidRDefault="002F69D5" w:rsidP="000E79E4">
            <w:pPr>
              <w:autoSpaceDE w:val="0"/>
              <w:autoSpaceDN w:val="0"/>
              <w:adjustRightInd w:val="0"/>
              <w:spacing w:after="0" w:line="360" w:lineRule="auto"/>
              <w:rPr>
                <w:rFonts w:ascii="Arial" w:hAnsi="Arial" w:cs="Arial"/>
                <w:b/>
                <w:bCs/>
                <w:sz w:val="20"/>
                <w:szCs w:val="20"/>
                <w:lang w:val="en-GB"/>
              </w:rPr>
            </w:pPr>
            <w:r w:rsidRPr="002F69D5">
              <w:rPr>
                <w:b/>
                <w:bCs/>
              </w:rPr>
              <w:t>Net result</w:t>
            </w:r>
          </w:p>
        </w:tc>
        <w:tc>
          <w:tcPr>
            <w:tcW w:w="1757" w:type="dxa"/>
            <w:tcBorders>
              <w:top w:val="none" w:sz="6" w:space="0" w:color="auto"/>
              <w:left w:val="none" w:sz="6" w:space="0" w:color="auto"/>
              <w:bottom w:val="nil"/>
              <w:right w:val="nil"/>
            </w:tcBorders>
            <w:shd w:val="clear" w:color="auto" w:fill="auto"/>
          </w:tcPr>
          <w:p w14:paraId="6FEBE0A7" w14:textId="5504C4E8" w:rsidR="002F69D5" w:rsidRPr="002F69D5" w:rsidRDefault="002F69D5" w:rsidP="000E79E4">
            <w:pPr>
              <w:autoSpaceDE w:val="0"/>
              <w:autoSpaceDN w:val="0"/>
              <w:adjustRightInd w:val="0"/>
              <w:spacing w:after="0" w:line="360" w:lineRule="auto"/>
              <w:jc w:val="right"/>
              <w:rPr>
                <w:rFonts w:ascii="Arial" w:hAnsi="Arial" w:cs="Arial"/>
                <w:b/>
                <w:bCs/>
                <w:sz w:val="20"/>
                <w:szCs w:val="20"/>
                <w:lang w:val="en-GB"/>
              </w:rPr>
            </w:pPr>
            <w:r w:rsidRPr="002F69D5">
              <w:rPr>
                <w:b/>
                <w:bCs/>
              </w:rPr>
              <w:t>0</w:t>
            </w:r>
          </w:p>
        </w:tc>
      </w:tr>
    </w:tbl>
    <w:p w14:paraId="3B20F78D" w14:textId="77777777" w:rsidR="002F69D5" w:rsidRDefault="002F69D5" w:rsidP="00A1428B">
      <w:pPr>
        <w:spacing w:before="210" w:after="210" w:line="240" w:lineRule="auto"/>
        <w:rPr>
          <w:rFonts w:ascii="Arial" w:eastAsia="Times New Roman" w:hAnsi="Arial" w:cs="Arial"/>
          <w:b/>
          <w:bCs/>
          <w:color w:val="111111"/>
          <w:sz w:val="42"/>
          <w:szCs w:val="42"/>
          <w:lang w:eastAsia="en-AU"/>
        </w:rPr>
      </w:pPr>
    </w:p>
    <w:p w14:paraId="7C7FF5C5" w14:textId="77777777" w:rsidR="00A07318" w:rsidRDefault="00A07318">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br w:type="page"/>
      </w:r>
    </w:p>
    <w:p w14:paraId="78416E73" w14:textId="1CC995AE" w:rsidR="002F69D5" w:rsidRDefault="002F69D5" w:rsidP="00A1428B">
      <w:pPr>
        <w:spacing w:before="210" w:after="210" w:line="240" w:lineRule="auto"/>
        <w:rPr>
          <w:rFonts w:ascii="Arial" w:eastAsia="Times New Roman" w:hAnsi="Arial" w:cs="Arial"/>
          <w:b/>
          <w:bCs/>
          <w:color w:val="111111"/>
          <w:sz w:val="42"/>
          <w:szCs w:val="42"/>
          <w:lang w:eastAsia="en-AU"/>
        </w:rPr>
      </w:pPr>
      <w:r w:rsidRPr="002F69D5">
        <w:rPr>
          <w:rFonts w:ascii="Arial" w:eastAsia="Times New Roman" w:hAnsi="Arial" w:cs="Arial"/>
          <w:b/>
          <w:bCs/>
          <w:color w:val="111111"/>
          <w:sz w:val="42"/>
          <w:szCs w:val="42"/>
          <w:lang w:eastAsia="en-AU"/>
        </w:rPr>
        <w:lastRenderedPageBreak/>
        <w:t xml:space="preserve">Our people </w:t>
      </w:r>
    </w:p>
    <w:p w14:paraId="5A92C02C" w14:textId="59890715" w:rsidR="002F69D5" w:rsidRDefault="002F69D5" w:rsidP="00A07318">
      <w:pPr>
        <w:spacing w:before="210" w:after="210" w:line="240" w:lineRule="auto"/>
        <w:outlineLvl w:val="2"/>
        <w:rPr>
          <w:rFonts w:ascii="Arial" w:eastAsia="Times New Roman" w:hAnsi="Arial" w:cs="Arial"/>
          <w:color w:val="333333"/>
          <w:sz w:val="20"/>
          <w:szCs w:val="20"/>
          <w:lang w:eastAsia="en-AU"/>
        </w:rPr>
      </w:pPr>
      <w:proofErr w:type="gramStart"/>
      <w:r w:rsidRPr="002F69D5">
        <w:rPr>
          <w:rFonts w:ascii="Arial" w:eastAsia="Times New Roman" w:hAnsi="Arial" w:cs="Arial"/>
          <w:color w:val="333333"/>
          <w:sz w:val="20"/>
          <w:szCs w:val="20"/>
          <w:lang w:eastAsia="en-AU"/>
        </w:rPr>
        <w:t>At</w:t>
      </w:r>
      <w:proofErr w:type="gramEnd"/>
      <w:r w:rsidRPr="002F69D5">
        <w:rPr>
          <w:rFonts w:ascii="Arial" w:eastAsia="Times New Roman" w:hAnsi="Arial" w:cs="Arial"/>
          <w:color w:val="333333"/>
          <w:sz w:val="20"/>
          <w:szCs w:val="20"/>
          <w:lang w:eastAsia="en-AU"/>
        </w:rPr>
        <w:t xml:space="preserve"> 1 July 2022, EPA has a total of 820 staff positions, with 683 being ongoing positions in the</w:t>
      </w:r>
      <w:r>
        <w:rPr>
          <w:rFonts w:ascii="Arial" w:eastAsia="Times New Roman" w:hAnsi="Arial" w:cs="Arial"/>
          <w:color w:val="333333"/>
          <w:sz w:val="20"/>
          <w:szCs w:val="20"/>
          <w:lang w:eastAsia="en-AU"/>
        </w:rPr>
        <w:t xml:space="preserve"> </w:t>
      </w:r>
      <w:r w:rsidRPr="002F69D5">
        <w:rPr>
          <w:rFonts w:ascii="Arial" w:eastAsia="Times New Roman" w:hAnsi="Arial" w:cs="Arial"/>
          <w:color w:val="333333"/>
          <w:sz w:val="20"/>
          <w:szCs w:val="20"/>
          <w:lang w:eastAsia="en-AU"/>
        </w:rPr>
        <w:t xml:space="preserve">organisation. </w:t>
      </w:r>
    </w:p>
    <w:tbl>
      <w:tblPr>
        <w:tblW w:w="81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6"/>
        <w:gridCol w:w="1985"/>
        <w:gridCol w:w="1984"/>
        <w:gridCol w:w="1701"/>
      </w:tblGrid>
      <w:tr w:rsidR="00335C25" w:rsidRPr="00FD0147" w14:paraId="79E8DA2B" w14:textId="77777777" w:rsidTr="00D2682C">
        <w:trPr>
          <w:trHeight w:val="133"/>
        </w:trPr>
        <w:tc>
          <w:tcPr>
            <w:tcW w:w="2436" w:type="dxa"/>
            <w:tcBorders>
              <w:top w:val="nil"/>
              <w:left w:val="nil"/>
              <w:bottom w:val="none" w:sz="6" w:space="0" w:color="auto"/>
              <w:right w:val="nil"/>
            </w:tcBorders>
            <w:shd w:val="clear" w:color="auto" w:fill="auto"/>
          </w:tcPr>
          <w:p w14:paraId="76DA7FD3" w14:textId="36C72C94" w:rsidR="00335C25" w:rsidRPr="00FD0147" w:rsidRDefault="00335C25"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b/>
                <w:bCs/>
                <w:sz w:val="20"/>
                <w:szCs w:val="20"/>
              </w:rPr>
              <w:t>Division / Branch</w:t>
            </w:r>
          </w:p>
        </w:tc>
        <w:tc>
          <w:tcPr>
            <w:tcW w:w="1985" w:type="dxa"/>
            <w:tcBorders>
              <w:top w:val="nil"/>
              <w:left w:val="nil"/>
              <w:bottom w:val="none" w:sz="6" w:space="0" w:color="auto"/>
              <w:right w:val="none" w:sz="6" w:space="0" w:color="auto"/>
            </w:tcBorders>
          </w:tcPr>
          <w:p w14:paraId="18F7FE65" w14:textId="12060C73" w:rsidR="00335C25" w:rsidRPr="00FD0147" w:rsidRDefault="00335C25"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Ongoing</w:t>
            </w:r>
          </w:p>
        </w:tc>
        <w:tc>
          <w:tcPr>
            <w:tcW w:w="1984" w:type="dxa"/>
            <w:tcBorders>
              <w:top w:val="nil"/>
              <w:left w:val="none" w:sz="6" w:space="0" w:color="auto"/>
              <w:bottom w:val="none" w:sz="6" w:space="0" w:color="auto"/>
              <w:right w:val="none" w:sz="6" w:space="0" w:color="auto"/>
            </w:tcBorders>
          </w:tcPr>
          <w:p w14:paraId="6EA6FD73" w14:textId="0D1853B9" w:rsidR="00335C25" w:rsidRPr="00FD0147" w:rsidRDefault="00335C25"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Fixed term</w:t>
            </w:r>
          </w:p>
        </w:tc>
        <w:tc>
          <w:tcPr>
            <w:tcW w:w="1701" w:type="dxa"/>
            <w:tcBorders>
              <w:top w:val="nil"/>
              <w:left w:val="none" w:sz="6" w:space="0" w:color="auto"/>
              <w:bottom w:val="none" w:sz="6" w:space="0" w:color="auto"/>
              <w:right w:val="nil"/>
            </w:tcBorders>
            <w:shd w:val="clear" w:color="auto" w:fill="auto"/>
          </w:tcPr>
          <w:p w14:paraId="3766B2DF" w14:textId="250A5D8E" w:rsidR="00335C25" w:rsidRPr="00FD0147" w:rsidRDefault="00335C25"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Total</w:t>
            </w:r>
          </w:p>
        </w:tc>
      </w:tr>
      <w:tr w:rsidR="009A1A13" w:rsidRPr="00FD0147" w14:paraId="39C17DB6" w14:textId="77777777" w:rsidTr="00D2682C">
        <w:trPr>
          <w:trHeight w:val="133"/>
        </w:trPr>
        <w:tc>
          <w:tcPr>
            <w:tcW w:w="2436" w:type="dxa"/>
            <w:tcBorders>
              <w:top w:val="none" w:sz="6" w:space="0" w:color="auto"/>
              <w:left w:val="nil"/>
              <w:bottom w:val="none" w:sz="6" w:space="0" w:color="auto"/>
              <w:right w:val="nil"/>
            </w:tcBorders>
            <w:shd w:val="clear" w:color="auto" w:fill="auto"/>
          </w:tcPr>
          <w:p w14:paraId="7506968F" w14:textId="119416FB"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Strategy</w:t>
            </w:r>
          </w:p>
        </w:tc>
        <w:tc>
          <w:tcPr>
            <w:tcW w:w="1985" w:type="dxa"/>
            <w:tcBorders>
              <w:top w:val="none" w:sz="6" w:space="0" w:color="auto"/>
              <w:left w:val="nil"/>
              <w:bottom w:val="none" w:sz="6" w:space="0" w:color="auto"/>
              <w:right w:val="none" w:sz="6" w:space="0" w:color="auto"/>
            </w:tcBorders>
          </w:tcPr>
          <w:p w14:paraId="14B30055" w14:textId="79426057"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135</w:t>
            </w:r>
          </w:p>
        </w:tc>
        <w:tc>
          <w:tcPr>
            <w:tcW w:w="1984" w:type="dxa"/>
            <w:tcBorders>
              <w:top w:val="none" w:sz="6" w:space="0" w:color="auto"/>
              <w:left w:val="none" w:sz="6" w:space="0" w:color="auto"/>
              <w:bottom w:val="none" w:sz="6" w:space="0" w:color="auto"/>
              <w:right w:val="none" w:sz="6" w:space="0" w:color="auto"/>
            </w:tcBorders>
          </w:tcPr>
          <w:p w14:paraId="6DE27695" w14:textId="0276DC8D"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44</w:t>
            </w:r>
          </w:p>
        </w:tc>
        <w:tc>
          <w:tcPr>
            <w:tcW w:w="1701" w:type="dxa"/>
            <w:tcBorders>
              <w:top w:val="none" w:sz="6" w:space="0" w:color="auto"/>
              <w:left w:val="none" w:sz="6" w:space="0" w:color="auto"/>
              <w:bottom w:val="none" w:sz="6" w:space="0" w:color="auto"/>
              <w:right w:val="nil"/>
            </w:tcBorders>
            <w:shd w:val="clear" w:color="auto" w:fill="auto"/>
          </w:tcPr>
          <w:p w14:paraId="18CADE5E" w14:textId="4D977C7F"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179</w:t>
            </w:r>
          </w:p>
        </w:tc>
      </w:tr>
      <w:tr w:rsidR="009A1A13" w:rsidRPr="00FD0147" w14:paraId="03144FD9" w14:textId="77777777" w:rsidTr="00D2682C">
        <w:trPr>
          <w:trHeight w:val="201"/>
        </w:trPr>
        <w:tc>
          <w:tcPr>
            <w:tcW w:w="2436" w:type="dxa"/>
            <w:tcBorders>
              <w:top w:val="none" w:sz="6" w:space="0" w:color="auto"/>
              <w:left w:val="nil"/>
              <w:bottom w:val="none" w:sz="6" w:space="0" w:color="auto"/>
              <w:right w:val="nil"/>
            </w:tcBorders>
            <w:shd w:val="clear" w:color="auto" w:fill="auto"/>
          </w:tcPr>
          <w:p w14:paraId="4F00867C" w14:textId="79B1AA15"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Operations</w:t>
            </w:r>
          </w:p>
        </w:tc>
        <w:tc>
          <w:tcPr>
            <w:tcW w:w="1985" w:type="dxa"/>
            <w:tcBorders>
              <w:top w:val="none" w:sz="6" w:space="0" w:color="auto"/>
              <w:left w:val="nil"/>
              <w:bottom w:val="none" w:sz="6" w:space="0" w:color="auto"/>
              <w:right w:val="none" w:sz="6" w:space="0" w:color="auto"/>
            </w:tcBorders>
          </w:tcPr>
          <w:p w14:paraId="555361C4" w14:textId="2FD6D660"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325</w:t>
            </w:r>
          </w:p>
        </w:tc>
        <w:tc>
          <w:tcPr>
            <w:tcW w:w="1984" w:type="dxa"/>
            <w:tcBorders>
              <w:top w:val="none" w:sz="6" w:space="0" w:color="auto"/>
              <w:left w:val="none" w:sz="6" w:space="0" w:color="auto"/>
              <w:bottom w:val="none" w:sz="6" w:space="0" w:color="auto"/>
              <w:right w:val="none" w:sz="6" w:space="0" w:color="auto"/>
            </w:tcBorders>
          </w:tcPr>
          <w:p w14:paraId="35775A60" w14:textId="5FEAE655"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25</w:t>
            </w:r>
          </w:p>
        </w:tc>
        <w:tc>
          <w:tcPr>
            <w:tcW w:w="1701" w:type="dxa"/>
            <w:tcBorders>
              <w:top w:val="none" w:sz="6" w:space="0" w:color="auto"/>
              <w:left w:val="none" w:sz="6" w:space="0" w:color="auto"/>
              <w:bottom w:val="none" w:sz="6" w:space="0" w:color="auto"/>
              <w:right w:val="nil"/>
            </w:tcBorders>
            <w:shd w:val="clear" w:color="auto" w:fill="auto"/>
          </w:tcPr>
          <w:p w14:paraId="623414F1" w14:textId="1724FF4D"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350</w:t>
            </w:r>
          </w:p>
        </w:tc>
      </w:tr>
      <w:tr w:rsidR="009A1A13" w:rsidRPr="00FD0147" w14:paraId="5BC622E9" w14:textId="77777777" w:rsidTr="00D2682C">
        <w:trPr>
          <w:trHeight w:val="201"/>
        </w:trPr>
        <w:tc>
          <w:tcPr>
            <w:tcW w:w="2436" w:type="dxa"/>
            <w:tcBorders>
              <w:top w:val="none" w:sz="6" w:space="0" w:color="auto"/>
              <w:left w:val="nil"/>
              <w:bottom w:val="none" w:sz="6" w:space="0" w:color="auto"/>
              <w:right w:val="nil"/>
            </w:tcBorders>
            <w:shd w:val="clear" w:color="auto" w:fill="auto"/>
          </w:tcPr>
          <w:p w14:paraId="3D47F9B2" w14:textId="4985CABC"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Science</w:t>
            </w:r>
          </w:p>
        </w:tc>
        <w:tc>
          <w:tcPr>
            <w:tcW w:w="1985" w:type="dxa"/>
            <w:tcBorders>
              <w:top w:val="none" w:sz="6" w:space="0" w:color="auto"/>
              <w:left w:val="nil"/>
              <w:bottom w:val="none" w:sz="6" w:space="0" w:color="auto"/>
              <w:right w:val="none" w:sz="6" w:space="0" w:color="auto"/>
            </w:tcBorders>
          </w:tcPr>
          <w:p w14:paraId="465DCAD9" w14:textId="2CBF5DE0"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73</w:t>
            </w:r>
          </w:p>
        </w:tc>
        <w:tc>
          <w:tcPr>
            <w:tcW w:w="1984" w:type="dxa"/>
            <w:tcBorders>
              <w:top w:val="none" w:sz="6" w:space="0" w:color="auto"/>
              <w:left w:val="none" w:sz="6" w:space="0" w:color="auto"/>
              <w:bottom w:val="none" w:sz="6" w:space="0" w:color="auto"/>
              <w:right w:val="none" w:sz="6" w:space="0" w:color="auto"/>
            </w:tcBorders>
          </w:tcPr>
          <w:p w14:paraId="4409F64D" w14:textId="44811592"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20</w:t>
            </w:r>
          </w:p>
        </w:tc>
        <w:tc>
          <w:tcPr>
            <w:tcW w:w="1701" w:type="dxa"/>
            <w:tcBorders>
              <w:top w:val="none" w:sz="6" w:space="0" w:color="auto"/>
              <w:left w:val="none" w:sz="6" w:space="0" w:color="auto"/>
              <w:bottom w:val="none" w:sz="6" w:space="0" w:color="auto"/>
              <w:right w:val="nil"/>
            </w:tcBorders>
            <w:shd w:val="clear" w:color="auto" w:fill="auto"/>
          </w:tcPr>
          <w:p w14:paraId="0D42EE8C" w14:textId="5C5CF9C6"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93</w:t>
            </w:r>
          </w:p>
        </w:tc>
      </w:tr>
      <w:tr w:rsidR="009A1A13" w:rsidRPr="00FD0147" w14:paraId="29A72D6E" w14:textId="77777777" w:rsidTr="000E79E4">
        <w:trPr>
          <w:trHeight w:val="201"/>
        </w:trPr>
        <w:tc>
          <w:tcPr>
            <w:tcW w:w="2436" w:type="dxa"/>
            <w:tcBorders>
              <w:top w:val="none" w:sz="6" w:space="0" w:color="auto"/>
              <w:left w:val="nil"/>
              <w:bottom w:val="nil"/>
              <w:right w:val="nil"/>
            </w:tcBorders>
            <w:shd w:val="clear" w:color="auto" w:fill="auto"/>
          </w:tcPr>
          <w:p w14:paraId="5B362B5F" w14:textId="3D39FAAE"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Corporate Services</w:t>
            </w:r>
          </w:p>
        </w:tc>
        <w:tc>
          <w:tcPr>
            <w:tcW w:w="1985" w:type="dxa"/>
            <w:tcBorders>
              <w:top w:val="none" w:sz="6" w:space="0" w:color="auto"/>
              <w:left w:val="nil"/>
              <w:bottom w:val="nil"/>
              <w:right w:val="none" w:sz="6" w:space="0" w:color="auto"/>
            </w:tcBorders>
          </w:tcPr>
          <w:p w14:paraId="5ABA1FBB" w14:textId="7452CB56"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71</w:t>
            </w:r>
          </w:p>
        </w:tc>
        <w:tc>
          <w:tcPr>
            <w:tcW w:w="1984" w:type="dxa"/>
            <w:tcBorders>
              <w:top w:val="none" w:sz="6" w:space="0" w:color="auto"/>
              <w:left w:val="none" w:sz="6" w:space="0" w:color="auto"/>
              <w:bottom w:val="nil"/>
              <w:right w:val="none" w:sz="6" w:space="0" w:color="auto"/>
            </w:tcBorders>
          </w:tcPr>
          <w:p w14:paraId="7875F128" w14:textId="274F9230"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32</w:t>
            </w:r>
          </w:p>
        </w:tc>
        <w:tc>
          <w:tcPr>
            <w:tcW w:w="1701" w:type="dxa"/>
            <w:tcBorders>
              <w:top w:val="none" w:sz="6" w:space="0" w:color="auto"/>
              <w:left w:val="none" w:sz="6" w:space="0" w:color="auto"/>
              <w:bottom w:val="nil"/>
              <w:right w:val="nil"/>
            </w:tcBorders>
            <w:shd w:val="clear" w:color="auto" w:fill="auto"/>
          </w:tcPr>
          <w:p w14:paraId="482AB679" w14:textId="71AD3FD9"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103</w:t>
            </w:r>
          </w:p>
        </w:tc>
      </w:tr>
      <w:tr w:rsidR="009A1A13" w:rsidRPr="00FD0147" w14:paraId="65D631B5" w14:textId="77777777" w:rsidTr="000E79E4">
        <w:trPr>
          <w:trHeight w:val="130"/>
        </w:trPr>
        <w:tc>
          <w:tcPr>
            <w:tcW w:w="2436" w:type="dxa"/>
            <w:tcBorders>
              <w:top w:val="nil"/>
              <w:left w:val="nil"/>
              <w:bottom w:val="nil"/>
              <w:right w:val="nil"/>
            </w:tcBorders>
            <w:shd w:val="clear" w:color="auto" w:fill="auto"/>
          </w:tcPr>
          <w:p w14:paraId="0D8696E7" w14:textId="6235DD2D"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Quality</w:t>
            </w:r>
          </w:p>
        </w:tc>
        <w:tc>
          <w:tcPr>
            <w:tcW w:w="1985" w:type="dxa"/>
            <w:tcBorders>
              <w:top w:val="nil"/>
              <w:left w:val="nil"/>
              <w:bottom w:val="nil"/>
              <w:right w:val="none" w:sz="6" w:space="0" w:color="auto"/>
            </w:tcBorders>
          </w:tcPr>
          <w:p w14:paraId="7376A9C3" w14:textId="4772E874"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27</w:t>
            </w:r>
          </w:p>
        </w:tc>
        <w:tc>
          <w:tcPr>
            <w:tcW w:w="1984" w:type="dxa"/>
            <w:tcBorders>
              <w:top w:val="nil"/>
              <w:left w:val="none" w:sz="6" w:space="0" w:color="auto"/>
              <w:bottom w:val="nil"/>
              <w:right w:val="none" w:sz="6" w:space="0" w:color="auto"/>
            </w:tcBorders>
          </w:tcPr>
          <w:p w14:paraId="7E4A1AE3" w14:textId="1E4C9391"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9</w:t>
            </w:r>
          </w:p>
        </w:tc>
        <w:tc>
          <w:tcPr>
            <w:tcW w:w="1701" w:type="dxa"/>
            <w:tcBorders>
              <w:top w:val="nil"/>
              <w:left w:val="none" w:sz="6" w:space="0" w:color="auto"/>
              <w:bottom w:val="nil"/>
              <w:right w:val="nil"/>
            </w:tcBorders>
            <w:shd w:val="clear" w:color="auto" w:fill="auto"/>
          </w:tcPr>
          <w:p w14:paraId="7F57C965" w14:textId="15D38535"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36</w:t>
            </w:r>
          </w:p>
        </w:tc>
      </w:tr>
      <w:tr w:rsidR="009A1A13" w:rsidRPr="00FD0147" w14:paraId="4CDFC96B" w14:textId="77777777" w:rsidTr="000E79E4">
        <w:trPr>
          <w:trHeight w:val="130"/>
        </w:trPr>
        <w:tc>
          <w:tcPr>
            <w:tcW w:w="2436" w:type="dxa"/>
            <w:tcBorders>
              <w:top w:val="nil"/>
              <w:left w:val="nil"/>
              <w:bottom w:val="nil"/>
              <w:right w:val="nil"/>
            </w:tcBorders>
            <w:shd w:val="clear" w:color="auto" w:fill="auto"/>
          </w:tcPr>
          <w:p w14:paraId="653DDD12" w14:textId="0D77E83E"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sz w:val="20"/>
                <w:szCs w:val="20"/>
              </w:rPr>
              <w:t>Legal</w:t>
            </w:r>
          </w:p>
        </w:tc>
        <w:tc>
          <w:tcPr>
            <w:tcW w:w="1985" w:type="dxa"/>
            <w:tcBorders>
              <w:top w:val="nil"/>
              <w:left w:val="nil"/>
              <w:bottom w:val="nil"/>
              <w:right w:val="none" w:sz="6" w:space="0" w:color="auto"/>
            </w:tcBorders>
          </w:tcPr>
          <w:p w14:paraId="35140917" w14:textId="4C153ECE"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25</w:t>
            </w:r>
          </w:p>
        </w:tc>
        <w:tc>
          <w:tcPr>
            <w:tcW w:w="1984" w:type="dxa"/>
            <w:tcBorders>
              <w:top w:val="nil"/>
              <w:left w:val="none" w:sz="6" w:space="0" w:color="auto"/>
              <w:bottom w:val="nil"/>
              <w:right w:val="none" w:sz="6" w:space="0" w:color="auto"/>
            </w:tcBorders>
          </w:tcPr>
          <w:p w14:paraId="2FAC8BA3" w14:textId="66174C16"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1</w:t>
            </w:r>
          </w:p>
        </w:tc>
        <w:tc>
          <w:tcPr>
            <w:tcW w:w="1701" w:type="dxa"/>
            <w:tcBorders>
              <w:top w:val="nil"/>
              <w:left w:val="none" w:sz="6" w:space="0" w:color="auto"/>
              <w:bottom w:val="nil"/>
              <w:right w:val="nil"/>
            </w:tcBorders>
            <w:shd w:val="clear" w:color="auto" w:fill="auto"/>
          </w:tcPr>
          <w:p w14:paraId="1156E019" w14:textId="66A98622"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sz w:val="20"/>
                <w:szCs w:val="20"/>
              </w:rPr>
              <w:t>26</w:t>
            </w:r>
          </w:p>
        </w:tc>
      </w:tr>
      <w:tr w:rsidR="009A1A13" w:rsidRPr="00FD0147" w14:paraId="608AD7A7" w14:textId="77777777" w:rsidTr="00D2682C">
        <w:trPr>
          <w:trHeight w:val="130"/>
        </w:trPr>
        <w:tc>
          <w:tcPr>
            <w:tcW w:w="2436" w:type="dxa"/>
            <w:tcBorders>
              <w:top w:val="none" w:sz="6" w:space="0" w:color="auto"/>
              <w:left w:val="nil"/>
              <w:bottom w:val="nil"/>
              <w:right w:val="nil"/>
            </w:tcBorders>
            <w:shd w:val="clear" w:color="auto" w:fill="auto"/>
          </w:tcPr>
          <w:p w14:paraId="403ED966" w14:textId="5A1CABFC"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sz w:val="20"/>
                <w:szCs w:val="20"/>
              </w:rPr>
              <w:t>Public Affairs</w:t>
            </w:r>
          </w:p>
        </w:tc>
        <w:tc>
          <w:tcPr>
            <w:tcW w:w="1985" w:type="dxa"/>
            <w:tcBorders>
              <w:top w:val="none" w:sz="6" w:space="0" w:color="auto"/>
              <w:left w:val="nil"/>
              <w:bottom w:val="nil"/>
              <w:right w:val="none" w:sz="6" w:space="0" w:color="auto"/>
            </w:tcBorders>
          </w:tcPr>
          <w:p w14:paraId="7645B5C2" w14:textId="18FECF6C"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22</w:t>
            </w:r>
          </w:p>
        </w:tc>
        <w:tc>
          <w:tcPr>
            <w:tcW w:w="1984" w:type="dxa"/>
            <w:tcBorders>
              <w:top w:val="none" w:sz="6" w:space="0" w:color="auto"/>
              <w:left w:val="none" w:sz="6" w:space="0" w:color="auto"/>
              <w:bottom w:val="nil"/>
              <w:right w:val="none" w:sz="6" w:space="0" w:color="auto"/>
            </w:tcBorders>
          </w:tcPr>
          <w:p w14:paraId="775A33E6" w14:textId="026812CB"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6</w:t>
            </w:r>
          </w:p>
        </w:tc>
        <w:tc>
          <w:tcPr>
            <w:tcW w:w="1701" w:type="dxa"/>
            <w:tcBorders>
              <w:top w:val="none" w:sz="6" w:space="0" w:color="auto"/>
              <w:left w:val="none" w:sz="6" w:space="0" w:color="auto"/>
              <w:bottom w:val="nil"/>
              <w:right w:val="nil"/>
            </w:tcBorders>
            <w:shd w:val="clear" w:color="auto" w:fill="auto"/>
          </w:tcPr>
          <w:p w14:paraId="4626FB7D" w14:textId="05A4D50B"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sz w:val="20"/>
                <w:szCs w:val="20"/>
              </w:rPr>
              <w:t>28</w:t>
            </w:r>
          </w:p>
        </w:tc>
      </w:tr>
      <w:tr w:rsidR="009A1A13" w:rsidRPr="00FD0147" w14:paraId="392A355E" w14:textId="77777777" w:rsidTr="00D2682C">
        <w:trPr>
          <w:trHeight w:val="130"/>
        </w:trPr>
        <w:tc>
          <w:tcPr>
            <w:tcW w:w="2436" w:type="dxa"/>
            <w:tcBorders>
              <w:top w:val="none" w:sz="6" w:space="0" w:color="auto"/>
              <w:left w:val="nil"/>
              <w:bottom w:val="nil"/>
              <w:right w:val="nil"/>
            </w:tcBorders>
            <w:shd w:val="clear" w:color="auto" w:fill="auto"/>
          </w:tcPr>
          <w:p w14:paraId="49801B6D" w14:textId="1ABECB10"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sz w:val="20"/>
                <w:szCs w:val="20"/>
              </w:rPr>
              <w:t>Office of the CEO</w:t>
            </w:r>
          </w:p>
        </w:tc>
        <w:tc>
          <w:tcPr>
            <w:tcW w:w="1985" w:type="dxa"/>
            <w:tcBorders>
              <w:top w:val="none" w:sz="6" w:space="0" w:color="auto"/>
              <w:left w:val="nil"/>
              <w:bottom w:val="nil"/>
              <w:right w:val="none" w:sz="6" w:space="0" w:color="auto"/>
            </w:tcBorders>
          </w:tcPr>
          <w:p w14:paraId="1180DA29" w14:textId="2480EB79"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5</w:t>
            </w:r>
          </w:p>
        </w:tc>
        <w:tc>
          <w:tcPr>
            <w:tcW w:w="1984" w:type="dxa"/>
            <w:tcBorders>
              <w:top w:val="none" w:sz="6" w:space="0" w:color="auto"/>
              <w:left w:val="none" w:sz="6" w:space="0" w:color="auto"/>
              <w:bottom w:val="nil"/>
              <w:right w:val="none" w:sz="6" w:space="0" w:color="auto"/>
            </w:tcBorders>
          </w:tcPr>
          <w:p w14:paraId="4B6D0D1E" w14:textId="00D63F74"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0</w:t>
            </w:r>
          </w:p>
        </w:tc>
        <w:tc>
          <w:tcPr>
            <w:tcW w:w="1701" w:type="dxa"/>
            <w:tcBorders>
              <w:top w:val="none" w:sz="6" w:space="0" w:color="auto"/>
              <w:left w:val="none" w:sz="6" w:space="0" w:color="auto"/>
              <w:bottom w:val="nil"/>
              <w:right w:val="nil"/>
            </w:tcBorders>
            <w:shd w:val="clear" w:color="auto" w:fill="auto"/>
          </w:tcPr>
          <w:p w14:paraId="52A904CE" w14:textId="3EF978F5"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sz w:val="20"/>
                <w:szCs w:val="20"/>
              </w:rPr>
              <w:t>5</w:t>
            </w:r>
          </w:p>
        </w:tc>
      </w:tr>
      <w:tr w:rsidR="009A1A13" w:rsidRPr="00FD0147" w14:paraId="54129A80" w14:textId="77777777" w:rsidTr="00D2682C">
        <w:trPr>
          <w:trHeight w:val="130"/>
        </w:trPr>
        <w:tc>
          <w:tcPr>
            <w:tcW w:w="2436" w:type="dxa"/>
            <w:tcBorders>
              <w:top w:val="none" w:sz="6" w:space="0" w:color="auto"/>
              <w:left w:val="nil"/>
              <w:bottom w:val="nil"/>
              <w:right w:val="nil"/>
            </w:tcBorders>
            <w:shd w:val="clear" w:color="auto" w:fill="auto"/>
          </w:tcPr>
          <w:p w14:paraId="234E2B85" w14:textId="7BC13DC5"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b/>
                <w:bCs/>
                <w:sz w:val="20"/>
                <w:szCs w:val="20"/>
              </w:rPr>
              <w:t>Total</w:t>
            </w:r>
          </w:p>
        </w:tc>
        <w:tc>
          <w:tcPr>
            <w:tcW w:w="1985" w:type="dxa"/>
            <w:tcBorders>
              <w:top w:val="none" w:sz="6" w:space="0" w:color="auto"/>
              <w:left w:val="nil"/>
              <w:bottom w:val="nil"/>
              <w:right w:val="none" w:sz="6" w:space="0" w:color="auto"/>
            </w:tcBorders>
          </w:tcPr>
          <w:p w14:paraId="5940A0F7" w14:textId="3F6BB849" w:rsidR="009A1A13" w:rsidRPr="00FD0147" w:rsidRDefault="009A1A13" w:rsidP="000E79E4">
            <w:pPr>
              <w:autoSpaceDE w:val="0"/>
              <w:autoSpaceDN w:val="0"/>
              <w:adjustRightInd w:val="0"/>
              <w:spacing w:after="0" w:line="360" w:lineRule="auto"/>
              <w:jc w:val="right"/>
              <w:rPr>
                <w:rFonts w:ascii="Arial" w:hAnsi="Arial" w:cs="Arial"/>
                <w:b/>
                <w:bCs/>
                <w:sz w:val="20"/>
                <w:szCs w:val="20"/>
              </w:rPr>
            </w:pPr>
            <w:r w:rsidRPr="00FD0147">
              <w:rPr>
                <w:rFonts w:ascii="Arial" w:hAnsi="Arial" w:cs="Arial"/>
                <w:b/>
                <w:bCs/>
                <w:sz w:val="20"/>
                <w:szCs w:val="20"/>
              </w:rPr>
              <w:t>683</w:t>
            </w:r>
          </w:p>
        </w:tc>
        <w:tc>
          <w:tcPr>
            <w:tcW w:w="1984" w:type="dxa"/>
            <w:tcBorders>
              <w:top w:val="none" w:sz="6" w:space="0" w:color="auto"/>
              <w:left w:val="none" w:sz="6" w:space="0" w:color="auto"/>
              <w:bottom w:val="nil"/>
              <w:right w:val="none" w:sz="6" w:space="0" w:color="auto"/>
            </w:tcBorders>
          </w:tcPr>
          <w:p w14:paraId="341B3EEE" w14:textId="22899CF7" w:rsidR="009A1A13" w:rsidRPr="00FD0147" w:rsidRDefault="009A1A13" w:rsidP="000E79E4">
            <w:pPr>
              <w:autoSpaceDE w:val="0"/>
              <w:autoSpaceDN w:val="0"/>
              <w:adjustRightInd w:val="0"/>
              <w:spacing w:after="0" w:line="360" w:lineRule="auto"/>
              <w:jc w:val="right"/>
              <w:rPr>
                <w:rFonts w:ascii="Arial" w:hAnsi="Arial" w:cs="Arial"/>
                <w:b/>
                <w:bCs/>
                <w:sz w:val="20"/>
                <w:szCs w:val="20"/>
              </w:rPr>
            </w:pPr>
            <w:r w:rsidRPr="00FD0147">
              <w:rPr>
                <w:rFonts w:ascii="Arial" w:hAnsi="Arial" w:cs="Arial"/>
                <w:b/>
                <w:bCs/>
                <w:sz w:val="20"/>
                <w:szCs w:val="20"/>
              </w:rPr>
              <w:t>137</w:t>
            </w:r>
          </w:p>
        </w:tc>
        <w:tc>
          <w:tcPr>
            <w:tcW w:w="1701" w:type="dxa"/>
            <w:tcBorders>
              <w:top w:val="none" w:sz="6" w:space="0" w:color="auto"/>
              <w:left w:val="none" w:sz="6" w:space="0" w:color="auto"/>
              <w:bottom w:val="nil"/>
              <w:right w:val="nil"/>
            </w:tcBorders>
            <w:shd w:val="clear" w:color="auto" w:fill="auto"/>
          </w:tcPr>
          <w:p w14:paraId="08E85507" w14:textId="7B992AFA"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820</w:t>
            </w:r>
          </w:p>
        </w:tc>
      </w:tr>
    </w:tbl>
    <w:p w14:paraId="1BEE6A86" w14:textId="77777777" w:rsidR="00D2682C" w:rsidRDefault="00D2682C" w:rsidP="00A1428B">
      <w:pPr>
        <w:spacing w:before="210" w:after="210" w:line="240" w:lineRule="auto"/>
        <w:rPr>
          <w:rFonts w:ascii="Arial" w:eastAsia="Times New Roman" w:hAnsi="Arial" w:cs="Arial"/>
          <w:b/>
          <w:bCs/>
          <w:color w:val="111111"/>
          <w:sz w:val="42"/>
          <w:szCs w:val="42"/>
          <w:lang w:eastAsia="en-AU"/>
        </w:rPr>
      </w:pPr>
    </w:p>
    <w:p w14:paraId="1D79E323" w14:textId="680B7E05" w:rsidR="00D2682C" w:rsidRDefault="00D2682C" w:rsidP="00A1428B">
      <w:pPr>
        <w:spacing w:before="210" w:after="210" w:line="240" w:lineRule="auto"/>
        <w:rPr>
          <w:rFonts w:ascii="Arial" w:eastAsia="Times New Roman" w:hAnsi="Arial" w:cs="Arial"/>
          <w:b/>
          <w:bCs/>
          <w:color w:val="111111"/>
          <w:sz w:val="42"/>
          <w:szCs w:val="42"/>
          <w:lang w:eastAsia="en-AU"/>
        </w:rPr>
      </w:pPr>
      <w:r w:rsidRPr="00D2682C">
        <w:rPr>
          <w:rFonts w:ascii="Arial" w:eastAsia="Times New Roman" w:hAnsi="Arial" w:cs="Arial"/>
          <w:b/>
          <w:bCs/>
          <w:color w:val="111111"/>
          <w:sz w:val="42"/>
          <w:szCs w:val="42"/>
          <w:lang w:eastAsia="en-AU"/>
        </w:rPr>
        <w:t>A high performing culture</w:t>
      </w:r>
    </w:p>
    <w:p w14:paraId="00FC0ACF" w14:textId="6037591A" w:rsidR="00D2682C" w:rsidRDefault="00D2682C" w:rsidP="00D2682C">
      <w:pPr>
        <w:spacing w:before="210" w:after="210" w:line="240" w:lineRule="auto"/>
        <w:outlineLvl w:val="2"/>
        <w:rPr>
          <w:rFonts w:ascii="Arial" w:eastAsia="Times New Roman" w:hAnsi="Arial" w:cs="Arial"/>
          <w:color w:val="333333"/>
          <w:sz w:val="20"/>
          <w:szCs w:val="20"/>
          <w:lang w:eastAsia="en-AU"/>
        </w:rPr>
      </w:pPr>
      <w:r w:rsidRPr="00D2682C">
        <w:rPr>
          <w:rFonts w:ascii="Arial" w:eastAsia="Times New Roman" w:hAnsi="Arial" w:cs="Arial"/>
          <w:color w:val="333333"/>
          <w:sz w:val="20"/>
          <w:szCs w:val="20"/>
          <w:lang w:eastAsia="en-AU"/>
        </w:rPr>
        <w:t xml:space="preserve">Our people are our most </w:t>
      </w:r>
      <w:proofErr w:type="gramStart"/>
      <w:r w:rsidRPr="00D2682C">
        <w:rPr>
          <w:rFonts w:ascii="Arial" w:eastAsia="Times New Roman" w:hAnsi="Arial" w:cs="Arial"/>
          <w:color w:val="333333"/>
          <w:sz w:val="20"/>
          <w:szCs w:val="20"/>
          <w:lang w:eastAsia="en-AU"/>
        </w:rPr>
        <w:t>valuable asset</w:t>
      </w:r>
      <w:proofErr w:type="gramEnd"/>
      <w:r w:rsidRPr="00D2682C">
        <w:rPr>
          <w:rFonts w:ascii="Arial" w:eastAsia="Times New Roman" w:hAnsi="Arial" w:cs="Arial"/>
          <w:color w:val="333333"/>
          <w:sz w:val="20"/>
          <w:szCs w:val="20"/>
          <w:lang w:eastAsia="en-AU"/>
        </w:rPr>
        <w:t>. We prioritise their safety and wellbeing, creating a positive culture and a great place to work. In 2021-22 we measured and benchmarked our organisational culture. Based on these results, action is underway to strengthen a high performing culture at EPA.</w:t>
      </w:r>
    </w:p>
    <w:p w14:paraId="463A6E20" w14:textId="77777777" w:rsidR="009E4654" w:rsidRDefault="009E4654">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br w:type="page"/>
      </w:r>
    </w:p>
    <w:p w14:paraId="4A7D4B0B" w14:textId="19F4B4C0" w:rsidR="0078375A" w:rsidRDefault="0078375A" w:rsidP="0078375A">
      <w:pPr>
        <w:spacing w:before="600" w:after="225" w:line="540" w:lineRule="atLeast"/>
        <w:outlineLvl w:val="2"/>
        <w:rPr>
          <w:rFonts w:ascii="Arial" w:eastAsia="Times New Roman" w:hAnsi="Arial" w:cs="Arial"/>
          <w:b/>
          <w:bCs/>
          <w:color w:val="111111"/>
          <w:sz w:val="57"/>
          <w:szCs w:val="57"/>
          <w:lang w:eastAsia="en-AU"/>
        </w:rPr>
      </w:pPr>
      <w:r w:rsidRPr="0078375A">
        <w:rPr>
          <w:rFonts w:ascii="Arial" w:eastAsia="Times New Roman" w:hAnsi="Arial" w:cs="Arial"/>
          <w:b/>
          <w:bCs/>
          <w:color w:val="111111"/>
          <w:sz w:val="57"/>
          <w:szCs w:val="57"/>
          <w:lang w:eastAsia="en-AU"/>
        </w:rPr>
        <w:lastRenderedPageBreak/>
        <w:t xml:space="preserve">Risk </w:t>
      </w:r>
      <w:r>
        <w:rPr>
          <w:rFonts w:ascii="Arial" w:eastAsia="Times New Roman" w:hAnsi="Arial" w:cs="Arial"/>
          <w:b/>
          <w:bCs/>
          <w:color w:val="111111"/>
          <w:sz w:val="57"/>
          <w:szCs w:val="57"/>
          <w:lang w:eastAsia="en-AU"/>
        </w:rPr>
        <w:t>m</w:t>
      </w:r>
      <w:r w:rsidRPr="0078375A">
        <w:rPr>
          <w:rFonts w:ascii="Arial" w:eastAsia="Times New Roman" w:hAnsi="Arial" w:cs="Arial"/>
          <w:b/>
          <w:bCs/>
          <w:color w:val="111111"/>
          <w:sz w:val="57"/>
          <w:szCs w:val="57"/>
          <w:lang w:eastAsia="en-AU"/>
        </w:rPr>
        <w:t>anagement</w:t>
      </w:r>
    </w:p>
    <w:p w14:paraId="3ABA859A" w14:textId="77777777" w:rsidR="008F5B4F" w:rsidRDefault="008F5B4F" w:rsidP="00022044">
      <w:pPr>
        <w:spacing w:before="210" w:after="210" w:line="240" w:lineRule="auto"/>
        <w:outlineLvl w:val="2"/>
        <w:rPr>
          <w:rFonts w:ascii="Arial" w:eastAsia="Times New Roman" w:hAnsi="Arial" w:cs="Arial"/>
          <w:color w:val="333333"/>
          <w:sz w:val="20"/>
          <w:szCs w:val="20"/>
          <w:lang w:eastAsia="en-AU"/>
        </w:rPr>
      </w:pPr>
    </w:p>
    <w:p w14:paraId="68A8CBD6" w14:textId="795B32D8" w:rsidR="0078375A" w:rsidRPr="0078375A"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EPA is committed to meeting the requirements of the Victorian Government Risk Management</w:t>
      </w:r>
      <w:r>
        <w:rPr>
          <w:rFonts w:ascii="Arial" w:eastAsia="Times New Roman" w:hAnsi="Arial" w:cs="Arial"/>
          <w:color w:val="333333"/>
          <w:sz w:val="20"/>
          <w:szCs w:val="20"/>
          <w:lang w:eastAsia="en-AU"/>
        </w:rPr>
        <w:t xml:space="preserve"> </w:t>
      </w:r>
      <w:r w:rsidRPr="0078375A">
        <w:rPr>
          <w:rFonts w:ascii="Arial" w:eastAsia="Times New Roman" w:hAnsi="Arial" w:cs="Arial"/>
          <w:color w:val="333333"/>
          <w:sz w:val="20"/>
          <w:szCs w:val="20"/>
          <w:lang w:eastAsia="en-AU"/>
        </w:rPr>
        <w:t xml:space="preserve">Framework, promoting a positive risk culture, with risk management systematically </w:t>
      </w:r>
      <w:proofErr w:type="gramStart"/>
      <w:r w:rsidRPr="0078375A">
        <w:rPr>
          <w:rFonts w:ascii="Arial" w:eastAsia="Times New Roman" w:hAnsi="Arial" w:cs="Arial"/>
          <w:color w:val="333333"/>
          <w:sz w:val="20"/>
          <w:szCs w:val="20"/>
          <w:lang w:eastAsia="en-AU"/>
        </w:rPr>
        <w:t xml:space="preserve">embedded </w:t>
      </w:r>
      <w:r>
        <w:rPr>
          <w:rFonts w:ascii="Arial" w:eastAsia="Times New Roman" w:hAnsi="Arial" w:cs="Arial"/>
          <w:color w:val="333333"/>
          <w:sz w:val="20"/>
          <w:szCs w:val="20"/>
          <w:lang w:eastAsia="en-AU"/>
        </w:rPr>
        <w:t xml:space="preserve"> </w:t>
      </w:r>
      <w:r w:rsidRPr="0078375A">
        <w:rPr>
          <w:rFonts w:ascii="Arial" w:eastAsia="Times New Roman" w:hAnsi="Arial" w:cs="Arial"/>
          <w:color w:val="333333"/>
          <w:sz w:val="20"/>
          <w:szCs w:val="20"/>
          <w:lang w:eastAsia="en-AU"/>
        </w:rPr>
        <w:t>across</w:t>
      </w:r>
      <w:proofErr w:type="gramEnd"/>
      <w:r w:rsidRPr="0078375A">
        <w:rPr>
          <w:rFonts w:ascii="Arial" w:eastAsia="Times New Roman" w:hAnsi="Arial" w:cs="Arial"/>
          <w:color w:val="333333"/>
          <w:sz w:val="20"/>
          <w:szCs w:val="20"/>
          <w:lang w:eastAsia="en-AU"/>
        </w:rPr>
        <w:t xml:space="preserve"> the organisation.</w:t>
      </w:r>
    </w:p>
    <w:p w14:paraId="2018C2A0" w14:textId="52FAF910" w:rsidR="0078375A" w:rsidRPr="0078375A"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 xml:space="preserve">We’ve identified 12 organisational strategic risks that could impact the achievement of the outcomes defined in our Strategic Plan 2022-27. </w:t>
      </w:r>
    </w:p>
    <w:p w14:paraId="52B8938F" w14:textId="2BF6B0DD" w:rsidR="00022044"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 xml:space="preserve">We’ve established treatment actions to mitigate these risks. Through these actions, EPA aims to reduce each risk rating to the target risk rating over time. Management of organisational strategic risks is regularly monitored and reviewed by the Senior Executive Committee. The outcomes of this monitoring and review are reported to the Risk and Audit Committee and the Governing Board biannually or as required. </w:t>
      </w:r>
    </w:p>
    <w:p w14:paraId="55E8DDA0" w14:textId="4EEB4F94" w:rsidR="0078375A"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Operational risks are identified and managed through division and branch annual delivery plans.</w:t>
      </w:r>
    </w:p>
    <w:p w14:paraId="3458BF67" w14:textId="77777777" w:rsidR="00E32D96" w:rsidRDefault="00E32D96" w:rsidP="00022044">
      <w:pPr>
        <w:spacing w:before="210" w:after="210" w:line="240" w:lineRule="auto"/>
        <w:outlineLvl w:val="2"/>
        <w:rPr>
          <w:rFonts w:ascii="Arial" w:eastAsia="Times New Roman" w:hAnsi="Arial" w:cs="Arial"/>
          <w:color w:val="333333"/>
          <w:sz w:val="20"/>
          <w:szCs w:val="20"/>
          <w:lang w:eastAsia="en-AU"/>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5452"/>
        <w:gridCol w:w="1854"/>
        <w:gridCol w:w="1720"/>
      </w:tblGrid>
      <w:tr w:rsidR="009D5C97" w:rsidRPr="009D5C97" w14:paraId="74263803" w14:textId="77777777" w:rsidTr="003F26BE">
        <w:trPr>
          <w:trHeight w:val="680"/>
        </w:trPr>
        <w:tc>
          <w:tcPr>
            <w:tcW w:w="3020" w:type="pct"/>
            <w:tcBorders>
              <w:top w:val="nil"/>
              <w:left w:val="nil"/>
              <w:bottom w:val="single" w:sz="4" w:space="0" w:color="auto"/>
              <w:right w:val="nil"/>
            </w:tcBorders>
            <w:shd w:val="clear" w:color="auto" w:fill="auto"/>
          </w:tcPr>
          <w:p w14:paraId="1F70E4D5" w14:textId="20B3267F" w:rsidR="009D5C97" w:rsidRPr="009D5C97" w:rsidRDefault="009D5C97" w:rsidP="009D5C97">
            <w:pPr>
              <w:autoSpaceDE w:val="0"/>
              <w:autoSpaceDN w:val="0"/>
              <w:adjustRightInd w:val="0"/>
              <w:spacing w:after="0" w:line="240" w:lineRule="auto"/>
              <w:rPr>
                <w:rFonts w:ascii="Arial" w:hAnsi="Arial" w:cs="Arial"/>
                <w:b/>
                <w:bCs/>
                <w:sz w:val="20"/>
                <w:szCs w:val="20"/>
                <w:lang w:val="en-GB"/>
              </w:rPr>
            </w:pPr>
            <w:r w:rsidRPr="009D5C97">
              <w:rPr>
                <w:b/>
                <w:bCs/>
              </w:rPr>
              <w:t>Strategic risk</w:t>
            </w:r>
          </w:p>
        </w:tc>
        <w:tc>
          <w:tcPr>
            <w:tcW w:w="1027" w:type="pct"/>
            <w:tcBorders>
              <w:top w:val="nil"/>
              <w:left w:val="nil"/>
              <w:bottom w:val="single" w:sz="4" w:space="0" w:color="auto"/>
              <w:right w:val="none" w:sz="6" w:space="0" w:color="auto"/>
            </w:tcBorders>
            <w:vAlign w:val="center"/>
          </w:tcPr>
          <w:p w14:paraId="490786DC" w14:textId="797C8BA8" w:rsidR="009D5C97" w:rsidRPr="009D5C97" w:rsidRDefault="009D5C97" w:rsidP="00D90264">
            <w:pPr>
              <w:autoSpaceDE w:val="0"/>
              <w:autoSpaceDN w:val="0"/>
              <w:adjustRightInd w:val="0"/>
              <w:spacing w:after="0" w:line="240" w:lineRule="auto"/>
              <w:rPr>
                <w:rFonts w:ascii="Arial" w:hAnsi="Arial" w:cs="Arial"/>
                <w:b/>
                <w:bCs/>
                <w:sz w:val="20"/>
                <w:szCs w:val="20"/>
                <w:lang w:val="en-GB"/>
              </w:rPr>
            </w:pPr>
            <w:r w:rsidRPr="009D5C97">
              <w:rPr>
                <w:b/>
                <w:bCs/>
              </w:rPr>
              <w:t>Current risk rating</w:t>
            </w:r>
          </w:p>
        </w:tc>
        <w:tc>
          <w:tcPr>
            <w:tcW w:w="953" w:type="pct"/>
            <w:tcBorders>
              <w:top w:val="nil"/>
              <w:left w:val="none" w:sz="6" w:space="0" w:color="auto"/>
              <w:bottom w:val="single" w:sz="4" w:space="0" w:color="auto"/>
              <w:right w:val="nil"/>
            </w:tcBorders>
            <w:shd w:val="clear" w:color="auto" w:fill="auto"/>
            <w:vAlign w:val="center"/>
          </w:tcPr>
          <w:p w14:paraId="284EDAA2" w14:textId="29AED224" w:rsidR="009D5C97" w:rsidRPr="009D5C97" w:rsidRDefault="009D5C97" w:rsidP="00D90264">
            <w:pPr>
              <w:autoSpaceDE w:val="0"/>
              <w:autoSpaceDN w:val="0"/>
              <w:adjustRightInd w:val="0"/>
              <w:spacing w:after="0" w:line="240" w:lineRule="auto"/>
              <w:rPr>
                <w:rFonts w:ascii="Arial" w:hAnsi="Arial" w:cs="Arial"/>
                <w:b/>
                <w:bCs/>
                <w:sz w:val="20"/>
                <w:szCs w:val="20"/>
                <w:lang w:val="en-GB"/>
              </w:rPr>
            </w:pPr>
            <w:r w:rsidRPr="009D5C97">
              <w:rPr>
                <w:b/>
                <w:bCs/>
              </w:rPr>
              <w:t>Target risk rating</w:t>
            </w:r>
          </w:p>
        </w:tc>
      </w:tr>
      <w:tr w:rsidR="009D5C97" w:rsidRPr="007931C1" w14:paraId="75887E78"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119F1801" w14:textId="77777777" w:rsidR="009D5C97" w:rsidRDefault="009D5C97" w:rsidP="00D90264">
            <w:pPr>
              <w:autoSpaceDE w:val="0"/>
              <w:autoSpaceDN w:val="0"/>
              <w:adjustRightInd w:val="0"/>
              <w:spacing w:after="0" w:line="240" w:lineRule="auto"/>
            </w:pPr>
            <w:r>
              <w:t xml:space="preserve">Staff health, safety and wellbeing deviates </w:t>
            </w:r>
          </w:p>
          <w:p w14:paraId="793FD002" w14:textId="1F68A8D8" w:rsidR="009D5C97" w:rsidRPr="002C4C03" w:rsidRDefault="009D5C97" w:rsidP="00D90264">
            <w:pPr>
              <w:autoSpaceDE w:val="0"/>
              <w:autoSpaceDN w:val="0"/>
              <w:adjustRightInd w:val="0"/>
              <w:spacing w:after="0" w:line="240" w:lineRule="auto"/>
              <w:rPr>
                <w:rFonts w:ascii="Arial" w:hAnsi="Arial" w:cs="Arial"/>
                <w:sz w:val="20"/>
                <w:szCs w:val="20"/>
                <w:lang w:val="en-GB"/>
              </w:rPr>
            </w:pPr>
            <w:r>
              <w:t>from EPA’s OHS requirements.</w:t>
            </w:r>
          </w:p>
        </w:tc>
        <w:tc>
          <w:tcPr>
            <w:tcW w:w="1027" w:type="pct"/>
            <w:tcBorders>
              <w:top w:val="single" w:sz="4" w:space="0" w:color="auto"/>
              <w:left w:val="nil"/>
              <w:bottom w:val="single" w:sz="4" w:space="0" w:color="auto"/>
              <w:right w:val="none" w:sz="6" w:space="0" w:color="auto"/>
            </w:tcBorders>
            <w:vAlign w:val="center"/>
          </w:tcPr>
          <w:p w14:paraId="201BE5EC" w14:textId="781A0E2B" w:rsidR="009D5C97" w:rsidRPr="007931C1" w:rsidRDefault="009D5C97" w:rsidP="00D90264">
            <w:pPr>
              <w:autoSpaceDE w:val="0"/>
              <w:autoSpaceDN w:val="0"/>
              <w:adjustRightInd w:val="0"/>
              <w:spacing w:after="0" w:line="240" w:lineRule="auto"/>
              <w:rPr>
                <w:rFonts w:ascii="Arial" w:hAnsi="Arial" w:cs="Arial"/>
                <w:sz w:val="20"/>
                <w:szCs w:val="20"/>
              </w:rPr>
            </w:pPr>
            <w:r w:rsidRPr="000B5463">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4A673C7E" w14:textId="4DE4A5F3" w:rsidR="009D5C97" w:rsidRPr="002C4C03" w:rsidRDefault="009D5C97" w:rsidP="00D90264">
            <w:pPr>
              <w:autoSpaceDE w:val="0"/>
              <w:autoSpaceDN w:val="0"/>
              <w:adjustRightInd w:val="0"/>
              <w:spacing w:after="0" w:line="240" w:lineRule="auto"/>
              <w:rPr>
                <w:rFonts w:ascii="Arial" w:hAnsi="Arial" w:cs="Arial"/>
                <w:sz w:val="20"/>
                <w:szCs w:val="20"/>
                <w:lang w:val="en-GB"/>
              </w:rPr>
            </w:pPr>
            <w:r w:rsidRPr="000B5463">
              <w:t>Low</w:t>
            </w:r>
          </w:p>
        </w:tc>
      </w:tr>
      <w:tr w:rsidR="00956AE5" w:rsidRPr="007931C1" w14:paraId="7952EAC3"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4E5C01F8" w14:textId="77777777" w:rsidR="00956AE5" w:rsidRDefault="00956AE5" w:rsidP="00D90264">
            <w:pPr>
              <w:autoSpaceDE w:val="0"/>
              <w:autoSpaceDN w:val="0"/>
              <w:adjustRightInd w:val="0"/>
              <w:spacing w:after="0" w:line="240" w:lineRule="auto"/>
            </w:pPr>
            <w:r>
              <w:t xml:space="preserve">Funding differs from sustainable requirements </w:t>
            </w:r>
          </w:p>
          <w:p w14:paraId="1068B37D" w14:textId="0D68AC0F" w:rsidR="00956AE5" w:rsidRPr="002C4C03" w:rsidRDefault="00956AE5" w:rsidP="00D90264">
            <w:pPr>
              <w:autoSpaceDE w:val="0"/>
              <w:autoSpaceDN w:val="0"/>
              <w:adjustRightInd w:val="0"/>
              <w:spacing w:after="0" w:line="240" w:lineRule="auto"/>
              <w:rPr>
                <w:rFonts w:ascii="Arial" w:hAnsi="Arial" w:cs="Arial"/>
                <w:sz w:val="20"/>
                <w:szCs w:val="20"/>
                <w:lang w:val="en-GB"/>
              </w:rPr>
            </w:pPr>
            <w:r>
              <w:t>to deliver EPA services</w:t>
            </w:r>
          </w:p>
        </w:tc>
        <w:tc>
          <w:tcPr>
            <w:tcW w:w="1027" w:type="pct"/>
            <w:tcBorders>
              <w:top w:val="single" w:sz="4" w:space="0" w:color="auto"/>
              <w:left w:val="nil"/>
              <w:bottom w:val="single" w:sz="4" w:space="0" w:color="auto"/>
              <w:right w:val="none" w:sz="6" w:space="0" w:color="auto"/>
            </w:tcBorders>
            <w:vAlign w:val="center"/>
          </w:tcPr>
          <w:p w14:paraId="1BBA797C" w14:textId="21C2B2DA" w:rsidR="00956AE5" w:rsidRPr="007931C1" w:rsidRDefault="00956AE5" w:rsidP="00D90264">
            <w:pPr>
              <w:autoSpaceDE w:val="0"/>
              <w:autoSpaceDN w:val="0"/>
              <w:adjustRightInd w:val="0"/>
              <w:spacing w:after="0" w:line="240" w:lineRule="auto"/>
              <w:rPr>
                <w:rFonts w:ascii="Arial" w:hAnsi="Arial" w:cs="Arial"/>
                <w:sz w:val="20"/>
                <w:szCs w:val="20"/>
              </w:rPr>
            </w:pPr>
            <w:r w:rsidRPr="00E44179">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54D48DDB" w14:textId="4554091F"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E44179">
              <w:t>Low</w:t>
            </w:r>
          </w:p>
        </w:tc>
      </w:tr>
      <w:tr w:rsidR="00956AE5" w:rsidRPr="007931C1" w14:paraId="2DAF4094"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1E6B5E25" w14:textId="77777777" w:rsidR="00956AE5" w:rsidRDefault="00956AE5" w:rsidP="00D90264">
            <w:pPr>
              <w:autoSpaceDE w:val="0"/>
              <w:autoSpaceDN w:val="0"/>
              <w:adjustRightInd w:val="0"/>
              <w:spacing w:after="0" w:line="240" w:lineRule="auto"/>
            </w:pPr>
            <w:r>
              <w:t xml:space="preserve">Response to a pollution and/or waste event </w:t>
            </w:r>
          </w:p>
          <w:p w14:paraId="7D0543BB" w14:textId="18076153" w:rsidR="00956AE5" w:rsidRPr="002C4C03" w:rsidRDefault="00956AE5" w:rsidP="00D90264">
            <w:pPr>
              <w:autoSpaceDE w:val="0"/>
              <w:autoSpaceDN w:val="0"/>
              <w:adjustRightInd w:val="0"/>
              <w:spacing w:after="0" w:line="240" w:lineRule="auto"/>
              <w:rPr>
                <w:rFonts w:ascii="Arial" w:hAnsi="Arial" w:cs="Arial"/>
                <w:sz w:val="20"/>
                <w:szCs w:val="20"/>
                <w:lang w:val="en-GB"/>
              </w:rPr>
            </w:pPr>
            <w:r>
              <w:t>deviates from EPA’s regulatory requirements.</w:t>
            </w:r>
          </w:p>
        </w:tc>
        <w:tc>
          <w:tcPr>
            <w:tcW w:w="1027" w:type="pct"/>
            <w:tcBorders>
              <w:top w:val="single" w:sz="4" w:space="0" w:color="auto"/>
              <w:left w:val="nil"/>
              <w:bottom w:val="single" w:sz="4" w:space="0" w:color="auto"/>
              <w:right w:val="none" w:sz="6" w:space="0" w:color="auto"/>
            </w:tcBorders>
            <w:vAlign w:val="center"/>
          </w:tcPr>
          <w:p w14:paraId="4E0457BE" w14:textId="5327BABC" w:rsidR="00956AE5" w:rsidRPr="007931C1" w:rsidRDefault="00956AE5" w:rsidP="00D90264">
            <w:pPr>
              <w:autoSpaceDE w:val="0"/>
              <w:autoSpaceDN w:val="0"/>
              <w:adjustRightInd w:val="0"/>
              <w:spacing w:after="0" w:line="240" w:lineRule="auto"/>
              <w:rPr>
                <w:rFonts w:ascii="Arial" w:hAnsi="Arial" w:cs="Arial"/>
                <w:sz w:val="20"/>
                <w:szCs w:val="20"/>
              </w:rPr>
            </w:pPr>
            <w:r w:rsidRPr="00242809">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78569C18" w14:textId="73CDAEFB"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242809">
              <w:t>Low</w:t>
            </w:r>
          </w:p>
        </w:tc>
      </w:tr>
      <w:tr w:rsidR="00956AE5" w:rsidRPr="007931C1" w14:paraId="4319C249"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374D2AFC" w14:textId="6D5575F2"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956AE5">
              <w:t>IT performance differs from service level business</w:t>
            </w:r>
            <w:r w:rsidR="009E33A2">
              <w:t xml:space="preserve"> </w:t>
            </w:r>
            <w:r w:rsidRPr="00956AE5">
              <w:t>needs.</w:t>
            </w:r>
          </w:p>
        </w:tc>
        <w:tc>
          <w:tcPr>
            <w:tcW w:w="1027" w:type="pct"/>
            <w:tcBorders>
              <w:top w:val="single" w:sz="4" w:space="0" w:color="auto"/>
              <w:left w:val="nil"/>
              <w:bottom w:val="single" w:sz="4" w:space="0" w:color="auto"/>
              <w:right w:val="none" w:sz="6" w:space="0" w:color="auto"/>
            </w:tcBorders>
            <w:vAlign w:val="center"/>
          </w:tcPr>
          <w:p w14:paraId="2676C863" w14:textId="4FCC0E5A" w:rsidR="00956AE5" w:rsidRPr="007931C1" w:rsidRDefault="00956AE5" w:rsidP="00D90264">
            <w:pPr>
              <w:autoSpaceDE w:val="0"/>
              <w:autoSpaceDN w:val="0"/>
              <w:adjustRightInd w:val="0"/>
              <w:spacing w:after="0" w:line="240" w:lineRule="auto"/>
              <w:rPr>
                <w:rFonts w:ascii="Arial" w:hAnsi="Arial" w:cs="Arial"/>
                <w:sz w:val="20"/>
                <w:szCs w:val="20"/>
              </w:rPr>
            </w:pPr>
            <w:r w:rsidRPr="00C624B7">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27820C2C" w14:textId="1D42A717"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C624B7">
              <w:t>Medium</w:t>
            </w:r>
          </w:p>
        </w:tc>
      </w:tr>
      <w:tr w:rsidR="009E33A2" w:rsidRPr="007931C1" w14:paraId="5A51F57E"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4E3F3D3D" w14:textId="5ABDE585" w:rsidR="009E33A2" w:rsidRPr="002C4C03" w:rsidRDefault="009E33A2" w:rsidP="00D90264">
            <w:pPr>
              <w:autoSpaceDE w:val="0"/>
              <w:autoSpaceDN w:val="0"/>
              <w:adjustRightInd w:val="0"/>
              <w:spacing w:after="0" w:line="240" w:lineRule="auto"/>
            </w:pPr>
            <w:r>
              <w:t xml:space="preserve">Unforeseen emerging environmental and </w:t>
            </w:r>
            <w:r w:rsidR="00F71A62">
              <w:br/>
            </w:r>
            <w:r>
              <w:t>/ or public health concerns.</w:t>
            </w:r>
          </w:p>
        </w:tc>
        <w:tc>
          <w:tcPr>
            <w:tcW w:w="1027" w:type="pct"/>
            <w:tcBorders>
              <w:top w:val="single" w:sz="4" w:space="0" w:color="auto"/>
              <w:left w:val="nil"/>
              <w:bottom w:val="single" w:sz="4" w:space="0" w:color="auto"/>
              <w:right w:val="none" w:sz="6" w:space="0" w:color="auto"/>
            </w:tcBorders>
            <w:vAlign w:val="center"/>
          </w:tcPr>
          <w:p w14:paraId="6B1D3B61" w14:textId="0030FF9D" w:rsidR="009E33A2" w:rsidRPr="007931C1" w:rsidRDefault="009E33A2" w:rsidP="00D90264">
            <w:pPr>
              <w:autoSpaceDE w:val="0"/>
              <w:autoSpaceDN w:val="0"/>
              <w:adjustRightInd w:val="0"/>
              <w:spacing w:after="0" w:line="240" w:lineRule="auto"/>
              <w:rPr>
                <w:rFonts w:ascii="Arial" w:hAnsi="Arial" w:cs="Arial"/>
                <w:sz w:val="20"/>
                <w:szCs w:val="20"/>
              </w:rPr>
            </w:pPr>
            <w:r w:rsidRPr="00AB2C5B">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3953AE49" w14:textId="689B7F0D" w:rsidR="009E33A2" w:rsidRPr="002C4C03" w:rsidRDefault="009E33A2" w:rsidP="00D90264">
            <w:pPr>
              <w:autoSpaceDE w:val="0"/>
              <w:autoSpaceDN w:val="0"/>
              <w:adjustRightInd w:val="0"/>
              <w:spacing w:after="0" w:line="240" w:lineRule="auto"/>
              <w:rPr>
                <w:rFonts w:ascii="Arial" w:hAnsi="Arial" w:cs="Arial"/>
                <w:sz w:val="20"/>
                <w:szCs w:val="20"/>
                <w:lang w:val="en-GB"/>
              </w:rPr>
            </w:pPr>
            <w:r w:rsidRPr="00AB2C5B">
              <w:t>Medium</w:t>
            </w:r>
          </w:p>
        </w:tc>
      </w:tr>
      <w:tr w:rsidR="009E33A2" w:rsidRPr="007931C1" w14:paraId="4C25F4BE"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4E0E5B06" w14:textId="77777777" w:rsidR="009E33A2" w:rsidRDefault="009E33A2" w:rsidP="00D90264">
            <w:pPr>
              <w:autoSpaceDE w:val="0"/>
              <w:autoSpaceDN w:val="0"/>
              <w:adjustRightInd w:val="0"/>
              <w:spacing w:after="0" w:line="240" w:lineRule="auto"/>
            </w:pPr>
            <w:r>
              <w:t xml:space="preserve">Variations in quality of regulatory decisions </w:t>
            </w:r>
          </w:p>
          <w:p w14:paraId="1543CDD9" w14:textId="17C6D398"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t xml:space="preserve">/ </w:t>
            </w:r>
            <w:proofErr w:type="gramStart"/>
            <w:r>
              <w:t>operational</w:t>
            </w:r>
            <w:proofErr w:type="gramEnd"/>
            <w:r>
              <w:t xml:space="preserve"> delivery.</w:t>
            </w:r>
          </w:p>
        </w:tc>
        <w:tc>
          <w:tcPr>
            <w:tcW w:w="1027" w:type="pct"/>
            <w:tcBorders>
              <w:top w:val="single" w:sz="4" w:space="0" w:color="auto"/>
              <w:left w:val="nil"/>
              <w:bottom w:val="single" w:sz="4" w:space="0" w:color="auto"/>
              <w:right w:val="none" w:sz="6" w:space="0" w:color="auto"/>
            </w:tcBorders>
            <w:vAlign w:val="center"/>
          </w:tcPr>
          <w:p w14:paraId="653CC6F6" w14:textId="640F62ED" w:rsidR="009E33A2" w:rsidRPr="007931C1" w:rsidRDefault="009E33A2" w:rsidP="00D90264">
            <w:pPr>
              <w:autoSpaceDE w:val="0"/>
              <w:autoSpaceDN w:val="0"/>
              <w:adjustRightInd w:val="0"/>
              <w:spacing w:after="0" w:line="240" w:lineRule="auto"/>
              <w:rPr>
                <w:rFonts w:ascii="Arial" w:hAnsi="Arial" w:cs="Arial"/>
                <w:sz w:val="20"/>
                <w:szCs w:val="20"/>
              </w:rPr>
            </w:pPr>
            <w:r w:rsidRPr="003563FB">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73D1A14D" w14:textId="386DC544"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3563FB">
              <w:t>Low</w:t>
            </w:r>
          </w:p>
        </w:tc>
      </w:tr>
      <w:tr w:rsidR="009E33A2" w:rsidRPr="007931C1" w14:paraId="0BCB11EC"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672AFAE8" w14:textId="690EA547"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D80195">
              <w:t xml:space="preserve">Changes in workforce capability and capacity. </w:t>
            </w:r>
          </w:p>
        </w:tc>
        <w:tc>
          <w:tcPr>
            <w:tcW w:w="1027" w:type="pct"/>
            <w:tcBorders>
              <w:top w:val="single" w:sz="4" w:space="0" w:color="auto"/>
              <w:left w:val="nil"/>
              <w:bottom w:val="single" w:sz="4" w:space="0" w:color="auto"/>
              <w:right w:val="none" w:sz="6" w:space="0" w:color="auto"/>
            </w:tcBorders>
            <w:vAlign w:val="center"/>
          </w:tcPr>
          <w:p w14:paraId="76E886F8" w14:textId="59048913" w:rsidR="009E33A2" w:rsidRPr="007931C1" w:rsidRDefault="009E33A2" w:rsidP="00D90264">
            <w:pPr>
              <w:autoSpaceDE w:val="0"/>
              <w:autoSpaceDN w:val="0"/>
              <w:adjustRightInd w:val="0"/>
              <w:spacing w:after="0" w:line="240" w:lineRule="auto"/>
              <w:rPr>
                <w:rFonts w:ascii="Arial" w:hAnsi="Arial" w:cs="Arial"/>
                <w:sz w:val="20"/>
                <w:szCs w:val="20"/>
              </w:rPr>
            </w:pPr>
            <w:r w:rsidRPr="00D80195">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7120A0F0" w14:textId="39AFBDAE"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D80195">
              <w:t>Medium</w:t>
            </w:r>
          </w:p>
        </w:tc>
      </w:tr>
      <w:tr w:rsidR="009E33A2" w:rsidRPr="007931C1" w14:paraId="1FA18706"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087B5298" w14:textId="3B84E142"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8B3531">
              <w:t>Variation in effectiveness of critical relationships.</w:t>
            </w:r>
          </w:p>
        </w:tc>
        <w:tc>
          <w:tcPr>
            <w:tcW w:w="1027" w:type="pct"/>
            <w:tcBorders>
              <w:top w:val="single" w:sz="4" w:space="0" w:color="auto"/>
              <w:left w:val="nil"/>
              <w:bottom w:val="single" w:sz="4" w:space="0" w:color="auto"/>
              <w:right w:val="none" w:sz="6" w:space="0" w:color="auto"/>
            </w:tcBorders>
            <w:vAlign w:val="center"/>
          </w:tcPr>
          <w:p w14:paraId="7E1C4C1C" w14:textId="07980DF9" w:rsidR="009E33A2" w:rsidRPr="007931C1" w:rsidRDefault="009E33A2" w:rsidP="00D90264">
            <w:pPr>
              <w:autoSpaceDE w:val="0"/>
              <w:autoSpaceDN w:val="0"/>
              <w:adjustRightInd w:val="0"/>
              <w:spacing w:after="0" w:line="240" w:lineRule="auto"/>
              <w:rPr>
                <w:rFonts w:ascii="Arial" w:hAnsi="Arial" w:cs="Arial"/>
                <w:sz w:val="20"/>
                <w:szCs w:val="20"/>
              </w:rPr>
            </w:pPr>
            <w:r w:rsidRPr="008B3531">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18C6D9E3" w14:textId="51C94584"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8B3531">
              <w:t>Medium</w:t>
            </w:r>
          </w:p>
        </w:tc>
      </w:tr>
      <w:tr w:rsidR="009E33A2" w:rsidRPr="007931C1" w14:paraId="0567A4EA"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31035B46" w14:textId="41E57276" w:rsidR="009E33A2" w:rsidRPr="008B3531" w:rsidRDefault="009E33A2" w:rsidP="00D90264">
            <w:pPr>
              <w:autoSpaceDE w:val="0"/>
              <w:autoSpaceDN w:val="0"/>
              <w:adjustRightInd w:val="0"/>
              <w:spacing w:after="0" w:line="240" w:lineRule="auto"/>
            </w:pPr>
            <w:r w:rsidRPr="00D5231A">
              <w:t>Unanticipated change to EPA’s authorising environment.</w:t>
            </w:r>
          </w:p>
        </w:tc>
        <w:tc>
          <w:tcPr>
            <w:tcW w:w="1027" w:type="pct"/>
            <w:tcBorders>
              <w:top w:val="single" w:sz="4" w:space="0" w:color="auto"/>
              <w:left w:val="nil"/>
              <w:bottom w:val="single" w:sz="4" w:space="0" w:color="auto"/>
              <w:right w:val="none" w:sz="6" w:space="0" w:color="auto"/>
            </w:tcBorders>
            <w:vAlign w:val="center"/>
          </w:tcPr>
          <w:p w14:paraId="68D148E5" w14:textId="1A64FE19" w:rsidR="009E33A2" w:rsidRPr="008B3531" w:rsidRDefault="009E33A2" w:rsidP="00D90264">
            <w:pPr>
              <w:autoSpaceDE w:val="0"/>
              <w:autoSpaceDN w:val="0"/>
              <w:adjustRightInd w:val="0"/>
              <w:spacing w:after="0" w:line="240" w:lineRule="auto"/>
            </w:pPr>
            <w:r w:rsidRPr="00D5231A">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3FE6696F" w14:textId="2F74C7C5" w:rsidR="009E33A2" w:rsidRPr="008B3531" w:rsidRDefault="009E33A2" w:rsidP="00D90264">
            <w:pPr>
              <w:autoSpaceDE w:val="0"/>
              <w:autoSpaceDN w:val="0"/>
              <w:adjustRightInd w:val="0"/>
              <w:spacing w:after="0" w:line="240" w:lineRule="auto"/>
            </w:pPr>
            <w:r w:rsidRPr="00D5231A">
              <w:t>Medium</w:t>
            </w:r>
          </w:p>
        </w:tc>
      </w:tr>
      <w:tr w:rsidR="009E33A2" w:rsidRPr="007931C1" w14:paraId="44DCF960"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3173B84F" w14:textId="7DE39668" w:rsidR="009E33A2" w:rsidRPr="008B3531" w:rsidRDefault="009E33A2" w:rsidP="00D90264">
            <w:pPr>
              <w:autoSpaceDE w:val="0"/>
              <w:autoSpaceDN w:val="0"/>
              <w:adjustRightInd w:val="0"/>
              <w:spacing w:after="0" w:line="240" w:lineRule="auto"/>
            </w:pPr>
            <w:r w:rsidRPr="00981154">
              <w:t>Fraud or corrupt conduct incident.</w:t>
            </w:r>
          </w:p>
        </w:tc>
        <w:tc>
          <w:tcPr>
            <w:tcW w:w="1027" w:type="pct"/>
            <w:tcBorders>
              <w:top w:val="single" w:sz="4" w:space="0" w:color="auto"/>
              <w:left w:val="nil"/>
              <w:bottom w:val="single" w:sz="4" w:space="0" w:color="auto"/>
              <w:right w:val="none" w:sz="6" w:space="0" w:color="auto"/>
            </w:tcBorders>
            <w:vAlign w:val="center"/>
          </w:tcPr>
          <w:p w14:paraId="3F727C1A" w14:textId="1F0E0154" w:rsidR="009E33A2" w:rsidRPr="008B3531" w:rsidRDefault="009E33A2" w:rsidP="00D90264">
            <w:pPr>
              <w:autoSpaceDE w:val="0"/>
              <w:autoSpaceDN w:val="0"/>
              <w:adjustRightInd w:val="0"/>
              <w:spacing w:after="0" w:line="240" w:lineRule="auto"/>
            </w:pPr>
            <w:r w:rsidRPr="00981154">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260FBD46" w14:textId="7755BC91" w:rsidR="009E33A2" w:rsidRPr="008B3531" w:rsidRDefault="009E33A2" w:rsidP="00D90264">
            <w:pPr>
              <w:autoSpaceDE w:val="0"/>
              <w:autoSpaceDN w:val="0"/>
              <w:adjustRightInd w:val="0"/>
              <w:spacing w:after="0" w:line="240" w:lineRule="auto"/>
            </w:pPr>
            <w:r w:rsidRPr="00981154">
              <w:t>Low</w:t>
            </w:r>
          </w:p>
        </w:tc>
      </w:tr>
      <w:tr w:rsidR="00F71A62" w:rsidRPr="007931C1" w14:paraId="3B7B9456"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668E6845" w14:textId="77777777" w:rsidR="00F71A62" w:rsidRDefault="00F71A62" w:rsidP="00D90264">
            <w:pPr>
              <w:autoSpaceDE w:val="0"/>
              <w:autoSpaceDN w:val="0"/>
              <w:adjustRightInd w:val="0"/>
              <w:spacing w:after="0" w:line="240" w:lineRule="auto"/>
            </w:pPr>
            <w:r>
              <w:t xml:space="preserve">Change to data quality and access to information </w:t>
            </w:r>
          </w:p>
          <w:p w14:paraId="2A796FBF" w14:textId="00430F8A" w:rsidR="00F71A62" w:rsidRPr="008B3531" w:rsidRDefault="00F71A62" w:rsidP="00D90264">
            <w:pPr>
              <w:autoSpaceDE w:val="0"/>
              <w:autoSpaceDN w:val="0"/>
              <w:adjustRightInd w:val="0"/>
              <w:spacing w:after="0" w:line="240" w:lineRule="auto"/>
            </w:pPr>
            <w:r>
              <w:t>for decision making.</w:t>
            </w:r>
          </w:p>
        </w:tc>
        <w:tc>
          <w:tcPr>
            <w:tcW w:w="1027" w:type="pct"/>
            <w:tcBorders>
              <w:top w:val="single" w:sz="4" w:space="0" w:color="auto"/>
              <w:left w:val="nil"/>
              <w:bottom w:val="single" w:sz="4" w:space="0" w:color="auto"/>
              <w:right w:val="none" w:sz="6" w:space="0" w:color="auto"/>
            </w:tcBorders>
            <w:vAlign w:val="center"/>
          </w:tcPr>
          <w:p w14:paraId="0FC0CDA7" w14:textId="6CC2E139" w:rsidR="00F71A62" w:rsidRPr="008B3531" w:rsidRDefault="00F71A62" w:rsidP="00D90264">
            <w:pPr>
              <w:autoSpaceDE w:val="0"/>
              <w:autoSpaceDN w:val="0"/>
              <w:adjustRightInd w:val="0"/>
              <w:spacing w:after="0" w:line="240" w:lineRule="auto"/>
            </w:pPr>
            <w:r w:rsidRPr="004878D7">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729E3C48" w14:textId="0B474178" w:rsidR="00F71A62" w:rsidRPr="008B3531" w:rsidRDefault="00F71A62" w:rsidP="00D90264">
            <w:pPr>
              <w:autoSpaceDE w:val="0"/>
              <w:autoSpaceDN w:val="0"/>
              <w:adjustRightInd w:val="0"/>
              <w:spacing w:after="0" w:line="240" w:lineRule="auto"/>
            </w:pPr>
            <w:r w:rsidRPr="004878D7">
              <w:t>Medium</w:t>
            </w:r>
          </w:p>
        </w:tc>
      </w:tr>
      <w:tr w:rsidR="00F71A62" w:rsidRPr="007931C1" w14:paraId="5DD2AA07" w14:textId="77777777" w:rsidTr="003F26BE">
        <w:trPr>
          <w:trHeight w:val="680"/>
        </w:trPr>
        <w:tc>
          <w:tcPr>
            <w:tcW w:w="3020" w:type="pct"/>
            <w:tcBorders>
              <w:top w:val="single" w:sz="4" w:space="0" w:color="auto"/>
              <w:left w:val="nil"/>
              <w:bottom w:val="nil"/>
              <w:right w:val="nil"/>
            </w:tcBorders>
            <w:shd w:val="clear" w:color="auto" w:fill="auto"/>
            <w:vAlign w:val="center"/>
          </w:tcPr>
          <w:p w14:paraId="751DA1F8" w14:textId="77777777" w:rsidR="00F71A62" w:rsidRDefault="00F71A62" w:rsidP="00D90264">
            <w:pPr>
              <w:autoSpaceDE w:val="0"/>
              <w:autoSpaceDN w:val="0"/>
              <w:adjustRightInd w:val="0"/>
              <w:spacing w:after="0" w:line="240" w:lineRule="auto"/>
            </w:pPr>
            <w:r>
              <w:t xml:space="preserve">Variation in the realisation of the benefits </w:t>
            </w:r>
          </w:p>
          <w:p w14:paraId="50425CD8" w14:textId="0CDBAAF9" w:rsidR="00F71A62" w:rsidRPr="008B3531" w:rsidRDefault="00F71A62" w:rsidP="00D90264">
            <w:pPr>
              <w:autoSpaceDE w:val="0"/>
              <w:autoSpaceDN w:val="0"/>
              <w:adjustRightInd w:val="0"/>
              <w:spacing w:after="0" w:line="240" w:lineRule="auto"/>
            </w:pPr>
            <w:r>
              <w:t>of the Environment Protection Act 2017.</w:t>
            </w:r>
          </w:p>
        </w:tc>
        <w:tc>
          <w:tcPr>
            <w:tcW w:w="1027" w:type="pct"/>
            <w:tcBorders>
              <w:top w:val="single" w:sz="4" w:space="0" w:color="auto"/>
              <w:left w:val="nil"/>
              <w:bottom w:val="nil"/>
              <w:right w:val="none" w:sz="6" w:space="0" w:color="auto"/>
            </w:tcBorders>
            <w:vAlign w:val="center"/>
          </w:tcPr>
          <w:p w14:paraId="1CF0A9B4" w14:textId="6BCB5BC5" w:rsidR="00F71A62" w:rsidRPr="008B3531" w:rsidRDefault="00F71A62" w:rsidP="00D90264">
            <w:pPr>
              <w:autoSpaceDE w:val="0"/>
              <w:autoSpaceDN w:val="0"/>
              <w:adjustRightInd w:val="0"/>
              <w:spacing w:after="0" w:line="240" w:lineRule="auto"/>
            </w:pPr>
            <w:r w:rsidRPr="00CB721A">
              <w:t>Medium</w:t>
            </w:r>
          </w:p>
        </w:tc>
        <w:tc>
          <w:tcPr>
            <w:tcW w:w="953" w:type="pct"/>
            <w:tcBorders>
              <w:top w:val="single" w:sz="4" w:space="0" w:color="auto"/>
              <w:left w:val="none" w:sz="6" w:space="0" w:color="auto"/>
              <w:bottom w:val="nil"/>
              <w:right w:val="nil"/>
            </w:tcBorders>
            <w:shd w:val="clear" w:color="auto" w:fill="auto"/>
            <w:vAlign w:val="center"/>
          </w:tcPr>
          <w:p w14:paraId="57AB330F" w14:textId="738C7539" w:rsidR="00F71A62" w:rsidRPr="008B3531" w:rsidRDefault="00F71A62" w:rsidP="00D90264">
            <w:pPr>
              <w:autoSpaceDE w:val="0"/>
              <w:autoSpaceDN w:val="0"/>
              <w:adjustRightInd w:val="0"/>
              <w:spacing w:after="0" w:line="240" w:lineRule="auto"/>
            </w:pPr>
            <w:r w:rsidRPr="00CB721A">
              <w:t>Low</w:t>
            </w:r>
          </w:p>
        </w:tc>
      </w:tr>
      <w:tr w:rsidR="009E33A2" w:rsidRPr="007931C1" w14:paraId="72F180B6" w14:textId="77777777" w:rsidTr="00852015">
        <w:trPr>
          <w:trHeight w:val="130"/>
        </w:trPr>
        <w:tc>
          <w:tcPr>
            <w:tcW w:w="3020" w:type="pct"/>
            <w:tcBorders>
              <w:top w:val="none" w:sz="6" w:space="0" w:color="auto"/>
              <w:left w:val="nil"/>
              <w:bottom w:val="single" w:sz="4" w:space="0" w:color="auto"/>
              <w:right w:val="nil"/>
            </w:tcBorders>
            <w:shd w:val="clear" w:color="auto" w:fill="auto"/>
            <w:vAlign w:val="center"/>
          </w:tcPr>
          <w:p w14:paraId="0532C408" w14:textId="77777777" w:rsidR="009E33A2" w:rsidRPr="008B3531" w:rsidRDefault="009E33A2" w:rsidP="00D90264">
            <w:pPr>
              <w:autoSpaceDE w:val="0"/>
              <w:autoSpaceDN w:val="0"/>
              <w:adjustRightInd w:val="0"/>
              <w:spacing w:after="0" w:line="240" w:lineRule="auto"/>
            </w:pPr>
          </w:p>
        </w:tc>
        <w:tc>
          <w:tcPr>
            <w:tcW w:w="1027" w:type="pct"/>
            <w:tcBorders>
              <w:top w:val="none" w:sz="6" w:space="0" w:color="auto"/>
              <w:left w:val="nil"/>
              <w:bottom w:val="single" w:sz="4" w:space="0" w:color="auto"/>
              <w:right w:val="none" w:sz="6" w:space="0" w:color="auto"/>
            </w:tcBorders>
            <w:vAlign w:val="center"/>
          </w:tcPr>
          <w:p w14:paraId="07971F42" w14:textId="77777777" w:rsidR="009E33A2" w:rsidRPr="008B3531" w:rsidRDefault="009E33A2" w:rsidP="00D90264">
            <w:pPr>
              <w:autoSpaceDE w:val="0"/>
              <w:autoSpaceDN w:val="0"/>
              <w:adjustRightInd w:val="0"/>
              <w:spacing w:after="0" w:line="240" w:lineRule="auto"/>
            </w:pPr>
          </w:p>
        </w:tc>
        <w:tc>
          <w:tcPr>
            <w:tcW w:w="953" w:type="pct"/>
            <w:tcBorders>
              <w:top w:val="none" w:sz="6" w:space="0" w:color="auto"/>
              <w:left w:val="none" w:sz="6" w:space="0" w:color="auto"/>
              <w:bottom w:val="single" w:sz="4" w:space="0" w:color="auto"/>
              <w:right w:val="nil"/>
            </w:tcBorders>
            <w:shd w:val="clear" w:color="auto" w:fill="auto"/>
            <w:vAlign w:val="center"/>
          </w:tcPr>
          <w:p w14:paraId="4B96CADE" w14:textId="77777777" w:rsidR="009E33A2" w:rsidRPr="008B3531" w:rsidRDefault="009E33A2" w:rsidP="00D90264">
            <w:pPr>
              <w:autoSpaceDE w:val="0"/>
              <w:autoSpaceDN w:val="0"/>
              <w:adjustRightInd w:val="0"/>
              <w:spacing w:after="0" w:line="240" w:lineRule="auto"/>
            </w:pPr>
          </w:p>
        </w:tc>
      </w:tr>
    </w:tbl>
    <w:p w14:paraId="7CFD9C89" w14:textId="1E489481" w:rsidR="00507E33" w:rsidRPr="00507E33" w:rsidRDefault="00507E33" w:rsidP="00507E33">
      <w:pPr>
        <w:spacing w:before="210" w:after="210" w:line="240" w:lineRule="auto"/>
        <w:outlineLvl w:val="2"/>
        <w:rPr>
          <w:rFonts w:ascii="Arial" w:eastAsia="Times New Roman" w:hAnsi="Arial" w:cs="Arial"/>
          <w:b/>
          <w:bCs/>
          <w:color w:val="111111"/>
          <w:sz w:val="57"/>
          <w:szCs w:val="57"/>
          <w:lang w:eastAsia="en-AU"/>
        </w:rPr>
      </w:pPr>
      <w:r w:rsidRPr="00507E33">
        <w:rPr>
          <w:rFonts w:ascii="Arial" w:eastAsia="Times New Roman" w:hAnsi="Arial" w:cs="Arial"/>
          <w:b/>
          <w:bCs/>
          <w:color w:val="111111"/>
          <w:sz w:val="57"/>
          <w:szCs w:val="57"/>
          <w:lang w:eastAsia="en-AU"/>
        </w:rPr>
        <w:lastRenderedPageBreak/>
        <w:t xml:space="preserve">Appendices </w:t>
      </w:r>
    </w:p>
    <w:p w14:paraId="17E01C54" w14:textId="77777777" w:rsidR="009B04C5" w:rsidRDefault="009B04C5" w:rsidP="00A1428B">
      <w:pPr>
        <w:spacing w:before="210" w:after="210" w:line="240" w:lineRule="auto"/>
        <w:rPr>
          <w:rFonts w:ascii="Arial" w:eastAsia="Times New Roman" w:hAnsi="Arial" w:cs="Arial"/>
          <w:b/>
          <w:bCs/>
          <w:color w:val="111111"/>
          <w:sz w:val="42"/>
          <w:szCs w:val="42"/>
          <w:lang w:eastAsia="en-AU"/>
        </w:rPr>
      </w:pPr>
    </w:p>
    <w:p w14:paraId="3C7E030F" w14:textId="7A8D4013" w:rsidR="00507E33" w:rsidRDefault="00507E33" w:rsidP="00A1428B">
      <w:pPr>
        <w:spacing w:before="210" w:after="210" w:line="240" w:lineRule="auto"/>
        <w:rPr>
          <w:rFonts w:ascii="Arial" w:eastAsia="Times New Roman" w:hAnsi="Arial" w:cs="Arial"/>
          <w:b/>
          <w:bCs/>
          <w:color w:val="111111"/>
          <w:sz w:val="42"/>
          <w:szCs w:val="42"/>
          <w:lang w:eastAsia="en-AU"/>
        </w:rPr>
      </w:pPr>
      <w:r w:rsidRPr="00507E33">
        <w:rPr>
          <w:rFonts w:ascii="Arial" w:eastAsia="Times New Roman" w:hAnsi="Arial" w:cs="Arial"/>
          <w:b/>
          <w:bCs/>
          <w:color w:val="111111"/>
          <w:sz w:val="42"/>
          <w:szCs w:val="42"/>
          <w:lang w:eastAsia="en-AU"/>
        </w:rPr>
        <w:t xml:space="preserve">Appendix </w:t>
      </w:r>
      <w:proofErr w:type="gramStart"/>
      <w:r w:rsidRPr="00507E33">
        <w:rPr>
          <w:rFonts w:ascii="Arial" w:eastAsia="Times New Roman" w:hAnsi="Arial" w:cs="Arial"/>
          <w:b/>
          <w:bCs/>
          <w:color w:val="111111"/>
          <w:sz w:val="42"/>
          <w:szCs w:val="42"/>
          <w:lang w:eastAsia="en-AU"/>
        </w:rPr>
        <w:t>1  /</w:t>
      </w:r>
      <w:proofErr w:type="gramEnd"/>
      <w:r w:rsidRPr="00507E33">
        <w:rPr>
          <w:rFonts w:ascii="Arial" w:eastAsia="Times New Roman" w:hAnsi="Arial" w:cs="Arial"/>
          <w:b/>
          <w:bCs/>
          <w:color w:val="111111"/>
          <w:sz w:val="42"/>
          <w:szCs w:val="42"/>
          <w:lang w:eastAsia="en-AU"/>
        </w:rPr>
        <w:t xml:space="preserve">  Strategic Plan 2022-27 summary </w:t>
      </w:r>
    </w:p>
    <w:p w14:paraId="1790CCF4" w14:textId="77777777" w:rsidR="00507E33" w:rsidRPr="003643AB" w:rsidRDefault="00507E33" w:rsidP="00507E33">
      <w:pPr>
        <w:spacing w:before="210" w:line="240" w:lineRule="auto"/>
        <w:rPr>
          <w:rFonts w:ascii="Arial" w:eastAsia="Times New Roman" w:hAnsi="Arial" w:cs="Arial"/>
          <w:color w:val="333333"/>
          <w:sz w:val="24"/>
          <w:szCs w:val="24"/>
          <w:lang w:eastAsia="en-AU"/>
        </w:rPr>
      </w:pPr>
      <w:hyperlink r:id="rId7" w:history="1">
        <w:r w:rsidRPr="003643AB">
          <w:rPr>
            <w:rFonts w:ascii="Arial" w:eastAsia="Times New Roman" w:hAnsi="Arial" w:cs="Arial"/>
            <w:b/>
            <w:bCs/>
            <w:color w:val="0A3C73"/>
            <w:sz w:val="24"/>
            <w:szCs w:val="24"/>
            <w:u w:val="single"/>
            <w:lang w:eastAsia="en-AU"/>
          </w:rPr>
          <w:t>Strategic Plan 2022-27 PDF</w:t>
        </w:r>
      </w:hyperlink>
    </w:p>
    <w:p w14:paraId="29136583" w14:textId="77777777" w:rsidR="00507E33" w:rsidRPr="003643AB" w:rsidRDefault="00507E33" w:rsidP="00507E33">
      <w:pPr>
        <w:spacing w:line="240" w:lineRule="auto"/>
        <w:rPr>
          <w:rFonts w:ascii="Arial" w:eastAsia="Times New Roman" w:hAnsi="Arial" w:cs="Arial"/>
          <w:color w:val="333333"/>
          <w:sz w:val="21"/>
          <w:szCs w:val="21"/>
          <w:lang w:eastAsia="en-AU"/>
        </w:rPr>
      </w:pPr>
      <w:r w:rsidRPr="003643AB">
        <w:rPr>
          <w:rFonts w:ascii="Arial" w:eastAsia="Times New Roman" w:hAnsi="Arial" w:cs="Arial"/>
          <w:color w:val="333333"/>
          <w:sz w:val="21"/>
          <w:szCs w:val="21"/>
          <w:lang w:eastAsia="en-AU"/>
        </w:rPr>
        <w:t>Reviewed 1 July 2022</w:t>
      </w:r>
    </w:p>
    <w:p w14:paraId="41A88F46" w14:textId="77777777" w:rsidR="009B04C5" w:rsidRDefault="009B04C5" w:rsidP="009B04C5">
      <w:pPr>
        <w:spacing w:before="210" w:after="210" w:line="240" w:lineRule="auto"/>
        <w:rPr>
          <w:rFonts w:ascii="Arial" w:eastAsia="Times New Roman" w:hAnsi="Arial" w:cs="Arial"/>
          <w:b/>
          <w:bCs/>
          <w:color w:val="111111"/>
          <w:sz w:val="42"/>
          <w:szCs w:val="42"/>
          <w:lang w:eastAsia="en-AU"/>
        </w:rPr>
      </w:pPr>
    </w:p>
    <w:p w14:paraId="2AD3B0DB" w14:textId="77777777" w:rsidR="009B04C5" w:rsidRDefault="009B04C5" w:rsidP="009B04C5">
      <w:pPr>
        <w:spacing w:before="210" w:after="210" w:line="240" w:lineRule="auto"/>
        <w:rPr>
          <w:rFonts w:ascii="Arial" w:eastAsia="Times New Roman" w:hAnsi="Arial" w:cs="Arial"/>
          <w:b/>
          <w:bCs/>
          <w:color w:val="111111"/>
          <w:sz w:val="42"/>
          <w:szCs w:val="42"/>
          <w:lang w:eastAsia="en-AU"/>
        </w:rPr>
      </w:pPr>
      <w:r w:rsidRPr="009B04C5">
        <w:rPr>
          <w:rFonts w:ascii="Arial" w:eastAsia="Times New Roman" w:hAnsi="Arial" w:cs="Arial"/>
          <w:b/>
          <w:bCs/>
          <w:color w:val="111111"/>
          <w:sz w:val="42"/>
          <w:szCs w:val="42"/>
          <w:lang w:eastAsia="en-AU"/>
        </w:rPr>
        <w:t xml:space="preserve">Appendix </w:t>
      </w:r>
      <w:proofErr w:type="gramStart"/>
      <w:r w:rsidRPr="009B04C5">
        <w:rPr>
          <w:rFonts w:ascii="Arial" w:eastAsia="Times New Roman" w:hAnsi="Arial" w:cs="Arial"/>
          <w:b/>
          <w:bCs/>
          <w:color w:val="111111"/>
          <w:sz w:val="42"/>
          <w:szCs w:val="42"/>
          <w:lang w:eastAsia="en-AU"/>
        </w:rPr>
        <w:t>2  /</w:t>
      </w:r>
      <w:proofErr w:type="gramEnd"/>
      <w:r w:rsidRPr="009B04C5">
        <w:rPr>
          <w:rFonts w:ascii="Arial" w:eastAsia="Times New Roman" w:hAnsi="Arial" w:cs="Arial"/>
          <w:b/>
          <w:bCs/>
          <w:color w:val="111111"/>
          <w:sz w:val="42"/>
          <w:szCs w:val="42"/>
          <w:lang w:eastAsia="en-AU"/>
        </w:rPr>
        <w:t xml:space="preserve">  Minister’s Statement of Expectations</w:t>
      </w:r>
      <w:r>
        <w:rPr>
          <w:rFonts w:ascii="Arial" w:eastAsia="Times New Roman" w:hAnsi="Arial" w:cs="Arial"/>
          <w:b/>
          <w:bCs/>
          <w:color w:val="111111"/>
          <w:sz w:val="42"/>
          <w:szCs w:val="42"/>
          <w:lang w:eastAsia="en-AU"/>
        </w:rPr>
        <w:t xml:space="preserve"> </w:t>
      </w:r>
      <w:r w:rsidRPr="009B04C5">
        <w:rPr>
          <w:rFonts w:ascii="Arial" w:eastAsia="Times New Roman" w:hAnsi="Arial" w:cs="Arial"/>
          <w:b/>
          <w:bCs/>
          <w:color w:val="111111"/>
          <w:sz w:val="42"/>
          <w:szCs w:val="42"/>
          <w:lang w:eastAsia="en-AU"/>
        </w:rPr>
        <w:t xml:space="preserve">2022-27 summary </w:t>
      </w:r>
    </w:p>
    <w:p w14:paraId="7AD5CE40" w14:textId="77777777" w:rsidR="009B04C5" w:rsidRDefault="009B04C5" w:rsidP="009B04C5">
      <w:pPr>
        <w:spacing w:before="210" w:after="210" w:line="240" w:lineRule="auto"/>
        <w:rPr>
          <w:rFonts w:ascii="Arial" w:eastAsia="Times New Roman" w:hAnsi="Arial" w:cs="Arial"/>
          <w:b/>
          <w:bCs/>
          <w:color w:val="111111"/>
          <w:sz w:val="42"/>
          <w:szCs w:val="42"/>
          <w:lang w:eastAsia="en-AU"/>
        </w:rPr>
      </w:pPr>
    </w:p>
    <w:tbl>
      <w:tblPr>
        <w:tblW w:w="952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78"/>
        <w:gridCol w:w="6946"/>
      </w:tblGrid>
      <w:tr w:rsidR="00CA254B" w:rsidRPr="009D5C97" w14:paraId="041C45E7" w14:textId="77777777" w:rsidTr="00157301">
        <w:trPr>
          <w:trHeight w:val="133"/>
        </w:trPr>
        <w:tc>
          <w:tcPr>
            <w:tcW w:w="2578" w:type="dxa"/>
            <w:tcBorders>
              <w:top w:val="nil"/>
              <w:left w:val="nil"/>
              <w:bottom w:val="single" w:sz="4" w:space="0" w:color="auto"/>
              <w:right w:val="nil"/>
            </w:tcBorders>
            <w:shd w:val="clear" w:color="auto" w:fill="auto"/>
          </w:tcPr>
          <w:p w14:paraId="6B65E1C4" w14:textId="2140724A" w:rsidR="00CA254B" w:rsidRPr="009D5C97" w:rsidRDefault="00CA254B" w:rsidP="00940D64">
            <w:pPr>
              <w:autoSpaceDE w:val="0"/>
              <w:autoSpaceDN w:val="0"/>
              <w:adjustRightInd w:val="0"/>
              <w:spacing w:after="0" w:line="240" w:lineRule="auto"/>
              <w:rPr>
                <w:rFonts w:ascii="Arial" w:hAnsi="Arial" w:cs="Arial"/>
                <w:b/>
                <w:bCs/>
                <w:sz w:val="20"/>
                <w:szCs w:val="20"/>
                <w:lang w:val="en-GB"/>
              </w:rPr>
            </w:pPr>
            <w:r>
              <w:rPr>
                <w:b/>
                <w:bCs/>
              </w:rPr>
              <w:t>Theme</w:t>
            </w:r>
          </w:p>
        </w:tc>
        <w:tc>
          <w:tcPr>
            <w:tcW w:w="6946" w:type="dxa"/>
            <w:tcBorders>
              <w:top w:val="nil"/>
              <w:left w:val="none" w:sz="6" w:space="0" w:color="auto"/>
              <w:bottom w:val="single" w:sz="4" w:space="0" w:color="auto"/>
              <w:right w:val="nil"/>
            </w:tcBorders>
            <w:shd w:val="clear" w:color="auto" w:fill="auto"/>
            <w:vAlign w:val="center"/>
          </w:tcPr>
          <w:p w14:paraId="2C5997AB" w14:textId="5B87E604" w:rsidR="00CA254B" w:rsidRPr="009D5C97" w:rsidRDefault="00941A4D" w:rsidP="00940D64">
            <w:pPr>
              <w:autoSpaceDE w:val="0"/>
              <w:autoSpaceDN w:val="0"/>
              <w:adjustRightInd w:val="0"/>
              <w:spacing w:after="0" w:line="240" w:lineRule="auto"/>
              <w:rPr>
                <w:rFonts w:ascii="Arial" w:hAnsi="Arial" w:cs="Arial"/>
                <w:b/>
                <w:bCs/>
                <w:sz w:val="20"/>
                <w:szCs w:val="20"/>
                <w:lang w:val="en-GB"/>
              </w:rPr>
            </w:pPr>
            <w:r>
              <w:rPr>
                <w:b/>
                <w:bCs/>
              </w:rPr>
              <w:t>Output or outcomes</w:t>
            </w:r>
          </w:p>
        </w:tc>
      </w:tr>
      <w:tr w:rsidR="00ED400B" w:rsidRPr="007931C1" w14:paraId="56E4BC8D" w14:textId="77777777" w:rsidTr="00157301">
        <w:trPr>
          <w:trHeight w:val="2354"/>
        </w:trPr>
        <w:tc>
          <w:tcPr>
            <w:tcW w:w="2578" w:type="dxa"/>
            <w:tcBorders>
              <w:top w:val="single" w:sz="4" w:space="0" w:color="auto"/>
              <w:left w:val="nil"/>
              <w:bottom w:val="single" w:sz="4" w:space="0" w:color="auto"/>
              <w:right w:val="nil"/>
            </w:tcBorders>
            <w:shd w:val="clear" w:color="auto" w:fill="auto"/>
          </w:tcPr>
          <w:p w14:paraId="170DBC00" w14:textId="216840B2" w:rsidR="00ED400B" w:rsidRPr="002C4C03" w:rsidRDefault="00227022"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rPr>
              <w:br/>
            </w:r>
            <w:r w:rsidR="00ED400B" w:rsidRPr="0056007C">
              <w:rPr>
                <w:rFonts w:ascii="Arial" w:hAnsi="Arial" w:cs="Arial"/>
                <w:sz w:val="20"/>
                <w:szCs w:val="20"/>
              </w:rPr>
              <w:t>Duty holder transition</w:t>
            </w:r>
          </w:p>
        </w:tc>
        <w:tc>
          <w:tcPr>
            <w:tcW w:w="6946" w:type="dxa"/>
            <w:tcBorders>
              <w:top w:val="single" w:sz="4" w:space="0" w:color="auto"/>
              <w:left w:val="none" w:sz="6" w:space="0" w:color="auto"/>
              <w:bottom w:val="single" w:sz="4" w:space="0" w:color="auto"/>
              <w:right w:val="nil"/>
            </w:tcBorders>
            <w:shd w:val="clear" w:color="auto" w:fill="auto"/>
            <w:vAlign w:val="center"/>
          </w:tcPr>
          <w:p w14:paraId="787C57D2" w14:textId="13CD0758" w:rsidR="0056007C" w:rsidRDefault="0056007C" w:rsidP="006C4578">
            <w:pPr>
              <w:pStyle w:val="ListParagraph"/>
              <w:numPr>
                <w:ilvl w:val="0"/>
                <w:numId w:val="20"/>
              </w:numPr>
              <w:autoSpaceDE w:val="0"/>
              <w:autoSpaceDN w:val="0"/>
              <w:adjustRightInd w:val="0"/>
              <w:spacing w:after="0" w:line="240" w:lineRule="auto"/>
            </w:pPr>
            <w:r>
              <w:t>Develop and deliver plan for proactive engagement of priority stakeholders to monitor and manage transition issues (working with CCD, Waste and Recycling, and other relevant policy areas).</w:t>
            </w:r>
          </w:p>
          <w:p w14:paraId="5541F991" w14:textId="3912AA41" w:rsidR="0056007C" w:rsidRDefault="0056007C" w:rsidP="00F302C9">
            <w:pPr>
              <w:pStyle w:val="ListParagraph"/>
              <w:numPr>
                <w:ilvl w:val="0"/>
                <w:numId w:val="20"/>
              </w:numPr>
              <w:autoSpaceDE w:val="0"/>
              <w:autoSpaceDN w:val="0"/>
              <w:adjustRightInd w:val="0"/>
              <w:spacing w:after="0" w:line="240" w:lineRule="auto"/>
            </w:pPr>
            <w:r>
              <w:t>Proactively monitor and manage transition and readiness issues, in consultation with DELWP as appropriate.</w:t>
            </w:r>
          </w:p>
          <w:p w14:paraId="571B8C5D" w14:textId="5F100744" w:rsidR="00ED400B" w:rsidRPr="0056007C" w:rsidRDefault="0056007C" w:rsidP="00F302C9">
            <w:pPr>
              <w:pStyle w:val="ListParagraph"/>
              <w:numPr>
                <w:ilvl w:val="0"/>
                <w:numId w:val="20"/>
              </w:numPr>
              <w:autoSpaceDE w:val="0"/>
              <w:autoSpaceDN w:val="0"/>
              <w:adjustRightInd w:val="0"/>
              <w:spacing w:after="0" w:line="240" w:lineRule="auto"/>
              <w:rPr>
                <w:rFonts w:ascii="Arial" w:hAnsi="Arial" w:cs="Arial"/>
                <w:sz w:val="20"/>
                <w:szCs w:val="20"/>
                <w:lang w:val="en-GB"/>
              </w:rPr>
            </w:pPr>
            <w:r>
              <w:t>Develop and deliver readiness plan for provisions commencing 1 July 2022.</w:t>
            </w:r>
          </w:p>
        </w:tc>
      </w:tr>
      <w:tr w:rsidR="00ED400B" w:rsidRPr="007931C1" w14:paraId="75A6C37F" w14:textId="77777777" w:rsidTr="00157301">
        <w:trPr>
          <w:trHeight w:val="3615"/>
        </w:trPr>
        <w:tc>
          <w:tcPr>
            <w:tcW w:w="2578" w:type="dxa"/>
            <w:tcBorders>
              <w:top w:val="single" w:sz="4" w:space="0" w:color="auto"/>
              <w:left w:val="nil"/>
              <w:bottom w:val="single" w:sz="4" w:space="0" w:color="auto"/>
              <w:right w:val="nil"/>
            </w:tcBorders>
            <w:shd w:val="clear" w:color="auto" w:fill="auto"/>
          </w:tcPr>
          <w:p w14:paraId="602C4A0A" w14:textId="3786B412" w:rsidR="00ED400B" w:rsidRPr="002C4C03" w:rsidRDefault="00227022"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rPr>
              <w:br/>
            </w:r>
            <w:r w:rsidR="00ED400B" w:rsidRPr="0056007C">
              <w:rPr>
                <w:rFonts w:ascii="Arial" w:hAnsi="Arial" w:cs="Arial"/>
                <w:sz w:val="20"/>
                <w:szCs w:val="20"/>
              </w:rPr>
              <w:t>Finalising legislative reform</w:t>
            </w:r>
          </w:p>
        </w:tc>
        <w:tc>
          <w:tcPr>
            <w:tcW w:w="6946" w:type="dxa"/>
            <w:tcBorders>
              <w:top w:val="single" w:sz="4" w:space="0" w:color="auto"/>
              <w:left w:val="none" w:sz="6" w:space="0" w:color="auto"/>
              <w:bottom w:val="single" w:sz="4" w:space="0" w:color="auto"/>
              <w:right w:val="nil"/>
            </w:tcBorders>
            <w:shd w:val="clear" w:color="auto" w:fill="auto"/>
            <w:vAlign w:val="center"/>
          </w:tcPr>
          <w:p w14:paraId="1D70AF79" w14:textId="77777777" w:rsidR="0056007C" w:rsidRDefault="0056007C" w:rsidP="00F302C9">
            <w:pPr>
              <w:pStyle w:val="ListParagraph"/>
              <w:numPr>
                <w:ilvl w:val="0"/>
                <w:numId w:val="19"/>
              </w:numPr>
              <w:autoSpaceDE w:val="0"/>
              <w:autoSpaceDN w:val="0"/>
              <w:adjustRightInd w:val="0"/>
              <w:spacing w:after="0" w:line="240" w:lineRule="auto"/>
            </w:pPr>
            <w:r>
              <w:t xml:space="preserve">Develop a plan, in consultation with DELWP, for priority 2021-23 </w:t>
            </w:r>
          </w:p>
          <w:p w14:paraId="6ABD6EEC" w14:textId="5F98ED9C" w:rsidR="0056007C" w:rsidRDefault="0056007C" w:rsidP="00F302C9">
            <w:pPr>
              <w:pStyle w:val="ListParagraph"/>
              <w:autoSpaceDE w:val="0"/>
              <w:autoSpaceDN w:val="0"/>
              <w:adjustRightInd w:val="0"/>
              <w:spacing w:after="0" w:line="240" w:lineRule="auto"/>
            </w:pPr>
            <w:r>
              <w:t xml:space="preserve">legislative instrument delivery, such as determinations, designations, compliance codes, position statements and orders for managers of land and infrastructure. </w:t>
            </w:r>
          </w:p>
          <w:p w14:paraId="00555268" w14:textId="20B78245" w:rsidR="0056007C" w:rsidRDefault="0056007C" w:rsidP="00F302C9">
            <w:pPr>
              <w:pStyle w:val="ListParagraph"/>
              <w:numPr>
                <w:ilvl w:val="0"/>
                <w:numId w:val="19"/>
              </w:numPr>
              <w:autoSpaceDE w:val="0"/>
              <w:autoSpaceDN w:val="0"/>
              <w:adjustRightInd w:val="0"/>
              <w:spacing w:after="0" w:line="240" w:lineRule="auto"/>
            </w:pPr>
            <w:r>
              <w:t>Develop a plan, in consultation with DELWP, to operationalise priority tools available in the Act. The plan should include developing external communications and guidance for their use, and associated policies and procedures, for tools including but not limited to:</w:t>
            </w:r>
          </w:p>
          <w:p w14:paraId="3F05E8B3" w14:textId="77777777" w:rsidR="00F302C9" w:rsidRDefault="0056007C" w:rsidP="00F302C9">
            <w:pPr>
              <w:pStyle w:val="ListParagraph"/>
              <w:numPr>
                <w:ilvl w:val="1"/>
                <w:numId w:val="19"/>
              </w:numPr>
              <w:autoSpaceDE w:val="0"/>
              <w:autoSpaceDN w:val="0"/>
              <w:adjustRightInd w:val="0"/>
              <w:spacing w:after="0" w:line="240" w:lineRule="auto"/>
            </w:pPr>
            <w:r>
              <w:t>site management orders</w:t>
            </w:r>
          </w:p>
          <w:p w14:paraId="589DC1CC" w14:textId="77777777" w:rsidR="00F302C9" w:rsidRDefault="0056007C" w:rsidP="00F302C9">
            <w:pPr>
              <w:pStyle w:val="ListParagraph"/>
              <w:numPr>
                <w:ilvl w:val="1"/>
                <w:numId w:val="19"/>
              </w:numPr>
              <w:autoSpaceDE w:val="0"/>
              <w:autoSpaceDN w:val="0"/>
              <w:adjustRightInd w:val="0"/>
              <w:spacing w:after="0" w:line="240" w:lineRule="auto"/>
            </w:pPr>
            <w:r>
              <w:t>better environment plans</w:t>
            </w:r>
          </w:p>
          <w:p w14:paraId="7FE4553B" w14:textId="48C2149E" w:rsidR="00ED400B" w:rsidRPr="00F302C9" w:rsidRDefault="0056007C" w:rsidP="00F302C9">
            <w:pPr>
              <w:pStyle w:val="ListParagraph"/>
              <w:numPr>
                <w:ilvl w:val="1"/>
                <w:numId w:val="19"/>
              </w:numPr>
              <w:autoSpaceDE w:val="0"/>
              <w:autoSpaceDN w:val="0"/>
              <w:adjustRightInd w:val="0"/>
              <w:spacing w:after="0" w:line="240" w:lineRule="auto"/>
            </w:pPr>
            <w:r>
              <w:t>expanded financial assurance to contaminated land.</w:t>
            </w:r>
          </w:p>
        </w:tc>
      </w:tr>
      <w:tr w:rsidR="00ED400B" w:rsidRPr="007931C1" w14:paraId="1F4ECD8C" w14:textId="77777777" w:rsidTr="00157301">
        <w:trPr>
          <w:trHeight w:val="2857"/>
        </w:trPr>
        <w:tc>
          <w:tcPr>
            <w:tcW w:w="2578" w:type="dxa"/>
            <w:tcBorders>
              <w:top w:val="single" w:sz="4" w:space="0" w:color="auto"/>
              <w:left w:val="nil"/>
              <w:bottom w:val="single" w:sz="4" w:space="0" w:color="auto"/>
              <w:right w:val="nil"/>
            </w:tcBorders>
            <w:shd w:val="clear" w:color="auto" w:fill="auto"/>
          </w:tcPr>
          <w:p w14:paraId="328AD614" w14:textId="3B433CC4" w:rsidR="00ED400B" w:rsidRPr="002C4C03" w:rsidRDefault="008F5B4F"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rPr>
              <w:lastRenderedPageBreak/>
              <w:br/>
            </w:r>
            <w:r w:rsidR="00ED400B" w:rsidRPr="0056007C">
              <w:rPr>
                <w:rFonts w:ascii="Arial" w:hAnsi="Arial" w:cs="Arial"/>
                <w:sz w:val="20"/>
                <w:szCs w:val="20"/>
              </w:rPr>
              <w:t>Strategic planning, reporting and budget</w:t>
            </w:r>
          </w:p>
        </w:tc>
        <w:tc>
          <w:tcPr>
            <w:tcW w:w="6946" w:type="dxa"/>
            <w:tcBorders>
              <w:top w:val="single" w:sz="4" w:space="0" w:color="auto"/>
              <w:left w:val="none" w:sz="6" w:space="0" w:color="auto"/>
              <w:bottom w:val="single" w:sz="4" w:space="0" w:color="auto"/>
              <w:right w:val="nil"/>
            </w:tcBorders>
            <w:shd w:val="clear" w:color="auto" w:fill="auto"/>
            <w:vAlign w:val="center"/>
          </w:tcPr>
          <w:p w14:paraId="1EB6184E" w14:textId="77777777" w:rsidR="006C4578" w:rsidRDefault="006C4578" w:rsidP="006C4578">
            <w:pPr>
              <w:pStyle w:val="ListParagraph"/>
              <w:numPr>
                <w:ilvl w:val="0"/>
                <w:numId w:val="21"/>
              </w:numPr>
              <w:autoSpaceDE w:val="0"/>
              <w:autoSpaceDN w:val="0"/>
              <w:adjustRightInd w:val="0"/>
              <w:spacing w:after="0" w:line="240" w:lineRule="auto"/>
            </w:pPr>
            <w:r>
              <w:t xml:space="preserve">Outline plan for development and delivery of the new 5-year organisation strategy, including engagement with Minister, DELWP. </w:t>
            </w:r>
          </w:p>
          <w:p w14:paraId="4ACF3D14" w14:textId="42590DC8" w:rsidR="006C4578" w:rsidRDefault="006C4578" w:rsidP="006C4578">
            <w:pPr>
              <w:pStyle w:val="ListParagraph"/>
              <w:numPr>
                <w:ilvl w:val="0"/>
                <w:numId w:val="21"/>
              </w:numPr>
              <w:autoSpaceDE w:val="0"/>
              <w:autoSpaceDN w:val="0"/>
              <w:adjustRightInd w:val="0"/>
              <w:spacing w:after="0" w:line="240" w:lineRule="auto"/>
            </w:pPr>
            <w:r>
              <w:t>In consultation with DELWP deliver a balanced budget aligned to the new 5-year organisation strategy.</w:t>
            </w:r>
          </w:p>
          <w:p w14:paraId="0B6712D1" w14:textId="358194D9" w:rsidR="006C4578" w:rsidRDefault="006C4578" w:rsidP="006C4578">
            <w:pPr>
              <w:pStyle w:val="ListParagraph"/>
              <w:numPr>
                <w:ilvl w:val="0"/>
                <w:numId w:val="21"/>
              </w:numPr>
              <w:autoSpaceDE w:val="0"/>
              <w:autoSpaceDN w:val="0"/>
              <w:adjustRightInd w:val="0"/>
              <w:spacing w:after="0" w:line="240" w:lineRule="auto"/>
            </w:pPr>
            <w:r>
              <w:t>Engage with Minister, DELWP and other key stakeholders in development of strategy for July 2022.</w:t>
            </w:r>
          </w:p>
          <w:p w14:paraId="1EFB072B" w14:textId="642255C3" w:rsidR="00ED400B" w:rsidRPr="006C4578" w:rsidRDefault="006C4578" w:rsidP="006C4578">
            <w:pPr>
              <w:pStyle w:val="ListParagraph"/>
              <w:numPr>
                <w:ilvl w:val="0"/>
                <w:numId w:val="21"/>
              </w:numPr>
              <w:autoSpaceDE w:val="0"/>
              <w:autoSpaceDN w:val="0"/>
              <w:adjustRightInd w:val="0"/>
              <w:spacing w:after="0" w:line="240" w:lineRule="auto"/>
            </w:pPr>
            <w:r>
              <w:t>Deliver strategy and engage in accordance with annual budget and planning cycle.</w:t>
            </w:r>
          </w:p>
        </w:tc>
      </w:tr>
      <w:tr w:rsidR="00ED400B" w:rsidRPr="007931C1" w14:paraId="6CF6C21F" w14:textId="77777777" w:rsidTr="00157301">
        <w:trPr>
          <w:trHeight w:val="1811"/>
        </w:trPr>
        <w:tc>
          <w:tcPr>
            <w:tcW w:w="2578" w:type="dxa"/>
            <w:tcBorders>
              <w:top w:val="single" w:sz="4" w:space="0" w:color="auto"/>
              <w:left w:val="nil"/>
              <w:bottom w:val="single" w:sz="4" w:space="0" w:color="auto"/>
              <w:right w:val="nil"/>
            </w:tcBorders>
            <w:shd w:val="clear" w:color="auto" w:fill="auto"/>
          </w:tcPr>
          <w:p w14:paraId="2D302DEE" w14:textId="252B4B1A" w:rsidR="00ED400B" w:rsidRPr="002C4C03"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rPr>
              <w:t>Risk management</w:t>
            </w:r>
          </w:p>
        </w:tc>
        <w:tc>
          <w:tcPr>
            <w:tcW w:w="6946" w:type="dxa"/>
            <w:tcBorders>
              <w:top w:val="single" w:sz="4" w:space="0" w:color="auto"/>
              <w:left w:val="none" w:sz="6" w:space="0" w:color="auto"/>
              <w:bottom w:val="single" w:sz="4" w:space="0" w:color="auto"/>
              <w:right w:val="nil"/>
            </w:tcBorders>
            <w:shd w:val="clear" w:color="auto" w:fill="auto"/>
            <w:vAlign w:val="center"/>
          </w:tcPr>
          <w:p w14:paraId="5076E484" w14:textId="326A0AC4" w:rsidR="00164209" w:rsidRDefault="00164209" w:rsidP="00164209">
            <w:pPr>
              <w:pStyle w:val="ListParagraph"/>
              <w:numPr>
                <w:ilvl w:val="0"/>
                <w:numId w:val="21"/>
              </w:numPr>
              <w:autoSpaceDE w:val="0"/>
              <w:autoSpaceDN w:val="0"/>
              <w:adjustRightInd w:val="0"/>
              <w:spacing w:after="0" w:line="240" w:lineRule="auto"/>
            </w:pPr>
            <w:r>
              <w:t>Work with DELWP to resolve, and document risk governance arrangements (including risk appetite statement / shared risks / material operational risks etc.).</w:t>
            </w:r>
          </w:p>
          <w:p w14:paraId="4D0C53C6" w14:textId="16960722" w:rsidR="00ED400B" w:rsidRPr="00164209" w:rsidRDefault="00164209" w:rsidP="00164209">
            <w:pPr>
              <w:pStyle w:val="ListParagraph"/>
              <w:numPr>
                <w:ilvl w:val="0"/>
                <w:numId w:val="21"/>
              </w:numPr>
              <w:autoSpaceDE w:val="0"/>
              <w:autoSpaceDN w:val="0"/>
              <w:adjustRightInd w:val="0"/>
              <w:spacing w:after="0" w:line="240" w:lineRule="auto"/>
            </w:pPr>
            <w:r>
              <w:t>Implement agreed risk governance arrangements through relationship program.</w:t>
            </w:r>
          </w:p>
        </w:tc>
      </w:tr>
      <w:tr w:rsidR="00ED400B" w:rsidRPr="007931C1" w14:paraId="17B0CC96" w14:textId="77777777" w:rsidTr="00157301">
        <w:trPr>
          <w:trHeight w:val="3979"/>
        </w:trPr>
        <w:tc>
          <w:tcPr>
            <w:tcW w:w="2578" w:type="dxa"/>
            <w:tcBorders>
              <w:top w:val="single" w:sz="4" w:space="0" w:color="auto"/>
              <w:left w:val="nil"/>
              <w:bottom w:val="single" w:sz="4" w:space="0" w:color="auto"/>
              <w:right w:val="nil"/>
            </w:tcBorders>
            <w:shd w:val="clear" w:color="auto" w:fill="auto"/>
          </w:tcPr>
          <w:p w14:paraId="51820E61" w14:textId="575438B7" w:rsidR="00ED400B" w:rsidRPr="002C4C03" w:rsidRDefault="00CB56C4" w:rsidP="00ED400B">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00ED400B" w:rsidRPr="0056007C">
              <w:rPr>
                <w:rFonts w:ascii="Arial" w:hAnsi="Arial" w:cs="Arial"/>
                <w:sz w:val="20"/>
                <w:szCs w:val="20"/>
              </w:rPr>
              <w:t>Capability and culture transformation</w:t>
            </w:r>
          </w:p>
        </w:tc>
        <w:tc>
          <w:tcPr>
            <w:tcW w:w="6946" w:type="dxa"/>
            <w:tcBorders>
              <w:top w:val="single" w:sz="4" w:space="0" w:color="auto"/>
              <w:left w:val="none" w:sz="6" w:space="0" w:color="auto"/>
              <w:bottom w:val="single" w:sz="4" w:space="0" w:color="auto"/>
              <w:right w:val="nil"/>
            </w:tcBorders>
            <w:shd w:val="clear" w:color="auto" w:fill="auto"/>
            <w:vAlign w:val="center"/>
          </w:tcPr>
          <w:p w14:paraId="084668F6" w14:textId="5B1A9D5D" w:rsidR="00A06A19" w:rsidRDefault="00A06A19" w:rsidP="00A06A19">
            <w:pPr>
              <w:pStyle w:val="ListParagraph"/>
              <w:numPr>
                <w:ilvl w:val="0"/>
                <w:numId w:val="22"/>
              </w:numPr>
              <w:autoSpaceDE w:val="0"/>
              <w:autoSpaceDN w:val="0"/>
              <w:adjustRightInd w:val="0"/>
              <w:spacing w:after="0" w:line="240" w:lineRule="auto"/>
            </w:pPr>
            <w:r>
              <w:t xml:space="preserve">Engage Minister and DELWP on action to maintain and develop regulatory capability through the legislative transition to 30 June 2022 </w:t>
            </w:r>
          </w:p>
          <w:p w14:paraId="78588959" w14:textId="77777777" w:rsidR="00A84A15" w:rsidRPr="00A84A15" w:rsidRDefault="00A06A19" w:rsidP="00A84A15">
            <w:pPr>
              <w:pStyle w:val="ListParagraph"/>
              <w:numPr>
                <w:ilvl w:val="0"/>
                <w:numId w:val="22"/>
              </w:numPr>
              <w:autoSpaceDE w:val="0"/>
              <w:autoSpaceDN w:val="0"/>
              <w:adjustRightInd w:val="0"/>
              <w:spacing w:after="0" w:line="240" w:lineRule="auto"/>
              <w:rPr>
                <w:rFonts w:ascii="Arial" w:hAnsi="Arial" w:cs="Arial"/>
                <w:sz w:val="20"/>
                <w:szCs w:val="20"/>
                <w:lang w:val="en-GB"/>
              </w:rPr>
            </w:pPr>
            <w:r>
              <w:t>Resolve a plan that outlines multi-year priorities for regulatory capability and culture transformation – the Board’s plan should include:</w:t>
            </w:r>
          </w:p>
          <w:p w14:paraId="08A95C8A" w14:textId="2AC7B763" w:rsidR="00A84A15" w:rsidRPr="00A84A15" w:rsidRDefault="00A84A15" w:rsidP="00584641">
            <w:pPr>
              <w:pStyle w:val="ListParagraph"/>
              <w:numPr>
                <w:ilvl w:val="0"/>
                <w:numId w:val="22"/>
              </w:numPr>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 xml:space="preserve">Initiatives to improve internal knowledge and advice relating </w:t>
            </w:r>
          </w:p>
          <w:p w14:paraId="644FD28D" w14:textId="77777777" w:rsidR="00A84A15" w:rsidRPr="00A84A15" w:rsidRDefault="00A84A15" w:rsidP="00584641">
            <w:pPr>
              <w:pStyle w:val="ListParagraph"/>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to the General Environmental Duty.</w:t>
            </w:r>
          </w:p>
          <w:p w14:paraId="5DF366C7" w14:textId="774426EC" w:rsidR="00A84A15" w:rsidRPr="00A84A15" w:rsidRDefault="00A84A15" w:rsidP="00584641">
            <w:pPr>
              <w:pStyle w:val="ListParagraph"/>
              <w:numPr>
                <w:ilvl w:val="0"/>
                <w:numId w:val="23"/>
              </w:numPr>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 xml:space="preserve">Engagement with partner organisations to improve knowledge </w:t>
            </w:r>
          </w:p>
          <w:p w14:paraId="654D62CE" w14:textId="7131F6B5" w:rsidR="00A84A15" w:rsidRPr="00A84A15" w:rsidRDefault="00A84A15" w:rsidP="00584641">
            <w:pPr>
              <w:pStyle w:val="ListParagraph"/>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and advice relating to the General Environment Duty.</w:t>
            </w:r>
          </w:p>
          <w:p w14:paraId="4F2B13CC" w14:textId="77777777" w:rsidR="005A0BF6" w:rsidRDefault="00A84A15" w:rsidP="00584641">
            <w:pPr>
              <w:pStyle w:val="ListParagraph"/>
              <w:numPr>
                <w:ilvl w:val="0"/>
                <w:numId w:val="23"/>
              </w:numPr>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To consolidate and improve EPA’s risk culture, and ensure it is</w:t>
            </w:r>
            <w:r>
              <w:rPr>
                <w:rFonts w:ascii="Arial" w:hAnsi="Arial" w:cs="Arial"/>
                <w:sz w:val="20"/>
                <w:szCs w:val="20"/>
                <w:lang w:val="en-GB"/>
              </w:rPr>
              <w:t xml:space="preserve"> </w:t>
            </w:r>
            <w:r w:rsidRPr="00A84A15">
              <w:rPr>
                <w:rFonts w:ascii="Arial" w:hAnsi="Arial" w:cs="Arial"/>
                <w:sz w:val="20"/>
                <w:szCs w:val="20"/>
                <w:lang w:val="en-GB"/>
              </w:rPr>
              <w:t>applied consistently, in line with expectations of government and the community.</w:t>
            </w:r>
          </w:p>
          <w:p w14:paraId="7C4FAD1B" w14:textId="108F307C" w:rsidR="00CB56C4" w:rsidRPr="00A84A15" w:rsidRDefault="00CB56C4" w:rsidP="00CB56C4">
            <w:pPr>
              <w:pStyle w:val="ListParagraph"/>
              <w:numPr>
                <w:ilvl w:val="0"/>
                <w:numId w:val="23"/>
              </w:numPr>
              <w:autoSpaceDE w:val="0"/>
              <w:autoSpaceDN w:val="0"/>
              <w:adjustRightInd w:val="0"/>
              <w:spacing w:after="0" w:line="240" w:lineRule="auto"/>
              <w:ind w:left="357" w:hanging="357"/>
              <w:rPr>
                <w:rFonts w:ascii="Arial" w:hAnsi="Arial" w:cs="Arial"/>
                <w:sz w:val="20"/>
                <w:szCs w:val="20"/>
                <w:lang w:val="en-GB"/>
              </w:rPr>
            </w:pPr>
            <w:r w:rsidRPr="00CB56C4">
              <w:rPr>
                <w:rFonts w:ascii="Arial" w:hAnsi="Arial" w:cs="Arial"/>
                <w:sz w:val="20"/>
                <w:szCs w:val="20"/>
                <w:lang w:val="en-GB"/>
              </w:rPr>
              <w:t>Board oversight of regulatory capability and culture transformation</w:t>
            </w:r>
          </w:p>
        </w:tc>
      </w:tr>
      <w:tr w:rsidR="00ED400B" w:rsidRPr="007931C1" w14:paraId="73BFD0A6" w14:textId="77777777" w:rsidTr="00157301">
        <w:trPr>
          <w:trHeight w:val="2577"/>
        </w:trPr>
        <w:tc>
          <w:tcPr>
            <w:tcW w:w="2578" w:type="dxa"/>
            <w:tcBorders>
              <w:top w:val="single" w:sz="4" w:space="0" w:color="auto"/>
              <w:left w:val="nil"/>
              <w:bottom w:val="single" w:sz="4" w:space="0" w:color="auto"/>
              <w:right w:val="nil"/>
            </w:tcBorders>
            <w:shd w:val="clear" w:color="auto" w:fill="auto"/>
          </w:tcPr>
          <w:p w14:paraId="295D51A4" w14:textId="7388535A" w:rsidR="00ED400B" w:rsidRPr="0056007C" w:rsidRDefault="007219FA"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br/>
            </w:r>
            <w:r w:rsidR="00ED400B" w:rsidRPr="0056007C">
              <w:rPr>
                <w:rFonts w:ascii="Arial" w:hAnsi="Arial" w:cs="Arial"/>
                <w:sz w:val="20"/>
                <w:szCs w:val="20"/>
                <w:lang w:val="en-GB"/>
              </w:rPr>
              <w:t>Portfolio support</w:t>
            </w:r>
          </w:p>
          <w:p w14:paraId="07609ABF" w14:textId="7C11C07D" w:rsidR="00ED400B" w:rsidRPr="0056007C"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lang w:val="en-GB"/>
              </w:rPr>
              <w:t>and oversight</w:t>
            </w:r>
          </w:p>
        </w:tc>
        <w:tc>
          <w:tcPr>
            <w:tcW w:w="6946" w:type="dxa"/>
            <w:tcBorders>
              <w:top w:val="single" w:sz="4" w:space="0" w:color="auto"/>
              <w:left w:val="none" w:sz="6" w:space="0" w:color="auto"/>
              <w:bottom w:val="single" w:sz="4" w:space="0" w:color="auto"/>
              <w:right w:val="nil"/>
            </w:tcBorders>
            <w:shd w:val="clear" w:color="auto" w:fill="auto"/>
            <w:vAlign w:val="center"/>
          </w:tcPr>
          <w:p w14:paraId="72112704" w14:textId="7482C51D" w:rsidR="009F2493" w:rsidRDefault="009F2493" w:rsidP="003E1B57">
            <w:pPr>
              <w:pStyle w:val="ListParagraph"/>
              <w:numPr>
                <w:ilvl w:val="0"/>
                <w:numId w:val="25"/>
              </w:numPr>
              <w:autoSpaceDE w:val="0"/>
              <w:autoSpaceDN w:val="0"/>
              <w:adjustRightInd w:val="0"/>
              <w:spacing w:after="0" w:line="240" w:lineRule="auto"/>
            </w:pPr>
            <w:r>
              <w:t>Relationship managers to review and document portfolio relationship arrangements. I expect these to include:</w:t>
            </w:r>
          </w:p>
          <w:p w14:paraId="1712BF43" w14:textId="4BA95D90" w:rsidR="009F2493" w:rsidRDefault="009F2493" w:rsidP="007219FA">
            <w:pPr>
              <w:pStyle w:val="ListParagraph"/>
              <w:numPr>
                <w:ilvl w:val="0"/>
                <w:numId w:val="25"/>
              </w:numPr>
              <w:autoSpaceDE w:val="0"/>
              <w:autoSpaceDN w:val="0"/>
              <w:adjustRightInd w:val="0"/>
              <w:spacing w:after="0" w:line="240" w:lineRule="auto"/>
              <w:ind w:left="1208" w:hanging="357"/>
            </w:pPr>
            <w:r>
              <w:t>Quarterly oversight discussions for monitoring delivery against this SOE and risk management plans above.</w:t>
            </w:r>
          </w:p>
          <w:p w14:paraId="45403C17" w14:textId="5D1134B3" w:rsidR="009F2493" w:rsidRDefault="009F2493" w:rsidP="007219FA">
            <w:pPr>
              <w:pStyle w:val="ListParagraph"/>
              <w:numPr>
                <w:ilvl w:val="0"/>
                <w:numId w:val="25"/>
              </w:numPr>
              <w:autoSpaceDE w:val="0"/>
              <w:autoSpaceDN w:val="0"/>
              <w:adjustRightInd w:val="0"/>
              <w:spacing w:after="0" w:line="240" w:lineRule="auto"/>
              <w:ind w:left="1208" w:hanging="357"/>
            </w:pPr>
            <w:r>
              <w:t>Regular oversight discussions to monitor and manage emerging risk and issues as frequently as required.</w:t>
            </w:r>
          </w:p>
          <w:p w14:paraId="203D890F" w14:textId="1A624688" w:rsidR="00ED400B" w:rsidRPr="00B02738" w:rsidRDefault="009F2493" w:rsidP="003E1B57">
            <w:pPr>
              <w:pStyle w:val="ListParagraph"/>
              <w:numPr>
                <w:ilvl w:val="0"/>
                <w:numId w:val="25"/>
              </w:numPr>
              <w:autoSpaceDE w:val="0"/>
              <w:autoSpaceDN w:val="0"/>
              <w:adjustRightInd w:val="0"/>
              <w:spacing w:after="0" w:line="240" w:lineRule="auto"/>
            </w:pPr>
            <w:r>
              <w:t>Relationship managers agree responsibility assignment for relevant instruments and other outputs.</w:t>
            </w:r>
          </w:p>
        </w:tc>
      </w:tr>
      <w:tr w:rsidR="00ED400B" w:rsidRPr="007931C1" w14:paraId="7A4F71F4" w14:textId="77777777" w:rsidTr="00157301">
        <w:trPr>
          <w:trHeight w:val="2617"/>
        </w:trPr>
        <w:tc>
          <w:tcPr>
            <w:tcW w:w="2578" w:type="dxa"/>
            <w:tcBorders>
              <w:top w:val="single" w:sz="4" w:space="0" w:color="auto"/>
              <w:left w:val="nil"/>
              <w:bottom w:val="nil"/>
              <w:right w:val="nil"/>
            </w:tcBorders>
            <w:shd w:val="clear" w:color="auto" w:fill="auto"/>
          </w:tcPr>
          <w:p w14:paraId="1BD3102E" w14:textId="7E41F30B" w:rsidR="00ED400B" w:rsidRPr="0056007C" w:rsidRDefault="00157301"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br/>
            </w:r>
            <w:r w:rsidR="00ED400B" w:rsidRPr="0056007C">
              <w:rPr>
                <w:rFonts w:ascii="Arial" w:hAnsi="Arial" w:cs="Arial"/>
                <w:sz w:val="20"/>
                <w:szCs w:val="20"/>
                <w:lang w:val="en-GB"/>
              </w:rPr>
              <w:t>Monitoring</w:t>
            </w:r>
          </w:p>
          <w:p w14:paraId="0B206B0A" w14:textId="77777777" w:rsidR="00ED400B" w:rsidRPr="0056007C"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lang w:val="en-GB"/>
              </w:rPr>
              <w:t>framework</w:t>
            </w:r>
          </w:p>
          <w:p w14:paraId="20B46618" w14:textId="75B70631" w:rsidR="00ED400B" w:rsidRPr="0056007C"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lang w:val="en-GB"/>
              </w:rPr>
              <w:t>performance</w:t>
            </w:r>
          </w:p>
        </w:tc>
        <w:tc>
          <w:tcPr>
            <w:tcW w:w="6946" w:type="dxa"/>
            <w:tcBorders>
              <w:top w:val="single" w:sz="4" w:space="0" w:color="auto"/>
              <w:left w:val="none" w:sz="6" w:space="0" w:color="auto"/>
              <w:bottom w:val="nil"/>
              <w:right w:val="nil"/>
            </w:tcBorders>
            <w:shd w:val="clear" w:color="auto" w:fill="auto"/>
            <w:vAlign w:val="center"/>
          </w:tcPr>
          <w:p w14:paraId="4BDF14FB" w14:textId="151AAE38" w:rsidR="007219FA" w:rsidRDefault="007219FA" w:rsidP="001A7D2F">
            <w:pPr>
              <w:pStyle w:val="ListParagraph"/>
              <w:numPr>
                <w:ilvl w:val="0"/>
                <w:numId w:val="26"/>
              </w:numPr>
              <w:autoSpaceDE w:val="0"/>
              <w:autoSpaceDN w:val="0"/>
              <w:adjustRightInd w:val="0"/>
              <w:spacing w:after="0" w:line="240" w:lineRule="auto"/>
            </w:pPr>
            <w:r>
              <w:t>Resolve a monitoring, evaluation, reporting and improvements (MERI) framework in consultation with DELWP, including the use and effectiveness of key new tools and functions.</w:t>
            </w:r>
          </w:p>
          <w:p w14:paraId="0E703701" w14:textId="77777777" w:rsidR="007219FA" w:rsidRDefault="007219FA" w:rsidP="007219FA">
            <w:pPr>
              <w:pStyle w:val="ListParagraph"/>
              <w:numPr>
                <w:ilvl w:val="0"/>
                <w:numId w:val="26"/>
              </w:numPr>
              <w:autoSpaceDE w:val="0"/>
              <w:autoSpaceDN w:val="0"/>
              <w:adjustRightInd w:val="0"/>
              <w:spacing w:after="0" w:line="240" w:lineRule="auto"/>
            </w:pPr>
            <w:r>
              <w:t>Monitor and evaluate framework performance, implement improvements.</w:t>
            </w:r>
          </w:p>
          <w:p w14:paraId="55535E24" w14:textId="5C9634CA" w:rsidR="00ED400B" w:rsidRPr="001A7D2F" w:rsidRDefault="007219FA" w:rsidP="001A7D2F">
            <w:pPr>
              <w:pStyle w:val="ListParagraph"/>
              <w:numPr>
                <w:ilvl w:val="0"/>
                <w:numId w:val="26"/>
              </w:numPr>
              <w:autoSpaceDE w:val="0"/>
              <w:autoSpaceDN w:val="0"/>
              <w:adjustRightInd w:val="0"/>
              <w:spacing w:after="0" w:line="240" w:lineRule="auto"/>
            </w:pPr>
            <w:r>
              <w:t>Work with DELWP to deliver a ‘horizon scanning’ approach for emerging environment and pollution issues, bringing EPA’s science and data as an evidence base.</w:t>
            </w:r>
          </w:p>
        </w:tc>
      </w:tr>
    </w:tbl>
    <w:p w14:paraId="0CA1294E" w14:textId="77777777" w:rsidR="0056007C" w:rsidRDefault="0056007C" w:rsidP="009B04C5">
      <w:pPr>
        <w:spacing w:before="210" w:after="210" w:line="240" w:lineRule="auto"/>
        <w:rPr>
          <w:rFonts w:ascii="Arial" w:eastAsia="Times New Roman" w:hAnsi="Arial" w:cs="Arial"/>
          <w:color w:val="333333"/>
          <w:sz w:val="20"/>
          <w:szCs w:val="20"/>
          <w:lang w:eastAsia="en-AU"/>
        </w:rPr>
      </w:pPr>
    </w:p>
    <w:p w14:paraId="58E29CAC" w14:textId="7EE786CC" w:rsidR="0054447E" w:rsidRDefault="0054447E" w:rsidP="008F5B4F">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br w:type="page"/>
      </w:r>
      <w:r w:rsidRPr="009B04C5">
        <w:rPr>
          <w:rFonts w:ascii="Arial" w:eastAsia="Times New Roman" w:hAnsi="Arial" w:cs="Arial"/>
          <w:b/>
          <w:bCs/>
          <w:color w:val="111111"/>
          <w:sz w:val="42"/>
          <w:szCs w:val="42"/>
          <w:lang w:eastAsia="en-AU"/>
        </w:rPr>
        <w:lastRenderedPageBreak/>
        <w:t xml:space="preserve">Appendix </w:t>
      </w:r>
      <w:proofErr w:type="gramStart"/>
      <w:r w:rsidRPr="009B04C5">
        <w:rPr>
          <w:rFonts w:ascii="Arial" w:eastAsia="Times New Roman" w:hAnsi="Arial" w:cs="Arial"/>
          <w:b/>
          <w:bCs/>
          <w:color w:val="111111"/>
          <w:sz w:val="42"/>
          <w:szCs w:val="42"/>
          <w:lang w:eastAsia="en-AU"/>
        </w:rPr>
        <w:t>2  /</w:t>
      </w:r>
      <w:proofErr w:type="gramEnd"/>
      <w:r w:rsidRPr="009B04C5">
        <w:rPr>
          <w:rFonts w:ascii="Arial" w:eastAsia="Times New Roman" w:hAnsi="Arial" w:cs="Arial"/>
          <w:b/>
          <w:bCs/>
          <w:color w:val="111111"/>
          <w:sz w:val="42"/>
          <w:szCs w:val="42"/>
          <w:lang w:eastAsia="en-AU"/>
        </w:rPr>
        <w:t xml:space="preserve">  Minister’s Statement of Expectations</w:t>
      </w:r>
      <w:r>
        <w:rPr>
          <w:rFonts w:ascii="Arial" w:eastAsia="Times New Roman" w:hAnsi="Arial" w:cs="Arial"/>
          <w:b/>
          <w:bCs/>
          <w:color w:val="111111"/>
          <w:sz w:val="42"/>
          <w:szCs w:val="42"/>
          <w:lang w:eastAsia="en-AU"/>
        </w:rPr>
        <w:t xml:space="preserve"> </w:t>
      </w:r>
      <w:r w:rsidRPr="009B04C5">
        <w:rPr>
          <w:rFonts w:ascii="Arial" w:eastAsia="Times New Roman" w:hAnsi="Arial" w:cs="Arial"/>
          <w:b/>
          <w:bCs/>
          <w:color w:val="111111"/>
          <w:sz w:val="42"/>
          <w:szCs w:val="42"/>
          <w:lang w:eastAsia="en-AU"/>
        </w:rPr>
        <w:t xml:space="preserve">2022-27 summary </w:t>
      </w:r>
    </w:p>
    <w:p w14:paraId="22549671" w14:textId="77777777" w:rsidR="00F30E9B" w:rsidRDefault="00F30E9B" w:rsidP="00A1428B">
      <w:pPr>
        <w:spacing w:before="210" w:after="210" w:line="240" w:lineRule="auto"/>
        <w:rPr>
          <w:rFonts w:ascii="Arial" w:eastAsia="Times New Roman" w:hAnsi="Arial" w:cs="Arial"/>
          <w:color w:val="333333"/>
          <w:sz w:val="20"/>
          <w:szCs w:val="20"/>
          <w:lang w:eastAsia="en-AU"/>
        </w:rPr>
      </w:pPr>
    </w:p>
    <w:tbl>
      <w:tblPr>
        <w:tblStyle w:val="TableGrid"/>
        <w:tblW w:w="0" w:type="auto"/>
        <w:tblLook w:val="04A0" w:firstRow="1" w:lastRow="0" w:firstColumn="1" w:lastColumn="0" w:noHBand="0" w:noVBand="1"/>
      </w:tblPr>
      <w:tblGrid>
        <w:gridCol w:w="2254"/>
        <w:gridCol w:w="2254"/>
        <w:gridCol w:w="2254"/>
        <w:gridCol w:w="2254"/>
      </w:tblGrid>
      <w:tr w:rsidR="00F90FC5" w:rsidRPr="00F90FC5" w14:paraId="439A458F" w14:textId="77777777" w:rsidTr="0035550D">
        <w:tc>
          <w:tcPr>
            <w:tcW w:w="2254" w:type="dxa"/>
          </w:tcPr>
          <w:p w14:paraId="3E71ECFC" w14:textId="062628E0"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Program</w:t>
            </w:r>
          </w:p>
        </w:tc>
        <w:tc>
          <w:tcPr>
            <w:tcW w:w="2254" w:type="dxa"/>
          </w:tcPr>
          <w:p w14:paraId="339D5497" w14:textId="3043FC5C"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Outcomes</w:t>
            </w:r>
          </w:p>
        </w:tc>
        <w:tc>
          <w:tcPr>
            <w:tcW w:w="2254" w:type="dxa"/>
          </w:tcPr>
          <w:p w14:paraId="35C304EA" w14:textId="01BF21E4"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Key deliverables</w:t>
            </w:r>
          </w:p>
        </w:tc>
        <w:tc>
          <w:tcPr>
            <w:tcW w:w="2254" w:type="dxa"/>
          </w:tcPr>
          <w:p w14:paraId="15A0599B" w14:textId="06989282"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Expectations</w:t>
            </w:r>
          </w:p>
        </w:tc>
      </w:tr>
      <w:tr w:rsidR="004F07F2" w14:paraId="209FF07F" w14:textId="77777777" w:rsidTr="00D46514">
        <w:tc>
          <w:tcPr>
            <w:tcW w:w="2254" w:type="dxa"/>
          </w:tcPr>
          <w:p w14:paraId="106B45E9" w14:textId="1BC151B8"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Illegal waste disposal</w:t>
            </w:r>
          </w:p>
        </w:tc>
        <w:tc>
          <w:tcPr>
            <w:tcW w:w="2254" w:type="dxa"/>
          </w:tcPr>
          <w:p w14:paraId="7E65AFA4" w14:textId="3A95E17F"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Reduced environmental impact or harm from mismanagement of waste through stockpiling for long periods or illegal disposal of waste.</w:t>
            </w:r>
          </w:p>
        </w:tc>
        <w:tc>
          <w:tcPr>
            <w:tcW w:w="2254" w:type="dxa"/>
          </w:tcPr>
          <w:p w14:paraId="1AED6291" w14:textId="4117C5BA"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Establish the compliance team by 2020-21.</w:t>
            </w:r>
          </w:p>
          <w:p w14:paraId="1E102908" w14:textId="480946D0"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Business as usual compliance operations in place by 2021-22.</w:t>
            </w:r>
          </w:p>
        </w:tc>
        <w:tc>
          <w:tcPr>
            <w:tcW w:w="2254" w:type="dxa"/>
          </w:tcPr>
          <w:p w14:paraId="6D02D485" w14:textId="7E5AECB2"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will build on existing work to address illegal dumping impacts, targeted at large scale.</w:t>
            </w:r>
          </w:p>
        </w:tc>
      </w:tr>
      <w:tr w:rsidR="004F07F2" w14:paraId="0028F789" w14:textId="77777777" w:rsidTr="00D46514">
        <w:tc>
          <w:tcPr>
            <w:tcW w:w="2254" w:type="dxa"/>
          </w:tcPr>
          <w:p w14:paraId="32DA0D7B" w14:textId="6268C4ED"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Landfill levy auditing</w:t>
            </w:r>
          </w:p>
        </w:tc>
        <w:tc>
          <w:tcPr>
            <w:tcW w:w="2254" w:type="dxa"/>
          </w:tcPr>
          <w:p w14:paraId="7243FD40" w14:textId="7422930F"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Landfill levies collected in accordance with legislation.</w:t>
            </w:r>
          </w:p>
        </w:tc>
        <w:tc>
          <w:tcPr>
            <w:tcW w:w="2254" w:type="dxa"/>
          </w:tcPr>
          <w:p w14:paraId="35576AB9" w14:textId="22B9ADEC"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xml:space="preserve">By 2020-21 the landfill levy audit program commences, with </w:t>
            </w:r>
            <w:proofErr w:type="gramStart"/>
            <w:r w:rsidRPr="00333CA8">
              <w:rPr>
                <w:rFonts w:ascii="Arial" w:eastAsia="Times New Roman" w:hAnsi="Arial" w:cs="Arial"/>
                <w:color w:val="333333"/>
                <w:sz w:val="20"/>
                <w:szCs w:val="20"/>
                <w:lang w:eastAsia="en-AU"/>
              </w:rPr>
              <w:t>business as usual</w:t>
            </w:r>
            <w:proofErr w:type="gramEnd"/>
            <w:r w:rsidRPr="00333CA8">
              <w:rPr>
                <w:rFonts w:ascii="Arial" w:eastAsia="Times New Roman" w:hAnsi="Arial" w:cs="Arial"/>
                <w:color w:val="333333"/>
                <w:sz w:val="20"/>
                <w:szCs w:val="20"/>
                <w:lang w:eastAsia="en-AU"/>
              </w:rPr>
              <w:t xml:space="preserve"> audit operations in place by 2021-22.</w:t>
            </w:r>
          </w:p>
        </w:tc>
        <w:tc>
          <w:tcPr>
            <w:tcW w:w="2254" w:type="dxa"/>
          </w:tcPr>
          <w:p w14:paraId="75A61964" w14:textId="0AF67AB5" w:rsidR="004F07F2"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provides reliable and useful data on landfill levy collection and compliance.</w:t>
            </w:r>
          </w:p>
        </w:tc>
      </w:tr>
      <w:tr w:rsidR="00F25416" w14:paraId="30E3CA62" w14:textId="77777777" w:rsidTr="008F5B4F">
        <w:trPr>
          <w:trHeight w:val="7353"/>
        </w:trPr>
        <w:tc>
          <w:tcPr>
            <w:tcW w:w="2254" w:type="dxa"/>
          </w:tcPr>
          <w:p w14:paraId="3EACECF4" w14:textId="6857A411" w:rsidR="00F25416" w:rsidRPr="00333CA8" w:rsidRDefault="00F25416"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Recycling Markets Acceleration package</w:t>
            </w:r>
          </w:p>
        </w:tc>
        <w:tc>
          <w:tcPr>
            <w:tcW w:w="2254" w:type="dxa"/>
          </w:tcPr>
          <w:p w14:paraId="2F3C39F8"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Victorian businesses increase use of recycled materials in ways that support:</w:t>
            </w:r>
          </w:p>
          <w:p w14:paraId="01377456"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strong domestic markets for recovered materials</w:t>
            </w:r>
          </w:p>
          <w:p w14:paraId="4776AA89"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business growth</w:t>
            </w:r>
          </w:p>
          <w:p w14:paraId="2E791274"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new markets for recycled materials</w:t>
            </w:r>
          </w:p>
          <w:p w14:paraId="0B0B309A" w14:textId="11D51A08"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innovation for advanced manufacturing and construction sectors.</w:t>
            </w:r>
          </w:p>
        </w:tc>
        <w:tc>
          <w:tcPr>
            <w:tcW w:w="2254" w:type="dxa"/>
          </w:tcPr>
          <w:p w14:paraId="47542B48" w14:textId="01D99517"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By 2020-21 regulatory and policy barriers identified; commence development of regulatory tools.</w:t>
            </w:r>
          </w:p>
        </w:tc>
        <w:tc>
          <w:tcPr>
            <w:tcW w:w="2254" w:type="dxa"/>
          </w:tcPr>
          <w:p w14:paraId="030D50DC" w14:textId="275C76A6" w:rsidR="00F25416"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closely aligns with the goals and priorities of the Business Innovation Centre and product development/ commercialisation opportunities.</w:t>
            </w:r>
          </w:p>
        </w:tc>
      </w:tr>
      <w:tr w:rsidR="00F25416" w14:paraId="278BCDF9" w14:textId="77777777" w:rsidTr="00D46514">
        <w:tc>
          <w:tcPr>
            <w:tcW w:w="2254" w:type="dxa"/>
          </w:tcPr>
          <w:p w14:paraId="2DD7EFDD" w14:textId="053E1691" w:rsidR="00F25416" w:rsidRPr="00333CA8" w:rsidRDefault="00F25416"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lastRenderedPageBreak/>
              <w:t>Addressing waste crime</w:t>
            </w:r>
          </w:p>
        </w:tc>
        <w:tc>
          <w:tcPr>
            <w:tcW w:w="2254" w:type="dxa"/>
          </w:tcPr>
          <w:p w14:paraId="5019CF18" w14:textId="7EBB7102"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Reduce risk of harm to the environment and the community through effective preventative detection of, and enforcement against, waste crimes.</w:t>
            </w:r>
          </w:p>
        </w:tc>
        <w:tc>
          <w:tcPr>
            <w:tcW w:w="2254" w:type="dxa"/>
          </w:tcPr>
          <w:p w14:paraId="092AB572" w14:textId="07E2C222"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xml:space="preserve">By 2020-21 establish Waste Crime Prevention Inspectorate and begin monitoring, compliance and enforcement </w:t>
            </w:r>
            <w:proofErr w:type="gramStart"/>
            <w:r w:rsidRPr="00333CA8">
              <w:rPr>
                <w:rFonts w:ascii="Arial" w:eastAsia="Times New Roman" w:hAnsi="Arial" w:cs="Arial"/>
                <w:color w:val="333333"/>
                <w:sz w:val="20"/>
                <w:szCs w:val="20"/>
                <w:lang w:eastAsia="en-AU"/>
              </w:rPr>
              <w:t>action.*</w:t>
            </w:r>
            <w:proofErr w:type="gramEnd"/>
          </w:p>
        </w:tc>
        <w:tc>
          <w:tcPr>
            <w:tcW w:w="2254" w:type="dxa"/>
          </w:tcPr>
          <w:p w14:paraId="31900971" w14:textId="77777777" w:rsidR="00193087"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will build on existing work.</w:t>
            </w:r>
          </w:p>
          <w:p w14:paraId="7DC71335" w14:textId="77777777" w:rsidR="00193087"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Inspectorate will work across government to address illegal activities and combat waste crime.</w:t>
            </w:r>
          </w:p>
          <w:p w14:paraId="467F9534" w14:textId="5938CC51" w:rsidR="00F25416"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Inspectorate will be designed and built in collaboration with the Coordination Committee for high-risk sites.</w:t>
            </w:r>
          </w:p>
        </w:tc>
      </w:tr>
      <w:tr w:rsidR="00975240" w14:paraId="4C328BA3" w14:textId="77777777" w:rsidTr="00D46514">
        <w:tc>
          <w:tcPr>
            <w:tcW w:w="2254" w:type="dxa"/>
          </w:tcPr>
          <w:p w14:paraId="3E8F8C0C" w14:textId="42317FC0" w:rsidR="00975240" w:rsidRPr="00333CA8" w:rsidRDefault="00975240" w:rsidP="00D46514">
            <w:pPr>
              <w:spacing w:before="210" w:after="210"/>
              <w:rPr>
                <w:rFonts w:ascii="Arial" w:hAnsi="Arial" w:cs="Arial"/>
                <w:sz w:val="20"/>
                <w:szCs w:val="20"/>
              </w:rPr>
            </w:pPr>
            <w:r w:rsidRPr="00333CA8">
              <w:rPr>
                <w:rFonts w:ascii="Arial" w:hAnsi="Arial" w:cs="Arial"/>
                <w:sz w:val="20"/>
                <w:szCs w:val="20"/>
              </w:rPr>
              <w:t>High-risk sites management</w:t>
            </w:r>
          </w:p>
        </w:tc>
        <w:tc>
          <w:tcPr>
            <w:tcW w:w="2254" w:type="dxa"/>
          </w:tcPr>
          <w:p w14:paraId="23FC826D" w14:textId="20AAB3B7" w:rsidR="00975240"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Safe management of high-risk and hazardous wastes.</w:t>
            </w:r>
          </w:p>
        </w:tc>
        <w:tc>
          <w:tcPr>
            <w:tcW w:w="2254" w:type="dxa"/>
          </w:tcPr>
          <w:p w14:paraId="292466D1" w14:textId="59B8C297" w:rsidR="00975240"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By 2019-20 a high-risk recovery team established.</w:t>
            </w:r>
          </w:p>
        </w:tc>
        <w:tc>
          <w:tcPr>
            <w:tcW w:w="2254" w:type="dxa"/>
          </w:tcPr>
          <w:p w14:paraId="748923E2" w14:textId="36147778" w:rsidR="00975240" w:rsidRPr="00333CA8" w:rsidRDefault="00D46514"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High-risk site recovery team to coordinate whole-of-government actions/ response, with specialist hazardous waste knowledge and operational capabilities across key agencies and local government.</w:t>
            </w:r>
          </w:p>
        </w:tc>
      </w:tr>
    </w:tbl>
    <w:p w14:paraId="2ED60D29" w14:textId="77777777" w:rsidR="00F30E9B" w:rsidRDefault="00F30E9B" w:rsidP="00A1428B">
      <w:pPr>
        <w:spacing w:before="210" w:after="210" w:line="240" w:lineRule="auto"/>
        <w:rPr>
          <w:rFonts w:ascii="Arial" w:eastAsia="Times New Roman" w:hAnsi="Arial" w:cs="Arial"/>
          <w:color w:val="333333"/>
          <w:sz w:val="20"/>
          <w:szCs w:val="20"/>
          <w:lang w:eastAsia="en-AU"/>
        </w:rPr>
      </w:pPr>
    </w:p>
    <w:p w14:paraId="4224C7B6" w14:textId="2508FEDB" w:rsidR="00F30E9B" w:rsidRDefault="00333CA8" w:rsidP="00A1428B">
      <w:pPr>
        <w:spacing w:before="210" w:after="210" w:line="240" w:lineRule="auto"/>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EPA has established an environmental crime capability and a dedicated team overseeing regulatory actions at high-risk sites to work across government to address illegal activities and combat waste crime. EPA’s new Environmental Crime Branch, headed by a Chief Investigator, commenced on 1 November 2021 under EPA’s new operating model, and will provide the capabilities previously delivered by the Waste Crime Directorate.</w:t>
      </w:r>
    </w:p>
    <w:p w14:paraId="7D82FB27" w14:textId="77777777" w:rsidR="00F30E9B" w:rsidRDefault="00F30E9B" w:rsidP="00A1428B">
      <w:pPr>
        <w:spacing w:before="210" w:after="210" w:line="240" w:lineRule="auto"/>
        <w:rPr>
          <w:rFonts w:ascii="Arial" w:eastAsia="Times New Roman" w:hAnsi="Arial" w:cs="Arial"/>
          <w:color w:val="333333"/>
          <w:sz w:val="20"/>
          <w:szCs w:val="20"/>
          <w:lang w:eastAsia="en-AU"/>
        </w:rPr>
      </w:pPr>
    </w:p>
    <w:p w14:paraId="0251A492" w14:textId="180E73F3"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epa.vic.gov.au</w:t>
      </w:r>
    </w:p>
    <w:p w14:paraId="11233136"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Environment Protection Authority Victoria 200 Victoria Street, Carlton VIC 3001</w:t>
      </w:r>
    </w:p>
    <w:p w14:paraId="0E2392A1"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1300 372 842</w:t>
      </w:r>
    </w:p>
    <w:p w14:paraId="08806BA3" w14:textId="3B4DE2CD" w:rsidR="00AA264E" w:rsidRPr="00333CA8" w:rsidRDefault="00A1428B" w:rsidP="00333CA8">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Authorised and published by the Victorian Government, 1 Treasury Place, Melbourne</w:t>
      </w:r>
    </w:p>
    <w:sectPr w:rsidR="00AA264E" w:rsidRPr="00333CA8" w:rsidSect="00EC504E">
      <w:headerReference w:type="even" r:id="rId8"/>
      <w:headerReference w:type="default" r:id="rId9"/>
      <w:footerReference w:type="even" r:id="rId10"/>
      <w:footerReference w:type="default" r:id="rId11"/>
      <w:headerReference w:type="first" r:id="rId12"/>
      <w:footerReference w:type="first" r:id="rId13"/>
      <w:pgSz w:w="11906" w:h="16838"/>
      <w:pgMar w:top="1272" w:right="1440" w:bottom="86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2477B" w14:textId="77777777" w:rsidR="00A1428B" w:rsidRDefault="00A1428B" w:rsidP="00A1428B">
      <w:pPr>
        <w:spacing w:after="0" w:line="240" w:lineRule="auto"/>
      </w:pPr>
      <w:r>
        <w:separator/>
      </w:r>
    </w:p>
  </w:endnote>
  <w:endnote w:type="continuationSeparator" w:id="0">
    <w:p w14:paraId="05EC85E2" w14:textId="77777777" w:rsidR="00A1428B" w:rsidRDefault="00A1428B" w:rsidP="00A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altName w:val="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389F" w14:textId="77777777" w:rsidR="00A1428B" w:rsidRDefault="00A14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B893" w14:textId="77777777" w:rsidR="00A1428B" w:rsidRDefault="00A14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F24B" w14:textId="77777777" w:rsidR="00A1428B" w:rsidRDefault="00A1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5D70" w14:textId="77777777" w:rsidR="00A1428B" w:rsidRDefault="00A1428B" w:rsidP="00A1428B">
      <w:pPr>
        <w:spacing w:after="0" w:line="240" w:lineRule="auto"/>
      </w:pPr>
      <w:r>
        <w:separator/>
      </w:r>
    </w:p>
  </w:footnote>
  <w:footnote w:type="continuationSeparator" w:id="0">
    <w:p w14:paraId="7BE3C9E3" w14:textId="77777777" w:rsidR="00A1428B" w:rsidRDefault="00A1428B" w:rsidP="00A1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BC35" w14:textId="110F4ACD" w:rsidR="00A1428B" w:rsidRDefault="00A1428B">
    <w:pPr>
      <w:pStyle w:val="Header"/>
    </w:pPr>
    <w:r>
      <w:rPr>
        <w:noProof/>
      </w:rPr>
      <mc:AlternateContent>
        <mc:Choice Requires="wps">
          <w:drawing>
            <wp:anchor distT="0" distB="0" distL="0" distR="0" simplePos="0" relativeHeight="251659264" behindDoc="0" locked="0" layoutInCell="1" allowOverlap="1" wp14:anchorId="12B54D34" wp14:editId="0D6DF2C1">
              <wp:simplePos x="635" y="635"/>
              <wp:positionH relativeFrom="column">
                <wp:align>center</wp:align>
              </wp:positionH>
              <wp:positionV relativeFrom="paragraph">
                <wp:posOffset>635</wp:posOffset>
              </wp:positionV>
              <wp:extent cx="443865" cy="443865"/>
              <wp:effectExtent l="0" t="0" r="5715" b="17145"/>
              <wp:wrapSquare wrapText="bothSides"/>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B7751" w14:textId="164D4D8C"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B54D34" id="_x0000_t202" coordsize="21600,21600" o:spt="202" path="m,l,21600r21600,l21600,xe">
              <v:stroke joinstyle="miter"/>
              <v:path gradientshapeok="t" o:connecttype="rect"/>
            </v:shapetype>
            <v:shape id="Text Box 2" o:spid="_x0000_s1026" type="#_x0000_t202" alt="UN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" filled="f" stroked="f">
              <v:textbox style="mso-fit-shape-to-text:t" inset="0,0,0,0">
                <w:txbxContent>
                  <w:p w14:paraId="5AEB7751" w14:textId="164D4D8C"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1651" w14:textId="6EC775C5" w:rsidR="00A1428B" w:rsidRDefault="00A1428B">
    <w:pPr>
      <w:pStyle w:val="Header"/>
    </w:pPr>
    <w:r>
      <w:rPr>
        <w:noProof/>
      </w:rPr>
      <mc:AlternateContent>
        <mc:Choice Requires="wps">
          <w:drawing>
            <wp:anchor distT="0" distB="0" distL="0" distR="0" simplePos="0" relativeHeight="251660288" behindDoc="0" locked="0" layoutInCell="1" allowOverlap="1" wp14:anchorId="74FE04E5" wp14:editId="25B02124">
              <wp:simplePos x="914400" y="452438"/>
              <wp:positionH relativeFrom="column">
                <wp:align>center</wp:align>
              </wp:positionH>
              <wp:positionV relativeFrom="paragraph">
                <wp:posOffset>635</wp:posOffset>
              </wp:positionV>
              <wp:extent cx="443865" cy="443865"/>
              <wp:effectExtent l="0" t="0" r="5715" b="17145"/>
              <wp:wrapSquare wrapText="bothSides"/>
              <wp:docPr id="3"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82407" w14:textId="5ABB1A9A"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FE04E5" id="_x0000_t202" coordsize="21600,21600" o:spt="202" path="m,l,21600r21600,l21600,xe">
              <v:stroke joinstyle="miter"/>
              <v:path gradientshapeok="t" o:connecttype="rect"/>
            </v:shapetype>
            <v:shape id="Text Box 3" o:spid="_x0000_s1027" type="#_x0000_t202" alt="UN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" filled="f" stroked="f">
              <v:textbox style="mso-fit-shape-to-text:t" inset="0,0,0,0">
                <w:txbxContent>
                  <w:p w14:paraId="6EE82407" w14:textId="5ABB1A9A"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E033" w14:textId="059C6D63" w:rsidR="00A1428B" w:rsidRDefault="00A1428B">
    <w:pPr>
      <w:pStyle w:val="Header"/>
    </w:pPr>
    <w:r>
      <w:rPr>
        <w:noProof/>
      </w:rPr>
      <mc:AlternateContent>
        <mc:Choice Requires="wps">
          <w:drawing>
            <wp:anchor distT="0" distB="0" distL="0" distR="0" simplePos="0" relativeHeight="251658240" behindDoc="0" locked="0" layoutInCell="1" allowOverlap="1" wp14:anchorId="5D1D267C" wp14:editId="34347484">
              <wp:simplePos x="635" y="635"/>
              <wp:positionH relativeFrom="column">
                <wp:align>center</wp:align>
              </wp:positionH>
              <wp:positionV relativeFrom="paragraph">
                <wp:posOffset>635</wp:posOffset>
              </wp:positionV>
              <wp:extent cx="443865" cy="443865"/>
              <wp:effectExtent l="0" t="0" r="5715" b="17145"/>
              <wp:wrapSquare wrapText="bothSides"/>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31AC2" w14:textId="628651E0"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D267C" id="_x0000_t202" coordsize="21600,21600" o:spt="202" path="m,l,21600r21600,l21600,xe">
              <v:stroke joinstyle="miter"/>
              <v:path gradientshapeok="t" o:connecttype="rect"/>
            </v:shapetype>
            <v:shape id="Text Box 1" o:spid="_x0000_s1028"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HpYDVwUCAAAXBAAADgAAAAAA&#10;AAAAAAAAAAAuAgAAZHJzL2Uyb0RvYy54bWxQSwECLQAUAAYACAAAACEAVCUJVdsAAAAIAQAADwAA&#10;AAAAAAAAAAAAAABfBAAAZHJzL2Rvd25yZXYueG1sUEsFBgAAAAAEAAQA8wAAAGcFAAAAAA==&#10;" filled="f" stroked="f">
              <v:textbox style="mso-fit-shape-to-text:t" inset="0,0,0,0">
                <w:txbxContent>
                  <w:p w14:paraId="4BE31AC2" w14:textId="628651E0"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B26"/>
    <w:multiLevelType w:val="hybridMultilevel"/>
    <w:tmpl w:val="DFD0F226"/>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065C"/>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204E"/>
    <w:multiLevelType w:val="hybridMultilevel"/>
    <w:tmpl w:val="EE58527E"/>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A60E0"/>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A7A30"/>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B7AE0"/>
    <w:multiLevelType w:val="hybridMultilevel"/>
    <w:tmpl w:val="8A60E964"/>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40C3A"/>
    <w:multiLevelType w:val="hybridMultilevel"/>
    <w:tmpl w:val="7642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84FED"/>
    <w:multiLevelType w:val="hybridMultilevel"/>
    <w:tmpl w:val="079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41BB9"/>
    <w:multiLevelType w:val="hybridMultilevel"/>
    <w:tmpl w:val="9DB25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E7ECB"/>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D38F2"/>
    <w:multiLevelType w:val="multilevel"/>
    <w:tmpl w:val="B42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81AAC"/>
    <w:multiLevelType w:val="multilevel"/>
    <w:tmpl w:val="E1AE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756BD"/>
    <w:multiLevelType w:val="multilevel"/>
    <w:tmpl w:val="9C446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1657E"/>
    <w:multiLevelType w:val="multilevel"/>
    <w:tmpl w:val="CDF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E42C5"/>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046C4"/>
    <w:multiLevelType w:val="hybridMultilevel"/>
    <w:tmpl w:val="F8BAB7B6"/>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432C7"/>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A57C2"/>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30F11"/>
    <w:multiLevelType w:val="multilevel"/>
    <w:tmpl w:val="72D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63343"/>
    <w:multiLevelType w:val="hybridMultilevel"/>
    <w:tmpl w:val="A4D6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F3B46"/>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82429"/>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80952"/>
    <w:multiLevelType w:val="multilevel"/>
    <w:tmpl w:val="A0B6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F3A31"/>
    <w:multiLevelType w:val="hybridMultilevel"/>
    <w:tmpl w:val="5F0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47503"/>
    <w:multiLevelType w:val="hybridMultilevel"/>
    <w:tmpl w:val="82CAF8B0"/>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039D0"/>
    <w:multiLevelType w:val="hybridMultilevel"/>
    <w:tmpl w:val="C2AA83E8"/>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E260BC"/>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670415">
    <w:abstractNumId w:val="10"/>
  </w:num>
  <w:num w:numId="2" w16cid:durableId="355808360">
    <w:abstractNumId w:val="18"/>
  </w:num>
  <w:num w:numId="3" w16cid:durableId="680475596">
    <w:abstractNumId w:val="22"/>
  </w:num>
  <w:num w:numId="4" w16cid:durableId="1299996255">
    <w:abstractNumId w:val="21"/>
  </w:num>
  <w:num w:numId="5" w16cid:durableId="1051885541">
    <w:abstractNumId w:val="13"/>
  </w:num>
  <w:num w:numId="6" w16cid:durableId="1210847574">
    <w:abstractNumId w:val="11"/>
  </w:num>
  <w:num w:numId="7" w16cid:durableId="39669557">
    <w:abstractNumId w:val="23"/>
  </w:num>
  <w:num w:numId="8" w16cid:durableId="882519446">
    <w:abstractNumId w:val="7"/>
  </w:num>
  <w:num w:numId="9" w16cid:durableId="1806122079">
    <w:abstractNumId w:val="19"/>
  </w:num>
  <w:num w:numId="10" w16cid:durableId="447511711">
    <w:abstractNumId w:val="8"/>
  </w:num>
  <w:num w:numId="11" w16cid:durableId="1221671456">
    <w:abstractNumId w:val="6"/>
  </w:num>
  <w:num w:numId="12" w16cid:durableId="1901359986">
    <w:abstractNumId w:val="15"/>
  </w:num>
  <w:num w:numId="13" w16cid:durableId="498353913">
    <w:abstractNumId w:val="0"/>
  </w:num>
  <w:num w:numId="14" w16cid:durableId="619801190">
    <w:abstractNumId w:val="5"/>
  </w:num>
  <w:num w:numId="15" w16cid:durableId="429158013">
    <w:abstractNumId w:val="24"/>
  </w:num>
  <w:num w:numId="16" w16cid:durableId="1793207682">
    <w:abstractNumId w:val="2"/>
  </w:num>
  <w:num w:numId="17" w16cid:durableId="89200987">
    <w:abstractNumId w:val="25"/>
  </w:num>
  <w:num w:numId="18" w16cid:durableId="1431655736">
    <w:abstractNumId w:val="26"/>
  </w:num>
  <w:num w:numId="19" w16cid:durableId="1117988133">
    <w:abstractNumId w:val="9"/>
  </w:num>
  <w:num w:numId="20" w16cid:durableId="202526091">
    <w:abstractNumId w:val="1"/>
  </w:num>
  <w:num w:numId="21" w16cid:durableId="578948898">
    <w:abstractNumId w:val="20"/>
  </w:num>
  <w:num w:numId="22" w16cid:durableId="801119518">
    <w:abstractNumId w:val="14"/>
  </w:num>
  <w:num w:numId="23" w16cid:durableId="598416008">
    <w:abstractNumId w:val="3"/>
  </w:num>
  <w:num w:numId="24" w16cid:durableId="1058673168">
    <w:abstractNumId w:val="4"/>
  </w:num>
  <w:num w:numId="25" w16cid:durableId="687292865">
    <w:abstractNumId w:val="16"/>
  </w:num>
  <w:num w:numId="26" w16cid:durableId="1965651780">
    <w:abstractNumId w:val="17"/>
  </w:num>
  <w:num w:numId="27" w16cid:durableId="610212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8B"/>
    <w:rsid w:val="00022044"/>
    <w:rsid w:val="00050AEE"/>
    <w:rsid w:val="00064AA2"/>
    <w:rsid w:val="000A323B"/>
    <w:rsid w:val="000E2E5A"/>
    <w:rsid w:val="000E79E4"/>
    <w:rsid w:val="00156AD2"/>
    <w:rsid w:val="00157301"/>
    <w:rsid w:val="00164209"/>
    <w:rsid w:val="00164934"/>
    <w:rsid w:val="001844B6"/>
    <w:rsid w:val="00193087"/>
    <w:rsid w:val="00194619"/>
    <w:rsid w:val="001A1C59"/>
    <w:rsid w:val="001A21A8"/>
    <w:rsid w:val="001A3390"/>
    <w:rsid w:val="001A7D2F"/>
    <w:rsid w:val="001E3C00"/>
    <w:rsid w:val="00227022"/>
    <w:rsid w:val="002A5600"/>
    <w:rsid w:val="002B20EA"/>
    <w:rsid w:val="002C0A5C"/>
    <w:rsid w:val="002C4C03"/>
    <w:rsid w:val="002D08B7"/>
    <w:rsid w:val="002E4709"/>
    <w:rsid w:val="002F69D5"/>
    <w:rsid w:val="00313F3D"/>
    <w:rsid w:val="00327B02"/>
    <w:rsid w:val="00333CA8"/>
    <w:rsid w:val="00335C25"/>
    <w:rsid w:val="003643AB"/>
    <w:rsid w:val="00374F86"/>
    <w:rsid w:val="00376686"/>
    <w:rsid w:val="00391D81"/>
    <w:rsid w:val="00394C73"/>
    <w:rsid w:val="003A76E8"/>
    <w:rsid w:val="003C1148"/>
    <w:rsid w:val="003C5323"/>
    <w:rsid w:val="003E1B57"/>
    <w:rsid w:val="003E1F80"/>
    <w:rsid w:val="003F26BE"/>
    <w:rsid w:val="00403E53"/>
    <w:rsid w:val="004204C3"/>
    <w:rsid w:val="00427DAD"/>
    <w:rsid w:val="004415E2"/>
    <w:rsid w:val="004A2483"/>
    <w:rsid w:val="004C30F5"/>
    <w:rsid w:val="004F07F2"/>
    <w:rsid w:val="004F2481"/>
    <w:rsid w:val="004F639F"/>
    <w:rsid w:val="004F7D6B"/>
    <w:rsid w:val="00507E33"/>
    <w:rsid w:val="005128D4"/>
    <w:rsid w:val="00526260"/>
    <w:rsid w:val="0054447E"/>
    <w:rsid w:val="0056007C"/>
    <w:rsid w:val="00580E06"/>
    <w:rsid w:val="00584641"/>
    <w:rsid w:val="005A0BF6"/>
    <w:rsid w:val="005E3A94"/>
    <w:rsid w:val="006068FA"/>
    <w:rsid w:val="00642395"/>
    <w:rsid w:val="006754F9"/>
    <w:rsid w:val="0069453B"/>
    <w:rsid w:val="006B3783"/>
    <w:rsid w:val="006C4578"/>
    <w:rsid w:val="006D3756"/>
    <w:rsid w:val="00703B02"/>
    <w:rsid w:val="007219FA"/>
    <w:rsid w:val="007603B9"/>
    <w:rsid w:val="0078375A"/>
    <w:rsid w:val="007931C1"/>
    <w:rsid w:val="007A3964"/>
    <w:rsid w:val="00800A85"/>
    <w:rsid w:val="0080345A"/>
    <w:rsid w:val="00804D86"/>
    <w:rsid w:val="00830FD3"/>
    <w:rsid w:val="00852015"/>
    <w:rsid w:val="00863A74"/>
    <w:rsid w:val="0088686C"/>
    <w:rsid w:val="008A3CC6"/>
    <w:rsid w:val="008D4462"/>
    <w:rsid w:val="008F5B4F"/>
    <w:rsid w:val="009056E9"/>
    <w:rsid w:val="009113B6"/>
    <w:rsid w:val="00941A4D"/>
    <w:rsid w:val="00956AE5"/>
    <w:rsid w:val="00975240"/>
    <w:rsid w:val="00991340"/>
    <w:rsid w:val="00992127"/>
    <w:rsid w:val="009A1A13"/>
    <w:rsid w:val="009A7FED"/>
    <w:rsid w:val="009B04C5"/>
    <w:rsid w:val="009C5865"/>
    <w:rsid w:val="009D5C97"/>
    <w:rsid w:val="009E33A2"/>
    <w:rsid w:val="009E4654"/>
    <w:rsid w:val="009F2493"/>
    <w:rsid w:val="00A06A19"/>
    <w:rsid w:val="00A07318"/>
    <w:rsid w:val="00A1428B"/>
    <w:rsid w:val="00A25D42"/>
    <w:rsid w:val="00A260BA"/>
    <w:rsid w:val="00A37353"/>
    <w:rsid w:val="00A56663"/>
    <w:rsid w:val="00A82429"/>
    <w:rsid w:val="00A84A15"/>
    <w:rsid w:val="00AA264E"/>
    <w:rsid w:val="00B02738"/>
    <w:rsid w:val="00B42DCC"/>
    <w:rsid w:val="00BA444E"/>
    <w:rsid w:val="00BD5A6C"/>
    <w:rsid w:val="00BE4C82"/>
    <w:rsid w:val="00BF5C8C"/>
    <w:rsid w:val="00C267E2"/>
    <w:rsid w:val="00C33E91"/>
    <w:rsid w:val="00C578D9"/>
    <w:rsid w:val="00C6653C"/>
    <w:rsid w:val="00CA254B"/>
    <w:rsid w:val="00CB56C4"/>
    <w:rsid w:val="00CD6B4D"/>
    <w:rsid w:val="00D2682C"/>
    <w:rsid w:val="00D36072"/>
    <w:rsid w:val="00D46514"/>
    <w:rsid w:val="00D63403"/>
    <w:rsid w:val="00D80607"/>
    <w:rsid w:val="00D90264"/>
    <w:rsid w:val="00DB3B9E"/>
    <w:rsid w:val="00DD022D"/>
    <w:rsid w:val="00DD110A"/>
    <w:rsid w:val="00DF2C44"/>
    <w:rsid w:val="00DF552F"/>
    <w:rsid w:val="00E23455"/>
    <w:rsid w:val="00E32B7A"/>
    <w:rsid w:val="00E32D96"/>
    <w:rsid w:val="00E364D6"/>
    <w:rsid w:val="00E44BCE"/>
    <w:rsid w:val="00E551A7"/>
    <w:rsid w:val="00E637DC"/>
    <w:rsid w:val="00E72885"/>
    <w:rsid w:val="00E7603F"/>
    <w:rsid w:val="00E77B6A"/>
    <w:rsid w:val="00EC504E"/>
    <w:rsid w:val="00ED3D54"/>
    <w:rsid w:val="00ED400B"/>
    <w:rsid w:val="00F06BEC"/>
    <w:rsid w:val="00F10C27"/>
    <w:rsid w:val="00F2341D"/>
    <w:rsid w:val="00F25416"/>
    <w:rsid w:val="00F26967"/>
    <w:rsid w:val="00F302C9"/>
    <w:rsid w:val="00F30E9B"/>
    <w:rsid w:val="00F5071C"/>
    <w:rsid w:val="00F63F9E"/>
    <w:rsid w:val="00F71A62"/>
    <w:rsid w:val="00F869F5"/>
    <w:rsid w:val="00F90FC5"/>
    <w:rsid w:val="00FA02CB"/>
    <w:rsid w:val="00FA0D15"/>
    <w:rsid w:val="00FA4AA2"/>
    <w:rsid w:val="00FD0147"/>
    <w:rsid w:val="00FE3E6A"/>
    <w:rsid w:val="00FF1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E436"/>
  <w15:chartTrackingRefBased/>
  <w15:docId w15:val="{67BF63A8-110F-4A6D-8D4F-5B80215B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4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1428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1428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1428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8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1428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1428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1428B"/>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A1428B"/>
    <w:rPr>
      <w:color w:val="0000FF"/>
      <w:u w:val="single"/>
    </w:rPr>
  </w:style>
  <w:style w:type="paragraph" w:styleId="NormalWeb">
    <w:name w:val="Normal (Web)"/>
    <w:basedOn w:val="Normal"/>
    <w:uiPriority w:val="99"/>
    <w:semiHidden/>
    <w:unhideWhenUsed/>
    <w:rsid w:val="00A142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14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28B"/>
  </w:style>
  <w:style w:type="paragraph" w:styleId="Footer">
    <w:name w:val="footer"/>
    <w:basedOn w:val="Normal"/>
    <w:link w:val="FooterChar"/>
    <w:uiPriority w:val="99"/>
    <w:unhideWhenUsed/>
    <w:rsid w:val="00A14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28B"/>
  </w:style>
  <w:style w:type="paragraph" w:styleId="ListParagraph">
    <w:name w:val="List Paragraph"/>
    <w:basedOn w:val="Normal"/>
    <w:uiPriority w:val="34"/>
    <w:qFormat/>
    <w:rsid w:val="005128D4"/>
    <w:pPr>
      <w:ind w:left="720"/>
      <w:contextualSpacing/>
    </w:pPr>
  </w:style>
  <w:style w:type="paragraph" w:styleId="NoSpacing">
    <w:name w:val="No Spacing"/>
    <w:uiPriority w:val="1"/>
    <w:qFormat/>
    <w:rsid w:val="0080345A"/>
    <w:pPr>
      <w:spacing w:after="0" w:line="240" w:lineRule="auto"/>
    </w:pPr>
  </w:style>
  <w:style w:type="table" w:styleId="TableGrid">
    <w:name w:val="Table Grid"/>
    <w:basedOn w:val="TableNormal"/>
    <w:uiPriority w:val="39"/>
    <w:rsid w:val="004F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C03"/>
    <w:pPr>
      <w:autoSpaceDE w:val="0"/>
      <w:autoSpaceDN w:val="0"/>
      <w:adjustRightInd w:val="0"/>
      <w:spacing w:after="0" w:line="240" w:lineRule="auto"/>
    </w:pPr>
    <w:rPr>
      <w:rFonts w:ascii="VIC SemiBold" w:hAnsi="VIC SemiBold" w:cs="VIC SemiBol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625199">
      <w:bodyDiv w:val="1"/>
      <w:marLeft w:val="0"/>
      <w:marRight w:val="0"/>
      <w:marTop w:val="0"/>
      <w:marBottom w:val="0"/>
      <w:divBdr>
        <w:top w:val="none" w:sz="0" w:space="0" w:color="auto"/>
        <w:left w:val="none" w:sz="0" w:space="0" w:color="auto"/>
        <w:bottom w:val="none" w:sz="0" w:space="0" w:color="auto"/>
        <w:right w:val="none" w:sz="0" w:space="0" w:color="auto"/>
      </w:divBdr>
      <w:divsChild>
        <w:div w:id="530534310">
          <w:marLeft w:val="0"/>
          <w:marRight w:val="0"/>
          <w:marTop w:val="0"/>
          <w:marBottom w:val="0"/>
          <w:divBdr>
            <w:top w:val="none" w:sz="0" w:space="0" w:color="auto"/>
            <w:left w:val="none" w:sz="0" w:space="0" w:color="auto"/>
            <w:bottom w:val="none" w:sz="0" w:space="0" w:color="auto"/>
            <w:right w:val="none" w:sz="0" w:space="0" w:color="auto"/>
          </w:divBdr>
          <w:divsChild>
            <w:div w:id="1992833893">
              <w:marLeft w:val="0"/>
              <w:marRight w:val="0"/>
              <w:marTop w:val="0"/>
              <w:marBottom w:val="0"/>
              <w:divBdr>
                <w:top w:val="none" w:sz="0" w:space="0" w:color="auto"/>
                <w:left w:val="none" w:sz="0" w:space="0" w:color="auto"/>
                <w:bottom w:val="none" w:sz="0" w:space="0" w:color="auto"/>
                <w:right w:val="none" w:sz="0" w:space="0" w:color="auto"/>
              </w:divBdr>
            </w:div>
          </w:divsChild>
        </w:div>
        <w:div w:id="559511736">
          <w:marLeft w:val="0"/>
          <w:marRight w:val="0"/>
          <w:marTop w:val="0"/>
          <w:marBottom w:val="1800"/>
          <w:divBdr>
            <w:top w:val="none" w:sz="0" w:space="0" w:color="auto"/>
            <w:left w:val="none" w:sz="0" w:space="0" w:color="auto"/>
            <w:bottom w:val="none" w:sz="0" w:space="0" w:color="auto"/>
            <w:right w:val="none" w:sz="0" w:space="0" w:color="auto"/>
          </w:divBdr>
          <w:divsChild>
            <w:div w:id="1155533079">
              <w:marLeft w:val="0"/>
              <w:marRight w:val="0"/>
              <w:marTop w:val="0"/>
              <w:marBottom w:val="0"/>
              <w:divBdr>
                <w:top w:val="none" w:sz="0" w:space="0" w:color="auto"/>
                <w:left w:val="single" w:sz="18" w:space="0" w:color="0A3C73"/>
                <w:bottom w:val="none" w:sz="0" w:space="0" w:color="auto"/>
                <w:right w:val="none" w:sz="0" w:space="0" w:color="auto"/>
              </w:divBdr>
            </w:div>
            <w:div w:id="109475980">
              <w:marLeft w:val="0"/>
              <w:marRight w:val="0"/>
              <w:marTop w:val="525"/>
              <w:marBottom w:val="525"/>
              <w:divBdr>
                <w:top w:val="none" w:sz="0" w:space="0" w:color="auto"/>
                <w:left w:val="none" w:sz="0" w:space="0" w:color="auto"/>
                <w:bottom w:val="none" w:sz="0" w:space="0" w:color="auto"/>
                <w:right w:val="none" w:sz="0" w:space="0" w:color="auto"/>
              </w:divBdr>
            </w:div>
            <w:div w:id="96581174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vic.gov.au/-/media/epa/files/about-epa/strategic-plan-2022-27/strategic-plan-2022-27.pdf?la=en&amp;hash=EAD5F8F3B4E767FE24DD4FEDE232C63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84c669e-a49d-47d1-ae00-34b3cb83034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Laurachel Ventus</dc:creator>
  <cp:keywords/>
  <dc:description/>
  <cp:lastModifiedBy>Karen Mulvihill</cp:lastModifiedBy>
  <cp:revision>2</cp:revision>
  <dcterms:created xsi:type="dcterms:W3CDTF">2025-05-15T11:53:00Z</dcterms:created>
  <dcterms:modified xsi:type="dcterms:W3CDTF">2025-05-15T11:53:00Z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UNOFFICIAL</vt:lpwstr>
  </property>
</Properties>
</file>