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6116B" w:rsidR="00B6116B" w:rsidP="00B6116B" w:rsidRDefault="00B6116B" w14:paraId="55D02AE5" w14:textId="77777777">
      <w:pPr>
        <w:pStyle w:val="Title"/>
      </w:pPr>
      <w:bookmarkStart w:name="_Toc227656842" w:id="0"/>
      <w:bookmarkStart w:name="_Toc227656844" w:id="1"/>
      <w:r w:rsidRPr="00B6116B">
        <w:t>Preparing a risk management and monitoring program</w:t>
      </w:r>
    </w:p>
    <w:bookmarkEnd w:id="0"/>
    <w:p w:rsidRPr="00B6116B" w:rsidR="00B6116B" w:rsidP="00B6116B" w:rsidRDefault="00B6116B" w14:paraId="2E0A6C6F" w14:textId="611B2186">
      <w:pPr>
        <w:pStyle w:val="Heading1"/>
      </w:pPr>
      <w:r w:rsidRPr="00B6116B">
        <w:t>Appendix C – Example of a monitoring plan</w:t>
      </w:r>
    </w:p>
    <w:tbl>
      <w:tblPr>
        <w:tblStyle w:val="EPA"/>
        <w:tblW w:w="5000" w:type="pct"/>
        <w:tblLook w:val="0420" w:firstRow="1" w:lastRow="0" w:firstColumn="0" w:lastColumn="0" w:noHBand="0" w:noVBand="1"/>
      </w:tblPr>
      <w:tblGrid>
        <w:gridCol w:w="2135"/>
        <w:gridCol w:w="2044"/>
        <w:gridCol w:w="1648"/>
        <w:gridCol w:w="2223"/>
        <w:gridCol w:w="2483"/>
        <w:gridCol w:w="2483"/>
        <w:gridCol w:w="2120"/>
      </w:tblGrid>
      <w:tr w:rsidRPr="00421A78" w:rsidR="00421A78" w:rsidTr="0035446B" w14:paraId="1D3446E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  <w:tblHeader/>
        </w:trPr>
        <w:tc>
          <w:tcPr>
            <w:tcW w:w="705" w:type="pct"/>
          </w:tcPr>
          <w:bookmarkEnd w:id="1"/>
          <w:p w:rsidRPr="00452E8F" w:rsidR="009A1192" w:rsidP="009A1192" w:rsidRDefault="009A1192" w14:paraId="77B94FC6" w14:textId="77777777">
            <w:pPr>
              <w:rPr>
                <w:rFonts w:ascii="VIC" w:hAnsi="VIC" w:cs="Times New Roman"/>
                <w:b/>
                <w:bCs/>
                <w:color w:val="auto"/>
                <w:sz w:val="20"/>
              </w:rPr>
            </w:pPr>
            <w:r w:rsidRPr="00452E8F">
              <w:rPr>
                <w:rFonts w:ascii="VIC" w:hAnsi="VIC" w:cs="Times New Roman"/>
                <w:b/>
                <w:bCs/>
                <w:color w:val="auto"/>
                <w:sz w:val="20"/>
              </w:rPr>
              <w:t>Environmental element</w:t>
            </w:r>
          </w:p>
        </w:tc>
        <w:tc>
          <w:tcPr>
            <w:tcW w:w="675" w:type="pct"/>
          </w:tcPr>
          <w:p w:rsidRPr="00452E8F" w:rsidR="009A1192" w:rsidP="009A1192" w:rsidRDefault="009A1192" w14:paraId="1B365F96" w14:textId="23E540DE">
            <w:pPr>
              <w:rPr>
                <w:rFonts w:ascii="VIC" w:hAnsi="VIC" w:cs="Times New Roman"/>
                <w:b/>
                <w:bCs/>
                <w:color w:val="auto"/>
                <w:sz w:val="20"/>
              </w:rPr>
            </w:pPr>
            <w:r w:rsidRPr="00452E8F">
              <w:rPr>
                <w:rFonts w:ascii="VIC" w:hAnsi="VIC" w:cs="Times New Roman"/>
                <w:b/>
                <w:bCs/>
                <w:color w:val="auto"/>
                <w:sz w:val="20"/>
              </w:rPr>
              <w:t>Monitoring activity</w:t>
            </w:r>
            <w:r w:rsidRPr="00452E8F" w:rsidR="006B7F2D">
              <w:rPr>
                <w:rStyle w:val="EndnoteReference"/>
                <w:rFonts w:ascii="VIC" w:hAnsi="VIC" w:cs="Times New Roman"/>
                <w:b/>
                <w:bCs/>
                <w:color w:val="auto"/>
                <w:sz w:val="20"/>
              </w:rPr>
              <w:endnoteReference w:id="1"/>
            </w:r>
          </w:p>
        </w:tc>
        <w:tc>
          <w:tcPr>
            <w:tcW w:w="544" w:type="pct"/>
          </w:tcPr>
          <w:p w:rsidRPr="00452E8F" w:rsidR="009A1192" w:rsidP="009A1192" w:rsidRDefault="009A1192" w14:paraId="0FFDAC53" w14:textId="77777777">
            <w:pPr>
              <w:rPr>
                <w:rFonts w:ascii="VIC" w:hAnsi="VIC" w:cs="Times New Roman"/>
                <w:b/>
                <w:bCs/>
                <w:color w:val="auto"/>
                <w:sz w:val="20"/>
              </w:rPr>
            </w:pPr>
            <w:r w:rsidRPr="00452E8F">
              <w:rPr>
                <w:rFonts w:ascii="VIC" w:hAnsi="VIC" w:cs="Times New Roman"/>
                <w:b/>
                <w:bCs/>
                <w:color w:val="auto"/>
                <w:sz w:val="20"/>
              </w:rPr>
              <w:t>Frequency</w:t>
            </w:r>
          </w:p>
        </w:tc>
        <w:tc>
          <w:tcPr>
            <w:tcW w:w="734" w:type="pct"/>
          </w:tcPr>
          <w:p w:rsidRPr="00452E8F" w:rsidR="009A1192" w:rsidP="009A1192" w:rsidRDefault="009A1192" w14:paraId="11C8B3C9" w14:textId="2CF6587F">
            <w:pPr>
              <w:rPr>
                <w:rFonts w:ascii="VIC" w:hAnsi="VIC" w:cs="Times New Roman"/>
                <w:b/>
                <w:bCs/>
                <w:color w:val="auto"/>
                <w:sz w:val="20"/>
              </w:rPr>
            </w:pPr>
            <w:r w:rsidRPr="00452E8F">
              <w:rPr>
                <w:rFonts w:ascii="VIC" w:hAnsi="VIC" w:cs="Times New Roman"/>
                <w:b/>
                <w:bCs/>
                <w:color w:val="auto"/>
                <w:sz w:val="20"/>
              </w:rPr>
              <w:t>Critical control/s</w:t>
            </w:r>
            <w:r w:rsidRPr="00452E8F" w:rsidR="006B7F2D">
              <w:rPr>
                <w:rStyle w:val="EndnoteReference"/>
                <w:rFonts w:ascii="VIC" w:hAnsi="VIC" w:cs="Times New Roman"/>
                <w:b/>
                <w:bCs/>
                <w:color w:val="auto"/>
                <w:sz w:val="20"/>
              </w:rPr>
              <w:endnoteReference w:id="2"/>
            </w:r>
          </w:p>
          <w:p w:rsidRPr="00452E8F" w:rsidR="009A1192" w:rsidP="009A1192" w:rsidRDefault="009A1192" w14:paraId="5BA5F25F" w14:textId="77777777">
            <w:pPr>
              <w:rPr>
                <w:rFonts w:ascii="VIC" w:hAnsi="VIC" w:cs="Times New Roman"/>
                <w:b/>
                <w:bCs/>
                <w:color w:val="auto"/>
                <w:sz w:val="20"/>
              </w:rPr>
            </w:pPr>
          </w:p>
        </w:tc>
        <w:tc>
          <w:tcPr>
            <w:tcW w:w="820" w:type="pct"/>
          </w:tcPr>
          <w:p w:rsidRPr="00452E8F" w:rsidR="009A1192" w:rsidP="009A1192" w:rsidRDefault="009A1192" w14:paraId="085003E0" w14:textId="77777777">
            <w:pPr>
              <w:rPr>
                <w:rFonts w:ascii="VIC" w:hAnsi="VIC" w:cs="Times New Roman"/>
                <w:b/>
                <w:bCs/>
                <w:color w:val="auto"/>
                <w:sz w:val="20"/>
              </w:rPr>
            </w:pPr>
            <w:r w:rsidRPr="00452E8F">
              <w:rPr>
                <w:rFonts w:ascii="VIC" w:hAnsi="VIC" w:cs="Times New Roman"/>
                <w:b/>
                <w:bCs/>
                <w:color w:val="auto"/>
                <w:sz w:val="20"/>
              </w:rPr>
              <w:t>Environmental indicators</w:t>
            </w:r>
          </w:p>
        </w:tc>
        <w:tc>
          <w:tcPr>
            <w:tcW w:w="820" w:type="pct"/>
          </w:tcPr>
          <w:p w:rsidRPr="00452E8F" w:rsidR="009A1192" w:rsidP="009A1192" w:rsidRDefault="009A1192" w14:paraId="00B1684B" w14:textId="01ADBD6F">
            <w:pPr>
              <w:rPr>
                <w:rFonts w:ascii="VIC" w:hAnsi="VIC" w:cs="Times New Roman"/>
                <w:b/>
                <w:bCs/>
                <w:color w:val="auto"/>
                <w:sz w:val="20"/>
              </w:rPr>
            </w:pPr>
            <w:r w:rsidRPr="00452E8F">
              <w:rPr>
                <w:rFonts w:ascii="VIC" w:hAnsi="VIC" w:cs="Times New Roman"/>
                <w:b/>
                <w:bCs/>
                <w:color w:val="auto"/>
                <w:sz w:val="20"/>
              </w:rPr>
              <w:t>Environmental performance objectives</w:t>
            </w:r>
            <w:r w:rsidRPr="00452E8F" w:rsidR="006B7F2D">
              <w:rPr>
                <w:rStyle w:val="EndnoteReference"/>
                <w:rFonts w:ascii="VIC" w:hAnsi="VIC" w:cs="Times New Roman"/>
                <w:b/>
                <w:bCs/>
                <w:color w:val="auto"/>
                <w:sz w:val="20"/>
              </w:rPr>
              <w:endnoteReference w:id="3"/>
            </w:r>
          </w:p>
        </w:tc>
        <w:tc>
          <w:tcPr>
            <w:tcW w:w="700" w:type="pct"/>
          </w:tcPr>
          <w:p w:rsidRPr="00452E8F" w:rsidR="009A1192" w:rsidP="009A1192" w:rsidRDefault="009A1192" w14:paraId="30FAB666" w14:textId="77777777">
            <w:pPr>
              <w:rPr>
                <w:rFonts w:ascii="VIC" w:hAnsi="VIC" w:cs="Times New Roman"/>
                <w:b/>
                <w:bCs/>
                <w:color w:val="auto"/>
                <w:sz w:val="20"/>
              </w:rPr>
            </w:pPr>
            <w:r w:rsidRPr="00452E8F">
              <w:rPr>
                <w:rFonts w:ascii="VIC" w:hAnsi="VIC" w:cs="Times New Roman"/>
                <w:b/>
                <w:bCs/>
                <w:color w:val="auto"/>
                <w:sz w:val="20"/>
              </w:rPr>
              <w:t xml:space="preserve">Link to monitoring record </w:t>
            </w:r>
          </w:p>
        </w:tc>
      </w:tr>
      <w:tr w:rsidRPr="009A1192" w:rsidR="009A1192" w:rsidTr="0035446B" w14:paraId="7F942B5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6"/>
        </w:trPr>
        <w:tc>
          <w:tcPr>
            <w:tcW w:w="705" w:type="pct"/>
          </w:tcPr>
          <w:p w:rsidRPr="009A1192" w:rsidR="009A1192" w:rsidP="009A1192" w:rsidRDefault="009A1192" w14:paraId="3359E514" w14:textId="0B7B0C88">
            <w:pPr>
              <w:rPr>
                <w:rFonts w:ascii="VIC" w:hAnsi="VIC" w:cs="Times New Roman"/>
                <w:sz w:val="20"/>
              </w:rPr>
            </w:pPr>
            <w:r w:rsidRPr="009A1192">
              <w:rPr>
                <w:rFonts w:ascii="VIC" w:hAnsi="VIC" w:cs="Times New Roman"/>
                <w:sz w:val="20"/>
              </w:rPr>
              <w:t>Groundwater</w:t>
            </w:r>
          </w:p>
        </w:tc>
        <w:tc>
          <w:tcPr>
            <w:tcW w:w="675" w:type="pct"/>
          </w:tcPr>
          <w:p w:rsidRPr="009A1192" w:rsidR="009A1192" w:rsidP="009A1192" w:rsidRDefault="009A1192" w14:paraId="51C3211B" w14:textId="022821F9">
            <w:pPr>
              <w:rPr>
                <w:rFonts w:ascii="VIC" w:hAnsi="VIC" w:cs="Times New Roman"/>
                <w:sz w:val="20"/>
              </w:rPr>
            </w:pPr>
            <w:r w:rsidRPr="009A1192">
              <w:rPr>
                <w:rFonts w:ascii="VIC" w:hAnsi="VIC" w:cs="Times New Roman"/>
                <w:sz w:val="20"/>
              </w:rPr>
              <w:t xml:space="preserve">Groundwater monitoring of all site bores (MW01-MW10) </w:t>
            </w:r>
          </w:p>
        </w:tc>
        <w:tc>
          <w:tcPr>
            <w:tcW w:w="544" w:type="pct"/>
          </w:tcPr>
          <w:p w:rsidRPr="009A1192" w:rsidR="009A1192" w:rsidP="009A1192" w:rsidRDefault="009A1192" w14:paraId="52601168" w14:textId="2F9AC5C3">
            <w:pPr>
              <w:rPr>
                <w:rFonts w:ascii="VIC" w:hAnsi="VIC" w:cs="Times New Roman"/>
                <w:sz w:val="20"/>
              </w:rPr>
            </w:pPr>
            <w:r w:rsidRPr="009A1192">
              <w:rPr>
                <w:rFonts w:ascii="VIC" w:hAnsi="VIC" w:cs="Times New Roman"/>
                <w:sz w:val="20"/>
              </w:rPr>
              <w:t>Biannually</w:t>
            </w:r>
          </w:p>
        </w:tc>
        <w:tc>
          <w:tcPr>
            <w:tcW w:w="734" w:type="pct"/>
          </w:tcPr>
          <w:p w:rsidRPr="009A1192" w:rsidR="009A1192" w:rsidP="009A1192" w:rsidRDefault="009A1192" w14:paraId="78CD3053" w14:textId="52E8E4D6">
            <w:pPr>
              <w:rPr>
                <w:rFonts w:ascii="VIC" w:hAnsi="VIC" w:cs="Times New Roman"/>
                <w:sz w:val="20"/>
              </w:rPr>
            </w:pPr>
            <w:r w:rsidRPr="009A1192">
              <w:rPr>
                <w:rFonts w:ascii="VIC" w:hAnsi="VIC" w:cs="Times New Roman"/>
                <w:sz w:val="20"/>
              </w:rPr>
              <w:t>Bunding</w:t>
            </w:r>
          </w:p>
        </w:tc>
        <w:tc>
          <w:tcPr>
            <w:tcW w:w="820" w:type="pct"/>
          </w:tcPr>
          <w:p w:rsidRPr="009A1192" w:rsidR="009A1192" w:rsidP="009A1192" w:rsidRDefault="009A1192" w14:paraId="72C3CCB8" w14:textId="77777777">
            <w:pPr>
              <w:rPr>
                <w:rFonts w:ascii="VIC" w:hAnsi="VIC" w:cs="Times New Roman"/>
                <w:sz w:val="20"/>
              </w:rPr>
            </w:pPr>
            <w:r w:rsidRPr="009A1192">
              <w:rPr>
                <w:rFonts w:ascii="VIC" w:hAnsi="VIC" w:cs="Times New Roman"/>
                <w:sz w:val="20"/>
              </w:rPr>
              <w:t>Water quality indicators: pH, DO, EC, redox</w:t>
            </w:r>
          </w:p>
          <w:p w:rsidRPr="009A1192" w:rsidR="009A1192" w:rsidP="009A1192" w:rsidRDefault="009A1192" w14:paraId="5C91B6B0" w14:textId="77777777">
            <w:pPr>
              <w:rPr>
                <w:rFonts w:ascii="VIC" w:hAnsi="VIC" w:cs="Times New Roman"/>
                <w:sz w:val="20"/>
              </w:rPr>
            </w:pPr>
            <w:proofErr w:type="spellStart"/>
            <w:r w:rsidRPr="009A1192">
              <w:rPr>
                <w:rFonts w:ascii="VIC" w:hAnsi="VIC" w:cs="Times New Roman"/>
                <w:sz w:val="20"/>
              </w:rPr>
              <w:t>CoPCs</w:t>
            </w:r>
            <w:proofErr w:type="spellEnd"/>
            <w:r w:rsidRPr="009A1192">
              <w:rPr>
                <w:rFonts w:ascii="VIC" w:hAnsi="VIC" w:cs="Times New Roman"/>
                <w:sz w:val="20"/>
              </w:rPr>
              <w:t xml:space="preserve">: PFAS, TPH, VOCs, heavy metals, nitrate </w:t>
            </w:r>
          </w:p>
        </w:tc>
        <w:tc>
          <w:tcPr>
            <w:tcW w:w="820" w:type="pct"/>
          </w:tcPr>
          <w:p w:rsidRPr="009A1192" w:rsidR="009A1192" w:rsidP="009A1192" w:rsidRDefault="009A1192" w14:paraId="5D1A63EA" w14:textId="77777777">
            <w:pPr>
              <w:rPr>
                <w:rFonts w:ascii="VIC" w:hAnsi="VIC" w:cs="Times New Roman"/>
                <w:sz w:val="20"/>
              </w:rPr>
            </w:pPr>
            <w:r w:rsidRPr="009A1192">
              <w:rPr>
                <w:rFonts w:ascii="VIC" w:hAnsi="VIC" w:cs="Times New Roman"/>
                <w:sz w:val="20"/>
              </w:rPr>
              <w:t xml:space="preserve"> Prevent contaminants potential of concern from polluting groundwater</w:t>
            </w:r>
          </w:p>
        </w:tc>
        <w:tc>
          <w:tcPr>
            <w:tcW w:w="700" w:type="pct"/>
          </w:tcPr>
          <w:p w:rsidRPr="009A1192" w:rsidR="009A1192" w:rsidP="009A1192" w:rsidRDefault="009A1192" w14:paraId="5877EA03" w14:textId="77777777">
            <w:pPr>
              <w:spacing w:before="80" w:after="240"/>
              <w:rPr>
                <w:rFonts w:ascii="VIC" w:hAnsi="VIC" w:cs="Times New Roman"/>
                <w:color w:val="1A1A1A"/>
                <w:sz w:val="20"/>
              </w:rPr>
            </w:pPr>
            <w:r w:rsidRPr="009A1192">
              <w:rPr>
                <w:rFonts w:ascii="VIC" w:hAnsi="VIC" w:cs="Times New Roman"/>
                <w:color w:val="1A1A1A"/>
                <w:sz w:val="20"/>
              </w:rPr>
              <w:t>Groundwater monitoring trending analysis spreadsheet.xlsx</w:t>
            </w:r>
          </w:p>
          <w:p w:rsidRPr="009A1192" w:rsidR="009A1192" w:rsidP="009A1192" w:rsidRDefault="009A1192" w14:paraId="0B596569" w14:textId="77777777">
            <w:pPr>
              <w:rPr>
                <w:rFonts w:ascii="VIC" w:hAnsi="VIC" w:cs="Times New Roman"/>
                <w:sz w:val="20"/>
              </w:rPr>
            </w:pPr>
            <w:r w:rsidRPr="009A1192">
              <w:rPr>
                <w:rFonts w:ascii="VIC" w:hAnsi="VIC" w:cs="Times New Roman"/>
                <w:sz w:val="20"/>
              </w:rPr>
              <w:t>Trigger action response on groundwater quality</w:t>
            </w:r>
          </w:p>
        </w:tc>
      </w:tr>
      <w:tr w:rsidRPr="009A1192" w:rsidR="009A1192" w:rsidTr="0035446B" w14:paraId="67BCFD6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31"/>
        </w:trPr>
        <w:tc>
          <w:tcPr>
            <w:tcW w:w="705" w:type="pct"/>
          </w:tcPr>
          <w:p w:rsidRPr="009A1192" w:rsidR="009A1192" w:rsidP="009A1192" w:rsidRDefault="009A1192" w14:paraId="724F52F0" w14:textId="77777777">
            <w:pPr>
              <w:rPr>
                <w:rFonts w:ascii="VIC" w:hAnsi="VIC" w:cs="Times New Roman"/>
                <w:sz w:val="20"/>
              </w:rPr>
            </w:pPr>
            <w:r w:rsidRPr="009A1192">
              <w:rPr>
                <w:rFonts w:ascii="VIC" w:hAnsi="VIC" w:cs="Times New Roman"/>
                <w:sz w:val="20"/>
              </w:rPr>
              <w:t>Groundwater</w:t>
            </w:r>
          </w:p>
        </w:tc>
        <w:tc>
          <w:tcPr>
            <w:tcW w:w="675" w:type="pct"/>
          </w:tcPr>
          <w:p w:rsidRPr="009A1192" w:rsidR="009A1192" w:rsidP="009A1192" w:rsidRDefault="009A1192" w14:paraId="682DB327" w14:textId="77777777">
            <w:pPr>
              <w:rPr>
                <w:rFonts w:ascii="VIC" w:hAnsi="VIC" w:cs="Times New Roman"/>
                <w:sz w:val="20"/>
              </w:rPr>
            </w:pPr>
            <w:r w:rsidRPr="009A1192">
              <w:rPr>
                <w:rFonts w:ascii="VIC" w:hAnsi="VIC" w:cs="Times New Roman"/>
                <w:sz w:val="20"/>
              </w:rPr>
              <w:t>Inspections</w:t>
            </w:r>
          </w:p>
        </w:tc>
        <w:tc>
          <w:tcPr>
            <w:tcW w:w="544" w:type="pct"/>
          </w:tcPr>
          <w:p w:rsidRPr="009A1192" w:rsidR="009A1192" w:rsidP="009A1192" w:rsidRDefault="009A1192" w14:paraId="3C3EC3A6" w14:textId="77777777">
            <w:pPr>
              <w:rPr>
                <w:rFonts w:ascii="VIC" w:hAnsi="VIC" w:cs="Times New Roman"/>
                <w:sz w:val="20"/>
              </w:rPr>
            </w:pPr>
            <w:r w:rsidRPr="009A1192">
              <w:rPr>
                <w:rFonts w:ascii="VIC" w:hAnsi="VIC" w:cs="Times New Roman"/>
                <w:sz w:val="20"/>
              </w:rPr>
              <w:t>Weekly</w:t>
            </w:r>
          </w:p>
        </w:tc>
        <w:tc>
          <w:tcPr>
            <w:tcW w:w="734" w:type="pct"/>
          </w:tcPr>
          <w:p w:rsidRPr="009A1192" w:rsidR="009A1192" w:rsidP="009A1192" w:rsidRDefault="009A1192" w14:paraId="4EE48109" w14:textId="77777777">
            <w:pPr>
              <w:rPr>
                <w:rFonts w:ascii="VIC" w:hAnsi="VIC" w:cs="Times New Roman"/>
                <w:sz w:val="20"/>
              </w:rPr>
            </w:pPr>
            <w:r w:rsidRPr="009A1192">
              <w:rPr>
                <w:rFonts w:ascii="VIC" w:hAnsi="VIC" w:cs="Times New Roman"/>
                <w:sz w:val="20"/>
              </w:rPr>
              <w:t>Bunding</w:t>
            </w:r>
          </w:p>
        </w:tc>
        <w:tc>
          <w:tcPr>
            <w:tcW w:w="820" w:type="pct"/>
          </w:tcPr>
          <w:p w:rsidRPr="009A1192" w:rsidR="009A1192" w:rsidP="009A1192" w:rsidRDefault="009A1192" w14:paraId="2F3705EB" w14:textId="77777777">
            <w:pPr>
              <w:rPr>
                <w:rFonts w:ascii="VIC" w:hAnsi="VIC" w:cs="Times New Roman"/>
                <w:sz w:val="20"/>
              </w:rPr>
            </w:pPr>
            <w:r w:rsidRPr="009A1192">
              <w:rPr>
                <w:rFonts w:ascii="VIC" w:hAnsi="VIC" w:cs="Times New Roman"/>
                <w:sz w:val="20"/>
              </w:rPr>
              <w:t>Integrity and condition of the bunding, such as:</w:t>
            </w:r>
          </w:p>
          <w:p w:rsidRPr="009A1192" w:rsidR="009A1192" w:rsidP="009A1192" w:rsidRDefault="009A1192" w14:paraId="6CEAE56E" w14:textId="77777777">
            <w:pPr>
              <w:numPr>
                <w:ilvl w:val="0"/>
                <w:numId w:val="1"/>
              </w:numPr>
              <w:spacing w:before="80"/>
              <w:rPr>
                <w:rFonts w:ascii="VIC" w:hAnsi="VIC" w:cs="Times New Roman"/>
                <w:sz w:val="20"/>
              </w:rPr>
            </w:pPr>
            <w:r w:rsidRPr="009A1192">
              <w:rPr>
                <w:rFonts w:ascii="VIC" w:hAnsi="VIC" w:cs="Times New Roman"/>
                <w:sz w:val="20"/>
              </w:rPr>
              <w:t>no visible cracks</w:t>
            </w:r>
          </w:p>
          <w:p w:rsidRPr="009A1192" w:rsidR="009A1192" w:rsidP="009A1192" w:rsidRDefault="009A1192" w14:paraId="0A709DBB" w14:textId="77777777">
            <w:pPr>
              <w:numPr>
                <w:ilvl w:val="0"/>
                <w:numId w:val="1"/>
              </w:numPr>
              <w:spacing w:before="80"/>
              <w:rPr>
                <w:rFonts w:ascii="VIC" w:hAnsi="VIC" w:cs="Times New Roman"/>
                <w:sz w:val="20"/>
              </w:rPr>
            </w:pPr>
            <w:r w:rsidRPr="009A1192">
              <w:rPr>
                <w:rFonts w:ascii="VIC" w:hAnsi="VIC" w:cs="Times New Roman"/>
                <w:sz w:val="20"/>
              </w:rPr>
              <w:t>seal intact</w:t>
            </w:r>
          </w:p>
          <w:p w:rsidRPr="009A1192" w:rsidR="009A1192" w:rsidP="009A1192" w:rsidRDefault="009A1192" w14:paraId="1D5FD0A6" w14:textId="77777777">
            <w:pPr>
              <w:numPr>
                <w:ilvl w:val="0"/>
                <w:numId w:val="1"/>
              </w:numPr>
              <w:spacing w:before="80"/>
              <w:rPr>
                <w:rFonts w:ascii="VIC" w:hAnsi="VIC" w:cs="Times New Roman"/>
                <w:sz w:val="20"/>
              </w:rPr>
            </w:pPr>
            <w:r w:rsidRPr="009A1192">
              <w:rPr>
                <w:rFonts w:ascii="VIC" w:hAnsi="VIC" w:cs="Times New Roman"/>
                <w:sz w:val="20"/>
              </w:rPr>
              <w:t>no accumulated liquid</w:t>
            </w:r>
          </w:p>
          <w:p w:rsidRPr="009A1192" w:rsidR="009A1192" w:rsidP="009A1192" w:rsidRDefault="009A1192" w14:paraId="7FD42F3E" w14:textId="77777777">
            <w:pPr>
              <w:numPr>
                <w:ilvl w:val="0"/>
                <w:numId w:val="1"/>
              </w:numPr>
              <w:spacing w:before="80"/>
              <w:rPr>
                <w:rFonts w:ascii="VIC" w:hAnsi="VIC" w:cs="Times New Roman"/>
                <w:sz w:val="20"/>
              </w:rPr>
            </w:pPr>
            <w:r w:rsidRPr="009A1192">
              <w:rPr>
                <w:rFonts w:ascii="VIC" w:hAnsi="VIC" w:cs="Times New Roman"/>
                <w:sz w:val="20"/>
              </w:rPr>
              <w:t>bund release valve shut</w:t>
            </w:r>
          </w:p>
        </w:tc>
        <w:tc>
          <w:tcPr>
            <w:tcW w:w="820" w:type="pct"/>
          </w:tcPr>
          <w:p w:rsidRPr="009A1192" w:rsidR="009A1192" w:rsidP="009A1192" w:rsidRDefault="009A1192" w14:paraId="0A254D8B" w14:textId="77777777">
            <w:pPr>
              <w:spacing w:before="80" w:after="240"/>
              <w:rPr>
                <w:rFonts w:ascii="VIC" w:hAnsi="VIC" w:cs="Times New Roman"/>
                <w:color w:val="1A1A1A"/>
                <w:sz w:val="20"/>
              </w:rPr>
            </w:pPr>
            <w:r w:rsidRPr="009A1192">
              <w:rPr>
                <w:rFonts w:ascii="VIC" w:hAnsi="VIC" w:cs="Times New Roman"/>
                <w:color w:val="1A1A1A"/>
                <w:sz w:val="20"/>
              </w:rPr>
              <w:t>Prevent contaminants potential of concern from polluting groundwater</w:t>
            </w:r>
          </w:p>
        </w:tc>
        <w:tc>
          <w:tcPr>
            <w:tcW w:w="700" w:type="pct"/>
          </w:tcPr>
          <w:p w:rsidRPr="009A1192" w:rsidR="009A1192" w:rsidP="009A1192" w:rsidRDefault="009A1192" w14:paraId="541C9640" w14:textId="77777777">
            <w:pPr>
              <w:rPr>
                <w:rFonts w:ascii="VIC" w:hAnsi="VIC" w:cs="Times New Roman"/>
                <w:sz w:val="20"/>
              </w:rPr>
            </w:pPr>
            <w:r w:rsidRPr="009A1192">
              <w:rPr>
                <w:rFonts w:ascii="VIC" w:hAnsi="VIC" w:cs="Times New Roman"/>
                <w:sz w:val="20"/>
              </w:rPr>
              <w:t>Inspection records</w:t>
            </w:r>
          </w:p>
        </w:tc>
      </w:tr>
      <w:tr w:rsidRPr="009A1192" w:rsidR="009A1192" w:rsidTr="0035446B" w14:paraId="2AE6FD4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3"/>
        </w:trPr>
        <w:tc>
          <w:tcPr>
            <w:tcW w:w="705" w:type="pct"/>
          </w:tcPr>
          <w:p w:rsidRPr="009A1192" w:rsidR="009A1192" w:rsidP="009A1192" w:rsidRDefault="009A1192" w14:paraId="58521E53" w14:textId="77777777">
            <w:pPr>
              <w:rPr>
                <w:rFonts w:ascii="VIC" w:hAnsi="VIC" w:cs="Times New Roman"/>
                <w:sz w:val="20"/>
              </w:rPr>
            </w:pPr>
            <w:r w:rsidRPr="009A1192">
              <w:rPr>
                <w:rFonts w:ascii="VIC" w:hAnsi="VIC" w:cs="Times New Roman"/>
                <w:sz w:val="20"/>
              </w:rPr>
              <w:t>Odour</w:t>
            </w:r>
          </w:p>
        </w:tc>
        <w:tc>
          <w:tcPr>
            <w:tcW w:w="675" w:type="pct"/>
          </w:tcPr>
          <w:p w:rsidRPr="009A1192" w:rsidR="009A1192" w:rsidP="009A1192" w:rsidRDefault="009A1192" w14:paraId="6162420C" w14:textId="77777777">
            <w:pPr>
              <w:rPr>
                <w:rFonts w:ascii="VIC" w:hAnsi="VIC" w:cs="Times New Roman"/>
                <w:sz w:val="20"/>
              </w:rPr>
            </w:pPr>
            <w:r w:rsidRPr="009A1192">
              <w:rPr>
                <w:rFonts w:ascii="VIC" w:hAnsi="VIC" w:cs="Times New Roman"/>
                <w:sz w:val="20"/>
              </w:rPr>
              <w:t>Continuous operating parameters monitoring</w:t>
            </w:r>
          </w:p>
        </w:tc>
        <w:tc>
          <w:tcPr>
            <w:tcW w:w="544" w:type="pct"/>
          </w:tcPr>
          <w:p w:rsidRPr="009A1192" w:rsidR="009A1192" w:rsidP="009A1192" w:rsidRDefault="009A1192" w14:paraId="118CB5C8" w14:textId="77777777">
            <w:pPr>
              <w:rPr>
                <w:rFonts w:ascii="VIC" w:hAnsi="VIC" w:cs="Times New Roman"/>
                <w:sz w:val="20"/>
              </w:rPr>
            </w:pPr>
            <w:r w:rsidRPr="009A1192">
              <w:rPr>
                <w:rFonts w:ascii="VIC" w:hAnsi="VIC" w:cs="Times New Roman"/>
                <w:sz w:val="20"/>
              </w:rPr>
              <w:t>Real time monitoring</w:t>
            </w:r>
          </w:p>
        </w:tc>
        <w:tc>
          <w:tcPr>
            <w:tcW w:w="734" w:type="pct"/>
          </w:tcPr>
          <w:p w:rsidRPr="009A1192" w:rsidR="009A1192" w:rsidP="009A1192" w:rsidRDefault="009A1192" w14:paraId="5E2670F4" w14:textId="77777777">
            <w:pPr>
              <w:rPr>
                <w:rFonts w:ascii="VIC" w:hAnsi="VIC" w:cs="Times New Roman"/>
                <w:sz w:val="20"/>
              </w:rPr>
            </w:pPr>
            <w:r w:rsidRPr="009A1192">
              <w:rPr>
                <w:rFonts w:ascii="VIC" w:hAnsi="VIC" w:cs="Times New Roman"/>
                <w:sz w:val="20"/>
              </w:rPr>
              <w:t>Biofilter</w:t>
            </w:r>
          </w:p>
        </w:tc>
        <w:tc>
          <w:tcPr>
            <w:tcW w:w="820" w:type="pct"/>
          </w:tcPr>
          <w:p w:rsidRPr="009A1192" w:rsidR="009A1192" w:rsidP="009A1192" w:rsidRDefault="009A1192" w14:paraId="03C81C6F" w14:textId="77777777">
            <w:pPr>
              <w:rPr>
                <w:rFonts w:ascii="VIC" w:hAnsi="VIC" w:cs="Times New Roman"/>
                <w:sz w:val="20"/>
              </w:rPr>
            </w:pPr>
            <w:r w:rsidRPr="009A1192">
              <w:rPr>
                <w:rFonts w:ascii="VIC" w:hAnsi="VIC" w:cs="Times New Roman"/>
                <w:sz w:val="20"/>
              </w:rPr>
              <w:t>Temperature, humidity, pH, moisture, back pressure</w:t>
            </w:r>
          </w:p>
        </w:tc>
        <w:tc>
          <w:tcPr>
            <w:tcW w:w="820" w:type="pct"/>
          </w:tcPr>
          <w:p w:rsidRPr="009A1192" w:rsidR="009A1192" w:rsidP="009A1192" w:rsidRDefault="009A1192" w14:paraId="2EF76EFF" w14:textId="77777777">
            <w:pPr>
              <w:rPr>
                <w:rFonts w:ascii="VIC" w:hAnsi="VIC" w:cs="Times New Roman"/>
                <w:sz w:val="20"/>
              </w:rPr>
            </w:pPr>
            <w:r w:rsidRPr="009A1192">
              <w:rPr>
                <w:rFonts w:ascii="VIC" w:hAnsi="VIC" w:cs="Times New Roman"/>
                <w:sz w:val="20"/>
              </w:rPr>
              <w:t>To maintain optimal conditions in the biofilter to support microbial activity</w:t>
            </w:r>
          </w:p>
        </w:tc>
        <w:tc>
          <w:tcPr>
            <w:tcW w:w="700" w:type="pct"/>
          </w:tcPr>
          <w:p w:rsidRPr="009A1192" w:rsidR="009A1192" w:rsidP="009A1192" w:rsidRDefault="009A1192" w14:paraId="6569E79A" w14:textId="77777777">
            <w:pPr>
              <w:rPr>
                <w:rFonts w:ascii="VIC" w:hAnsi="VIC" w:cs="Times New Roman"/>
                <w:sz w:val="20"/>
              </w:rPr>
            </w:pPr>
            <w:r w:rsidRPr="009A1192">
              <w:rPr>
                <w:rFonts w:ascii="VIC" w:hAnsi="VIC" w:cs="Times New Roman"/>
                <w:sz w:val="20"/>
              </w:rPr>
              <w:t>SCADA data</w:t>
            </w:r>
          </w:p>
        </w:tc>
      </w:tr>
      <w:tr w:rsidRPr="009A1192" w:rsidR="009A1192" w:rsidTr="0035446B" w14:paraId="2C03444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"/>
        </w:trPr>
        <w:tc>
          <w:tcPr>
            <w:tcW w:w="705" w:type="pct"/>
          </w:tcPr>
          <w:p w:rsidRPr="009A1192" w:rsidR="009A1192" w:rsidP="009A1192" w:rsidRDefault="009A1192" w14:paraId="7A8F49B5" w14:textId="77777777">
            <w:pPr>
              <w:spacing w:before="80" w:after="240"/>
              <w:rPr>
                <w:rFonts w:ascii="VIC" w:hAnsi="VIC" w:cs="Times New Roman"/>
                <w:color w:val="1A1A1A"/>
                <w:sz w:val="20"/>
              </w:rPr>
            </w:pPr>
            <w:r w:rsidRPr="009A1192">
              <w:rPr>
                <w:rFonts w:ascii="VIC" w:hAnsi="VIC" w:cs="Times New Roman"/>
                <w:color w:val="1A1A1A"/>
                <w:sz w:val="20"/>
              </w:rPr>
              <w:t>Odour</w:t>
            </w:r>
          </w:p>
        </w:tc>
        <w:tc>
          <w:tcPr>
            <w:tcW w:w="675" w:type="pct"/>
          </w:tcPr>
          <w:p w:rsidRPr="009A1192" w:rsidR="009A1192" w:rsidP="009A1192" w:rsidRDefault="009A1192" w14:paraId="660B9871" w14:textId="77777777">
            <w:pPr>
              <w:spacing w:before="80" w:after="240"/>
              <w:rPr>
                <w:rFonts w:ascii="VIC" w:hAnsi="VIC" w:cs="Times New Roman"/>
                <w:color w:val="1A1A1A"/>
                <w:sz w:val="20"/>
              </w:rPr>
            </w:pPr>
            <w:r w:rsidRPr="009A1192">
              <w:rPr>
                <w:rFonts w:ascii="VIC" w:hAnsi="VIC" w:cs="Times New Roman"/>
                <w:color w:val="1A1A1A"/>
                <w:sz w:val="20"/>
              </w:rPr>
              <w:t>Biofilter performance assessment</w:t>
            </w:r>
          </w:p>
        </w:tc>
        <w:tc>
          <w:tcPr>
            <w:tcW w:w="544" w:type="pct"/>
          </w:tcPr>
          <w:p w:rsidRPr="009A1192" w:rsidR="009A1192" w:rsidP="009A1192" w:rsidRDefault="009A1192" w14:paraId="65E41245" w14:textId="77777777">
            <w:pPr>
              <w:spacing w:before="80" w:after="240"/>
              <w:rPr>
                <w:rFonts w:ascii="VIC" w:hAnsi="VIC" w:cs="Times New Roman"/>
                <w:color w:val="1A1A1A"/>
                <w:sz w:val="20"/>
              </w:rPr>
            </w:pPr>
            <w:r w:rsidRPr="009A1192">
              <w:rPr>
                <w:rFonts w:ascii="VIC" w:hAnsi="VIC" w:cs="Times New Roman"/>
                <w:color w:val="1A1A1A"/>
                <w:sz w:val="20"/>
              </w:rPr>
              <w:t>Quarterly</w:t>
            </w:r>
          </w:p>
        </w:tc>
        <w:tc>
          <w:tcPr>
            <w:tcW w:w="734" w:type="pct"/>
          </w:tcPr>
          <w:p w:rsidRPr="009A1192" w:rsidR="009A1192" w:rsidP="009A1192" w:rsidRDefault="009A1192" w14:paraId="799DDE7E" w14:textId="77777777">
            <w:pPr>
              <w:spacing w:before="80" w:after="240"/>
              <w:rPr>
                <w:rFonts w:ascii="VIC" w:hAnsi="VIC" w:cs="Times New Roman"/>
                <w:color w:val="1A1A1A"/>
                <w:sz w:val="20"/>
              </w:rPr>
            </w:pPr>
            <w:r w:rsidRPr="009A1192">
              <w:rPr>
                <w:rFonts w:ascii="VIC" w:hAnsi="VIC" w:cs="Times New Roman"/>
                <w:color w:val="1A1A1A"/>
                <w:sz w:val="20"/>
              </w:rPr>
              <w:t>Biofilter</w:t>
            </w:r>
          </w:p>
        </w:tc>
        <w:tc>
          <w:tcPr>
            <w:tcW w:w="820" w:type="pct"/>
          </w:tcPr>
          <w:p w:rsidRPr="009A1192" w:rsidR="009A1192" w:rsidP="009A1192" w:rsidRDefault="009A1192" w14:paraId="386D8A86" w14:textId="77777777">
            <w:pPr>
              <w:spacing w:before="80" w:after="240"/>
              <w:rPr>
                <w:rFonts w:ascii="VIC" w:hAnsi="VIC" w:cs="Times New Roman"/>
                <w:color w:val="1A1A1A"/>
                <w:sz w:val="20"/>
              </w:rPr>
            </w:pPr>
            <w:r w:rsidRPr="009A1192">
              <w:rPr>
                <w:rFonts w:ascii="VIC" w:hAnsi="VIC" w:cs="Times New Roman"/>
                <w:color w:val="1A1A1A"/>
                <w:sz w:val="20"/>
              </w:rPr>
              <w:t>Flow distribution across surface of biofilter</w:t>
            </w:r>
          </w:p>
        </w:tc>
        <w:tc>
          <w:tcPr>
            <w:tcW w:w="820" w:type="pct"/>
          </w:tcPr>
          <w:p w:rsidRPr="009A1192" w:rsidR="009A1192" w:rsidP="009A1192" w:rsidRDefault="009A1192" w14:paraId="5D680F2B" w14:textId="77777777">
            <w:pPr>
              <w:spacing w:before="80" w:after="240"/>
              <w:rPr>
                <w:rFonts w:ascii="VIC" w:hAnsi="VIC" w:cs="Times New Roman"/>
                <w:color w:val="1A1A1A"/>
                <w:sz w:val="20"/>
              </w:rPr>
            </w:pPr>
            <w:r w:rsidRPr="009A1192">
              <w:rPr>
                <w:rFonts w:ascii="VIC" w:hAnsi="VIC" w:cs="Times New Roman"/>
                <w:color w:val="1A1A1A"/>
                <w:sz w:val="20"/>
              </w:rPr>
              <w:t>Less than +/- 25% variation in flow across sections of biofilter surface</w:t>
            </w:r>
          </w:p>
        </w:tc>
        <w:tc>
          <w:tcPr>
            <w:tcW w:w="700" w:type="pct"/>
          </w:tcPr>
          <w:p w:rsidRPr="009A1192" w:rsidR="009A1192" w:rsidP="009A1192" w:rsidRDefault="009A1192" w14:paraId="7C1AD250" w14:textId="77777777">
            <w:pPr>
              <w:spacing w:before="80" w:after="240"/>
              <w:rPr>
                <w:rFonts w:ascii="VIC" w:hAnsi="VIC" w:cs="Times New Roman"/>
                <w:color w:val="1A1A1A"/>
                <w:sz w:val="20"/>
              </w:rPr>
            </w:pPr>
            <w:r w:rsidRPr="009A1192">
              <w:rPr>
                <w:rFonts w:ascii="VIC" w:hAnsi="VIC" w:cs="Times New Roman"/>
                <w:color w:val="1A1A1A"/>
                <w:sz w:val="20"/>
              </w:rPr>
              <w:t>Biofilter flow testing spreadsheet</w:t>
            </w:r>
          </w:p>
        </w:tc>
      </w:tr>
      <w:tr w:rsidRPr="009A1192" w:rsidR="009A1192" w:rsidTr="0035446B" w14:paraId="5F717AF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tcW w:w="705" w:type="pct"/>
          </w:tcPr>
          <w:p w:rsidRPr="009A1192" w:rsidR="009A1192" w:rsidP="009A1192" w:rsidRDefault="009A1192" w14:paraId="145ED2A0" w14:textId="77777777">
            <w:pPr>
              <w:spacing w:before="80" w:after="240"/>
              <w:rPr>
                <w:rFonts w:ascii="VIC" w:hAnsi="VIC" w:cs="Times New Roman"/>
                <w:color w:val="1A1A1A"/>
                <w:sz w:val="20"/>
              </w:rPr>
            </w:pPr>
            <w:r w:rsidRPr="009A1192">
              <w:rPr>
                <w:rFonts w:ascii="VIC" w:hAnsi="VIC" w:cs="Times New Roman"/>
                <w:color w:val="1A1A1A"/>
                <w:sz w:val="20"/>
              </w:rPr>
              <w:t>Odour</w:t>
            </w:r>
          </w:p>
        </w:tc>
        <w:tc>
          <w:tcPr>
            <w:tcW w:w="675" w:type="pct"/>
          </w:tcPr>
          <w:p w:rsidRPr="009A1192" w:rsidR="009A1192" w:rsidP="009A1192" w:rsidRDefault="009A1192" w14:paraId="14C30983" w14:textId="77777777">
            <w:pPr>
              <w:spacing w:before="80" w:after="240"/>
              <w:rPr>
                <w:rFonts w:ascii="VIC" w:hAnsi="VIC" w:cs="Times New Roman"/>
                <w:color w:val="1A1A1A"/>
                <w:sz w:val="20"/>
              </w:rPr>
            </w:pPr>
            <w:r w:rsidRPr="009A1192">
              <w:rPr>
                <w:rFonts w:ascii="VIC" w:hAnsi="VIC" w:cs="Times New Roman"/>
                <w:color w:val="1A1A1A"/>
                <w:sz w:val="20"/>
              </w:rPr>
              <w:t>Biofilter performance assessment</w:t>
            </w:r>
          </w:p>
        </w:tc>
        <w:tc>
          <w:tcPr>
            <w:tcW w:w="544" w:type="pct"/>
          </w:tcPr>
          <w:p w:rsidRPr="009A1192" w:rsidR="009A1192" w:rsidP="009A1192" w:rsidRDefault="009A1192" w14:paraId="1950A1B6" w14:textId="77777777">
            <w:pPr>
              <w:spacing w:before="80" w:after="240"/>
              <w:rPr>
                <w:rFonts w:ascii="VIC" w:hAnsi="VIC" w:cs="Times New Roman"/>
                <w:color w:val="1A1A1A"/>
                <w:sz w:val="20"/>
              </w:rPr>
            </w:pPr>
            <w:r w:rsidRPr="009A1192">
              <w:rPr>
                <w:rFonts w:ascii="VIC" w:hAnsi="VIC" w:cs="Times New Roman"/>
                <w:color w:val="1A1A1A"/>
                <w:sz w:val="20"/>
              </w:rPr>
              <w:t>Annually</w:t>
            </w:r>
          </w:p>
        </w:tc>
        <w:tc>
          <w:tcPr>
            <w:tcW w:w="734" w:type="pct"/>
          </w:tcPr>
          <w:p w:rsidRPr="009A1192" w:rsidR="009A1192" w:rsidP="009A1192" w:rsidRDefault="009A1192" w14:paraId="455882A8" w14:textId="77777777">
            <w:pPr>
              <w:spacing w:before="80" w:after="240"/>
              <w:rPr>
                <w:rFonts w:ascii="VIC" w:hAnsi="VIC" w:cs="Times New Roman"/>
                <w:color w:val="1A1A1A"/>
                <w:sz w:val="20"/>
              </w:rPr>
            </w:pPr>
            <w:r w:rsidRPr="009A1192">
              <w:rPr>
                <w:rFonts w:ascii="VIC" w:hAnsi="VIC" w:cs="Times New Roman"/>
                <w:color w:val="1A1A1A"/>
                <w:sz w:val="20"/>
              </w:rPr>
              <w:t>Biofilter</w:t>
            </w:r>
          </w:p>
        </w:tc>
        <w:tc>
          <w:tcPr>
            <w:tcW w:w="820" w:type="pct"/>
          </w:tcPr>
          <w:p w:rsidRPr="009A1192" w:rsidR="009A1192" w:rsidP="009A1192" w:rsidRDefault="009A1192" w14:paraId="6F994211" w14:textId="77777777">
            <w:pPr>
              <w:spacing w:before="80" w:after="240"/>
              <w:rPr>
                <w:rFonts w:ascii="VIC" w:hAnsi="VIC" w:cs="Times New Roman"/>
                <w:color w:val="1A1A1A"/>
                <w:sz w:val="20"/>
              </w:rPr>
            </w:pPr>
            <w:r w:rsidRPr="009A1192">
              <w:rPr>
                <w:rFonts w:ascii="VIC" w:hAnsi="VIC" w:cs="Times New Roman"/>
                <w:color w:val="1A1A1A"/>
                <w:sz w:val="20"/>
              </w:rPr>
              <w:t>Odour concentration and character</w:t>
            </w:r>
          </w:p>
        </w:tc>
        <w:tc>
          <w:tcPr>
            <w:tcW w:w="820" w:type="pct"/>
          </w:tcPr>
          <w:p w:rsidRPr="009A1192" w:rsidR="009A1192" w:rsidP="009A1192" w:rsidRDefault="009A1192" w14:paraId="65887A9D" w14:textId="77777777">
            <w:pPr>
              <w:spacing w:before="80" w:after="240"/>
              <w:rPr>
                <w:rFonts w:ascii="VIC" w:hAnsi="VIC" w:cs="Times New Roman"/>
                <w:color w:val="1A1A1A"/>
                <w:sz w:val="20"/>
              </w:rPr>
            </w:pPr>
            <w:r w:rsidRPr="009A1192">
              <w:rPr>
                <w:rFonts w:ascii="VIC" w:hAnsi="VIC" w:cs="Times New Roman"/>
                <w:color w:val="1A1A1A"/>
                <w:sz w:val="20"/>
              </w:rPr>
              <w:t xml:space="preserve">&lt;500 Odour </w:t>
            </w:r>
            <w:proofErr w:type="gramStart"/>
            <w:r w:rsidRPr="009A1192">
              <w:rPr>
                <w:rFonts w:ascii="VIC" w:hAnsi="VIC" w:cs="Times New Roman"/>
                <w:color w:val="1A1A1A"/>
                <w:sz w:val="20"/>
              </w:rPr>
              <w:t>units</w:t>
            </w:r>
            <w:proofErr w:type="gramEnd"/>
            <w:r w:rsidRPr="009A1192">
              <w:rPr>
                <w:rFonts w:ascii="VIC" w:hAnsi="VIC" w:cs="Times New Roman"/>
                <w:color w:val="1A1A1A"/>
                <w:sz w:val="20"/>
              </w:rPr>
              <w:t xml:space="preserve"> concentration, neutral or earthy odour character</w:t>
            </w:r>
          </w:p>
        </w:tc>
        <w:tc>
          <w:tcPr>
            <w:tcW w:w="700" w:type="pct"/>
          </w:tcPr>
          <w:p w:rsidRPr="009A1192" w:rsidR="009A1192" w:rsidP="009A1192" w:rsidRDefault="009A1192" w14:paraId="3FD4BD5D" w14:textId="77777777">
            <w:pPr>
              <w:spacing w:before="80" w:after="240"/>
              <w:rPr>
                <w:rFonts w:ascii="VIC" w:hAnsi="VIC" w:cs="Times New Roman"/>
                <w:color w:val="1A1A1A"/>
                <w:sz w:val="20"/>
              </w:rPr>
            </w:pPr>
            <w:r w:rsidRPr="009A1192">
              <w:rPr>
                <w:rFonts w:ascii="VIC" w:hAnsi="VIC" w:cs="Times New Roman"/>
                <w:color w:val="1A1A1A"/>
                <w:sz w:val="20"/>
              </w:rPr>
              <w:t>Stack testing report</w:t>
            </w:r>
          </w:p>
        </w:tc>
      </w:tr>
      <w:tr w:rsidRPr="009A1192" w:rsidR="009A1192" w:rsidTr="0035446B" w14:paraId="6C6CA25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90"/>
        </w:trPr>
        <w:tc>
          <w:tcPr>
            <w:tcW w:w="705" w:type="pct"/>
          </w:tcPr>
          <w:p w:rsidRPr="009A1192" w:rsidR="009A1192" w:rsidP="009A1192" w:rsidRDefault="009A1192" w14:paraId="1F864772" w14:textId="77777777">
            <w:pPr>
              <w:rPr>
                <w:rFonts w:ascii="VIC" w:hAnsi="VIC" w:cs="Times New Roman"/>
                <w:sz w:val="20"/>
              </w:rPr>
            </w:pPr>
            <w:r w:rsidRPr="009A1192">
              <w:rPr>
                <w:rFonts w:ascii="VIC" w:hAnsi="VIC" w:cs="Times New Roman"/>
                <w:sz w:val="20"/>
              </w:rPr>
              <w:t>Air quality</w:t>
            </w:r>
          </w:p>
        </w:tc>
        <w:tc>
          <w:tcPr>
            <w:tcW w:w="675" w:type="pct"/>
          </w:tcPr>
          <w:p w:rsidRPr="009A1192" w:rsidR="009A1192" w:rsidP="009A1192" w:rsidRDefault="009A1192" w14:paraId="7D6F965C" w14:textId="77777777">
            <w:pPr>
              <w:rPr>
                <w:rFonts w:ascii="VIC" w:hAnsi="VIC" w:cs="Times New Roman"/>
                <w:sz w:val="20"/>
              </w:rPr>
            </w:pPr>
            <w:r w:rsidRPr="009A1192">
              <w:rPr>
                <w:rFonts w:ascii="VIC" w:hAnsi="VIC" w:cs="Times New Roman"/>
                <w:sz w:val="20"/>
              </w:rPr>
              <w:t>Continuous emissions monitoring of DP01, DP02 and DP03</w:t>
            </w:r>
          </w:p>
        </w:tc>
        <w:tc>
          <w:tcPr>
            <w:tcW w:w="544" w:type="pct"/>
          </w:tcPr>
          <w:p w:rsidRPr="009A1192" w:rsidR="009A1192" w:rsidP="009A1192" w:rsidRDefault="009A1192" w14:paraId="3CE83F3C" w14:textId="77777777">
            <w:pPr>
              <w:rPr>
                <w:rFonts w:ascii="VIC" w:hAnsi="VIC" w:cs="Times New Roman"/>
                <w:sz w:val="20"/>
              </w:rPr>
            </w:pPr>
            <w:r w:rsidRPr="009A1192">
              <w:rPr>
                <w:rFonts w:ascii="VIC" w:hAnsi="VIC" w:cs="Times New Roman"/>
                <w:sz w:val="20"/>
              </w:rPr>
              <w:t>Real time monitoring</w:t>
            </w:r>
          </w:p>
        </w:tc>
        <w:tc>
          <w:tcPr>
            <w:tcW w:w="734" w:type="pct"/>
          </w:tcPr>
          <w:p w:rsidRPr="009A1192" w:rsidR="009A1192" w:rsidP="009A1192" w:rsidRDefault="009A1192" w14:paraId="34CEA55B" w14:textId="77777777">
            <w:pPr>
              <w:rPr>
                <w:rFonts w:ascii="VIC" w:hAnsi="VIC" w:cs="Times New Roman"/>
                <w:sz w:val="20"/>
              </w:rPr>
            </w:pPr>
            <w:r w:rsidRPr="009A1192">
              <w:rPr>
                <w:rFonts w:ascii="VIC" w:hAnsi="VIC" w:cs="Times New Roman"/>
                <w:sz w:val="20"/>
              </w:rPr>
              <w:t>Water injection (to minimise NO</w:t>
            </w:r>
            <w:r w:rsidRPr="009A1192">
              <w:rPr>
                <w:rFonts w:ascii="VIC" w:hAnsi="VIC" w:cs="Times New Roman"/>
                <w:sz w:val="20"/>
                <w:vertAlign w:val="subscript"/>
              </w:rPr>
              <w:t>X</w:t>
            </w:r>
            <w:r w:rsidRPr="009A1192">
              <w:rPr>
                <w:rFonts w:ascii="VIC" w:hAnsi="VIC" w:cs="Times New Roman"/>
                <w:sz w:val="20"/>
              </w:rPr>
              <w:t>)</w:t>
            </w:r>
          </w:p>
        </w:tc>
        <w:tc>
          <w:tcPr>
            <w:tcW w:w="820" w:type="pct"/>
          </w:tcPr>
          <w:p w:rsidRPr="009A1192" w:rsidR="009A1192" w:rsidP="009A1192" w:rsidRDefault="009A1192" w14:paraId="76AA759D" w14:textId="77777777">
            <w:pPr>
              <w:rPr>
                <w:rFonts w:ascii="VIC" w:hAnsi="VIC" w:cs="Times New Roman"/>
                <w:sz w:val="20"/>
              </w:rPr>
            </w:pPr>
            <w:r w:rsidRPr="009A1192">
              <w:rPr>
                <w:rFonts w:ascii="VIC" w:hAnsi="VIC" w:cs="Times New Roman"/>
                <w:sz w:val="20"/>
              </w:rPr>
              <w:t>NO</w:t>
            </w:r>
            <w:r w:rsidRPr="009A1192">
              <w:rPr>
                <w:rFonts w:ascii="VIC" w:hAnsi="VIC" w:cs="Times New Roman"/>
                <w:sz w:val="20"/>
                <w:vertAlign w:val="subscript"/>
              </w:rPr>
              <w:t>X</w:t>
            </w:r>
          </w:p>
        </w:tc>
        <w:tc>
          <w:tcPr>
            <w:tcW w:w="820" w:type="pct"/>
          </w:tcPr>
          <w:p w:rsidRPr="009A1192" w:rsidR="009A1192" w:rsidP="009A1192" w:rsidRDefault="009A1192" w14:paraId="046EF4E9" w14:textId="77777777">
            <w:pPr>
              <w:rPr>
                <w:rFonts w:ascii="VIC" w:hAnsi="VIC" w:cs="Times New Roman"/>
                <w:sz w:val="20"/>
              </w:rPr>
            </w:pPr>
            <w:r w:rsidRPr="009A1192">
              <w:rPr>
                <w:rFonts w:ascii="VIC" w:hAnsi="VIC" w:cs="Times New Roman"/>
                <w:sz w:val="20"/>
              </w:rPr>
              <w:t>Reduce the emissions of NO</w:t>
            </w:r>
            <w:r w:rsidRPr="009A1192">
              <w:rPr>
                <w:rFonts w:ascii="VIC" w:hAnsi="VIC" w:cs="Times New Roman"/>
                <w:sz w:val="20"/>
                <w:vertAlign w:val="subscript"/>
              </w:rPr>
              <w:t>x</w:t>
            </w:r>
            <w:r w:rsidRPr="009A1192">
              <w:rPr>
                <w:rFonts w:ascii="VIC" w:hAnsi="VIC" w:cs="Times New Roman"/>
                <w:sz w:val="20"/>
              </w:rPr>
              <w:t xml:space="preserve"> by 30% within the next 12 months compared to 2022/23 air monitoring results</w:t>
            </w:r>
          </w:p>
        </w:tc>
        <w:tc>
          <w:tcPr>
            <w:tcW w:w="700" w:type="pct"/>
          </w:tcPr>
          <w:p w:rsidRPr="009A1192" w:rsidR="009A1192" w:rsidP="009A1192" w:rsidRDefault="009A1192" w14:paraId="2FB63F46" w14:textId="77777777">
            <w:pPr>
              <w:rPr>
                <w:rFonts w:ascii="VIC" w:hAnsi="VIC" w:cs="Times New Roman"/>
                <w:sz w:val="20"/>
              </w:rPr>
            </w:pPr>
            <w:r w:rsidRPr="009A1192">
              <w:rPr>
                <w:rFonts w:ascii="VIC" w:hAnsi="VIC" w:cs="Times New Roman"/>
                <w:sz w:val="20"/>
              </w:rPr>
              <w:t>SCADA data</w:t>
            </w:r>
          </w:p>
          <w:p w:rsidRPr="009A1192" w:rsidR="009A1192" w:rsidP="009A1192" w:rsidRDefault="009A1192" w14:paraId="7DA635D8" w14:textId="77777777">
            <w:pPr>
              <w:rPr>
                <w:rFonts w:ascii="VIC" w:hAnsi="VIC" w:cs="Times New Roman"/>
                <w:sz w:val="20"/>
              </w:rPr>
            </w:pPr>
          </w:p>
        </w:tc>
      </w:tr>
      <w:tr w:rsidRPr="009A1192" w:rsidR="009A1192" w:rsidTr="0035446B" w14:paraId="4F17ED4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05" w:type="pct"/>
          </w:tcPr>
          <w:p w:rsidRPr="009A1192" w:rsidR="009A1192" w:rsidP="009A1192" w:rsidRDefault="009A1192" w14:paraId="1E9DD694" w14:textId="77777777">
            <w:pPr>
              <w:rPr>
                <w:rFonts w:ascii="VIC" w:hAnsi="VIC" w:cs="Times New Roman"/>
                <w:sz w:val="20"/>
              </w:rPr>
            </w:pPr>
            <w:r w:rsidRPr="009A1192">
              <w:rPr>
                <w:rFonts w:ascii="VIC" w:hAnsi="VIC" w:cs="Times New Roman"/>
                <w:sz w:val="20"/>
              </w:rPr>
              <w:t>Air quality</w:t>
            </w:r>
          </w:p>
        </w:tc>
        <w:tc>
          <w:tcPr>
            <w:tcW w:w="675" w:type="pct"/>
          </w:tcPr>
          <w:p w:rsidRPr="009A1192" w:rsidR="009A1192" w:rsidP="009A1192" w:rsidRDefault="009A1192" w14:paraId="283DAAEF" w14:textId="77777777">
            <w:pPr>
              <w:rPr>
                <w:rFonts w:ascii="VIC" w:hAnsi="VIC" w:cs="Times New Roman"/>
                <w:sz w:val="20"/>
              </w:rPr>
            </w:pPr>
            <w:r w:rsidRPr="009A1192">
              <w:rPr>
                <w:rFonts w:ascii="VIC" w:hAnsi="VIC" w:cs="Times New Roman"/>
                <w:sz w:val="20"/>
              </w:rPr>
              <w:t>Stack testing</w:t>
            </w:r>
          </w:p>
        </w:tc>
        <w:tc>
          <w:tcPr>
            <w:tcW w:w="544" w:type="pct"/>
          </w:tcPr>
          <w:p w:rsidRPr="009A1192" w:rsidR="009A1192" w:rsidP="009A1192" w:rsidRDefault="009A1192" w14:paraId="60D34B05" w14:textId="77777777">
            <w:pPr>
              <w:rPr>
                <w:rFonts w:ascii="VIC" w:hAnsi="VIC" w:cs="Times New Roman"/>
                <w:sz w:val="20"/>
              </w:rPr>
            </w:pPr>
            <w:r w:rsidRPr="009A1192">
              <w:rPr>
                <w:rFonts w:ascii="VIC" w:hAnsi="VIC" w:cs="Times New Roman"/>
                <w:sz w:val="20"/>
              </w:rPr>
              <w:t>Annually</w:t>
            </w:r>
          </w:p>
        </w:tc>
        <w:tc>
          <w:tcPr>
            <w:tcW w:w="734" w:type="pct"/>
          </w:tcPr>
          <w:p w:rsidRPr="009A1192" w:rsidR="009A1192" w:rsidP="009A1192" w:rsidRDefault="009A1192" w14:paraId="24F1E180" w14:textId="77777777">
            <w:pPr>
              <w:rPr>
                <w:rFonts w:ascii="VIC" w:hAnsi="VIC" w:cs="Times New Roman"/>
                <w:sz w:val="20"/>
              </w:rPr>
            </w:pPr>
            <w:r w:rsidRPr="009A1192">
              <w:rPr>
                <w:rFonts w:ascii="VIC" w:hAnsi="VIC" w:cs="Times New Roman"/>
                <w:sz w:val="20"/>
              </w:rPr>
              <w:t>Wet scrubber</w:t>
            </w:r>
          </w:p>
        </w:tc>
        <w:tc>
          <w:tcPr>
            <w:tcW w:w="820" w:type="pct"/>
          </w:tcPr>
          <w:p w:rsidRPr="009A1192" w:rsidR="009A1192" w:rsidP="009A1192" w:rsidRDefault="009A1192" w14:paraId="6E64A771" w14:textId="77777777">
            <w:pPr>
              <w:rPr>
                <w:rFonts w:ascii="VIC" w:hAnsi="VIC" w:cs="Times New Roman"/>
                <w:sz w:val="20"/>
              </w:rPr>
            </w:pPr>
            <w:r w:rsidRPr="009A1192">
              <w:rPr>
                <w:rFonts w:ascii="VIC" w:hAnsi="VIC" w:cs="Times New Roman"/>
                <w:sz w:val="20"/>
              </w:rPr>
              <w:t>SO</w:t>
            </w:r>
            <w:r w:rsidRPr="009A1192">
              <w:rPr>
                <w:rFonts w:ascii="VIC" w:hAnsi="VIC" w:cs="Times New Roman"/>
                <w:sz w:val="20"/>
                <w:vertAlign w:val="subscript"/>
              </w:rPr>
              <w:t>2</w:t>
            </w:r>
          </w:p>
        </w:tc>
        <w:tc>
          <w:tcPr>
            <w:tcW w:w="820" w:type="pct"/>
          </w:tcPr>
          <w:p w:rsidRPr="009A1192" w:rsidR="009A1192" w:rsidP="009A1192" w:rsidRDefault="009A1192" w14:paraId="26787FE1" w14:textId="77777777">
            <w:pPr>
              <w:rPr>
                <w:rFonts w:ascii="VIC" w:hAnsi="VIC" w:cs="Times New Roman"/>
                <w:sz w:val="20"/>
              </w:rPr>
            </w:pPr>
            <w:r w:rsidRPr="009A1192">
              <w:rPr>
                <w:rFonts w:ascii="VIC" w:hAnsi="VIC" w:cs="Times New Roman"/>
                <w:sz w:val="20"/>
              </w:rPr>
              <w:t>Reduce the emissions of SO</w:t>
            </w:r>
            <w:r w:rsidRPr="009A1192">
              <w:rPr>
                <w:rFonts w:ascii="VIC" w:hAnsi="VIC" w:cs="Times New Roman"/>
                <w:sz w:val="20"/>
                <w:vertAlign w:val="subscript"/>
              </w:rPr>
              <w:t>2</w:t>
            </w:r>
            <w:r w:rsidRPr="009A1192">
              <w:rPr>
                <w:rFonts w:ascii="VIC" w:hAnsi="VIC" w:cs="Times New Roman"/>
                <w:sz w:val="20"/>
              </w:rPr>
              <w:t xml:space="preserve"> by 30% within the next 12 months compared to 2022/23 air monitoring results</w:t>
            </w:r>
          </w:p>
        </w:tc>
        <w:tc>
          <w:tcPr>
            <w:tcW w:w="700" w:type="pct"/>
          </w:tcPr>
          <w:p w:rsidRPr="009A1192" w:rsidR="009A1192" w:rsidP="009A1192" w:rsidRDefault="009A1192" w14:paraId="77CEAEE1" w14:textId="77777777">
            <w:pPr>
              <w:rPr>
                <w:rFonts w:ascii="VIC" w:hAnsi="VIC" w:cs="Times New Roman"/>
                <w:sz w:val="20"/>
              </w:rPr>
            </w:pPr>
            <w:r w:rsidRPr="009A1192">
              <w:rPr>
                <w:rFonts w:ascii="VIC" w:hAnsi="VIC" w:cs="Times New Roman"/>
                <w:sz w:val="20"/>
              </w:rPr>
              <w:t>Stack testing reports</w:t>
            </w:r>
          </w:p>
        </w:tc>
      </w:tr>
      <w:tr w:rsidRPr="009A1192" w:rsidR="009A1192" w:rsidTr="0035446B" w14:paraId="0F95799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40"/>
        </w:trPr>
        <w:tc>
          <w:tcPr>
            <w:tcW w:w="705" w:type="pct"/>
          </w:tcPr>
          <w:p w:rsidRPr="009A1192" w:rsidR="009A1192" w:rsidP="009A1192" w:rsidRDefault="009A1192" w14:paraId="63F62989" w14:textId="77777777">
            <w:pPr>
              <w:rPr>
                <w:rFonts w:ascii="VIC" w:hAnsi="VIC" w:cs="Times New Roman"/>
                <w:sz w:val="20"/>
              </w:rPr>
            </w:pPr>
            <w:r w:rsidRPr="009A1192">
              <w:rPr>
                <w:rFonts w:ascii="VIC" w:hAnsi="VIC" w:cs="Times New Roman"/>
                <w:sz w:val="20"/>
              </w:rPr>
              <w:t>Surface water</w:t>
            </w:r>
          </w:p>
        </w:tc>
        <w:tc>
          <w:tcPr>
            <w:tcW w:w="675" w:type="pct"/>
          </w:tcPr>
          <w:p w:rsidRPr="009A1192" w:rsidR="009A1192" w:rsidP="009A1192" w:rsidRDefault="009A1192" w14:paraId="75A452D2" w14:textId="77777777">
            <w:pPr>
              <w:rPr>
                <w:rFonts w:ascii="VIC" w:hAnsi="VIC" w:cs="Times New Roman"/>
                <w:sz w:val="20"/>
              </w:rPr>
            </w:pPr>
            <w:r w:rsidRPr="009A1192">
              <w:rPr>
                <w:rFonts w:ascii="VIC" w:hAnsi="VIC" w:cs="Times New Roman"/>
                <w:sz w:val="20"/>
              </w:rPr>
              <w:t>Wastewater monitoring program</w:t>
            </w:r>
          </w:p>
        </w:tc>
        <w:tc>
          <w:tcPr>
            <w:tcW w:w="544" w:type="pct"/>
          </w:tcPr>
          <w:p w:rsidRPr="009A1192" w:rsidR="009A1192" w:rsidP="009A1192" w:rsidRDefault="009A1192" w14:paraId="3C0A2B44" w14:textId="77777777">
            <w:pPr>
              <w:rPr>
                <w:rFonts w:ascii="VIC" w:hAnsi="VIC" w:cs="Times New Roman"/>
                <w:sz w:val="20"/>
              </w:rPr>
            </w:pPr>
            <w:r w:rsidRPr="009A1192">
              <w:rPr>
                <w:rFonts w:ascii="VIC" w:hAnsi="VIC" w:cs="Times New Roman"/>
                <w:sz w:val="20"/>
              </w:rPr>
              <w:t>Real time monitoring</w:t>
            </w:r>
          </w:p>
        </w:tc>
        <w:tc>
          <w:tcPr>
            <w:tcW w:w="734" w:type="pct"/>
          </w:tcPr>
          <w:p w:rsidRPr="009A1192" w:rsidR="009A1192" w:rsidP="009A1192" w:rsidRDefault="009A1192" w14:paraId="6D2A959C" w14:textId="77777777">
            <w:pPr>
              <w:rPr>
                <w:rFonts w:ascii="VIC" w:hAnsi="VIC" w:cs="Times New Roman"/>
                <w:sz w:val="20"/>
              </w:rPr>
            </w:pPr>
            <w:r w:rsidRPr="009A1192">
              <w:rPr>
                <w:rFonts w:ascii="VIC" w:hAnsi="VIC" w:cs="Times New Roman"/>
                <w:sz w:val="20"/>
              </w:rPr>
              <w:t xml:space="preserve">Dissolved air flotation </w:t>
            </w:r>
          </w:p>
        </w:tc>
        <w:tc>
          <w:tcPr>
            <w:tcW w:w="820" w:type="pct"/>
          </w:tcPr>
          <w:p w:rsidRPr="009A1192" w:rsidR="009A1192" w:rsidP="009A1192" w:rsidRDefault="009A1192" w14:paraId="15BA6D92" w14:textId="77777777">
            <w:pPr>
              <w:rPr>
                <w:rFonts w:ascii="VIC" w:hAnsi="VIC" w:cs="Times New Roman"/>
                <w:sz w:val="20"/>
              </w:rPr>
            </w:pPr>
            <w:r w:rsidRPr="009A1192">
              <w:rPr>
                <w:rFonts w:ascii="VIC" w:hAnsi="VIC" w:cs="Times New Roman"/>
                <w:sz w:val="20"/>
              </w:rPr>
              <w:t>Water quality parameters: pH, turbidity, conductivity, DO</w:t>
            </w:r>
          </w:p>
        </w:tc>
        <w:tc>
          <w:tcPr>
            <w:tcW w:w="820" w:type="pct"/>
          </w:tcPr>
          <w:p w:rsidRPr="009A1192" w:rsidR="009A1192" w:rsidP="009A1192" w:rsidRDefault="009A1192" w14:paraId="2C0A4318" w14:textId="77777777">
            <w:pPr>
              <w:rPr>
                <w:rFonts w:ascii="VIC" w:hAnsi="VIC" w:cs="Times New Roman"/>
                <w:sz w:val="20"/>
              </w:rPr>
            </w:pPr>
            <w:r w:rsidRPr="009A1192">
              <w:rPr>
                <w:rFonts w:ascii="VIC" w:hAnsi="VIC" w:cs="Times New Roman"/>
                <w:sz w:val="20"/>
              </w:rPr>
              <w:t>Achieve a minimum 90% reduction in Chemical Oxygen Demand (COD), Total Suspended Solids (TSS), and Total Nitrogen (TN) in treated wastewater, and ensure final effluent concentrations remain below 50 mg/L COD, 20</w:t>
            </w:r>
            <w:r w:rsidRPr="009A1192">
              <w:rPr>
                <w:rFonts w:ascii="Calibri" w:hAnsi="Calibri" w:cs="Calibri"/>
                <w:sz w:val="20"/>
              </w:rPr>
              <w:t> </w:t>
            </w:r>
            <w:r w:rsidRPr="009A1192">
              <w:rPr>
                <w:rFonts w:ascii="VIC" w:hAnsi="VIC" w:cs="Times New Roman"/>
                <w:sz w:val="20"/>
              </w:rPr>
              <w:t>mg/L TSS, and 10</w:t>
            </w:r>
            <w:r w:rsidRPr="009A1192">
              <w:rPr>
                <w:rFonts w:ascii="Calibri" w:hAnsi="Calibri" w:cs="Calibri"/>
                <w:sz w:val="20"/>
              </w:rPr>
              <w:t> </w:t>
            </w:r>
            <w:r w:rsidRPr="009A1192">
              <w:rPr>
                <w:rFonts w:ascii="VIC" w:hAnsi="VIC" w:cs="Times New Roman"/>
                <w:sz w:val="20"/>
              </w:rPr>
              <w:t>mg/L TN prior to offsite discharge. Reduce organic matter, TSS and nutrient load in treated wastewater by 90% before it is discharged offsite</w:t>
            </w:r>
          </w:p>
        </w:tc>
        <w:tc>
          <w:tcPr>
            <w:tcW w:w="700" w:type="pct"/>
          </w:tcPr>
          <w:p w:rsidRPr="009A1192" w:rsidR="009A1192" w:rsidP="009A1192" w:rsidRDefault="009A1192" w14:paraId="20BCCD62" w14:textId="77777777">
            <w:pPr>
              <w:rPr>
                <w:rFonts w:ascii="VIC" w:hAnsi="VIC" w:cs="Times New Roman"/>
                <w:sz w:val="20"/>
              </w:rPr>
            </w:pPr>
            <w:r w:rsidRPr="009A1192">
              <w:rPr>
                <w:rFonts w:ascii="VIC" w:hAnsi="VIC" w:cs="Times New Roman"/>
                <w:sz w:val="20"/>
              </w:rPr>
              <w:t>Laboratory results</w:t>
            </w:r>
          </w:p>
          <w:p w:rsidRPr="009A1192" w:rsidR="009A1192" w:rsidP="009A1192" w:rsidRDefault="009A1192" w14:paraId="061FDE08" w14:textId="77777777">
            <w:pPr>
              <w:spacing w:before="80" w:after="240"/>
              <w:rPr>
                <w:rFonts w:ascii="VIC" w:hAnsi="VIC" w:cs="Times New Roman"/>
                <w:color w:val="1A1A1A"/>
                <w:sz w:val="20"/>
              </w:rPr>
            </w:pPr>
            <w:r w:rsidRPr="009A1192">
              <w:rPr>
                <w:rFonts w:ascii="VIC" w:hAnsi="VIC" w:cs="Times New Roman"/>
                <w:color w:val="1A1A1A"/>
                <w:sz w:val="20"/>
              </w:rPr>
              <w:t>Wastewater analysis spreadsheet</w:t>
            </w:r>
          </w:p>
        </w:tc>
      </w:tr>
      <w:tr w:rsidRPr="009A1192" w:rsidR="009A1192" w:rsidTr="0035446B" w14:paraId="2E46433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05" w:type="pct"/>
          </w:tcPr>
          <w:p w:rsidRPr="009A1192" w:rsidR="009A1192" w:rsidP="009A1192" w:rsidRDefault="009A1192" w14:paraId="7465DDBB" w14:textId="77777777">
            <w:pPr>
              <w:spacing w:before="80" w:after="240"/>
              <w:rPr>
                <w:rFonts w:ascii="VIC" w:hAnsi="VIC" w:cs="Times New Roman"/>
                <w:color w:val="1A1A1A"/>
                <w:sz w:val="20"/>
              </w:rPr>
            </w:pPr>
            <w:r w:rsidRPr="009A1192">
              <w:rPr>
                <w:rFonts w:ascii="VIC" w:hAnsi="VIC" w:cs="Times New Roman"/>
                <w:color w:val="1A1A1A"/>
                <w:sz w:val="20"/>
              </w:rPr>
              <w:t>Surface water</w:t>
            </w:r>
          </w:p>
        </w:tc>
        <w:tc>
          <w:tcPr>
            <w:tcW w:w="675" w:type="pct"/>
          </w:tcPr>
          <w:p w:rsidRPr="009A1192" w:rsidR="009A1192" w:rsidP="009A1192" w:rsidRDefault="009A1192" w14:paraId="02F84D44" w14:textId="77777777">
            <w:pPr>
              <w:spacing w:before="80" w:after="240"/>
              <w:rPr>
                <w:rFonts w:ascii="VIC" w:hAnsi="VIC" w:cs="Times New Roman"/>
                <w:color w:val="1A1A1A"/>
                <w:sz w:val="20"/>
              </w:rPr>
            </w:pPr>
            <w:r w:rsidRPr="009A1192">
              <w:rPr>
                <w:rFonts w:ascii="VIC" w:hAnsi="VIC" w:cs="Times New Roman"/>
                <w:color w:val="1A1A1A"/>
                <w:sz w:val="20"/>
              </w:rPr>
              <w:t>Wastewater monitoring program</w:t>
            </w:r>
          </w:p>
        </w:tc>
        <w:tc>
          <w:tcPr>
            <w:tcW w:w="544" w:type="pct"/>
          </w:tcPr>
          <w:p w:rsidRPr="009A1192" w:rsidR="009A1192" w:rsidP="009A1192" w:rsidRDefault="009A1192" w14:paraId="0AB8E6C6" w14:textId="77777777">
            <w:pPr>
              <w:spacing w:before="80" w:after="240"/>
              <w:rPr>
                <w:rFonts w:ascii="VIC" w:hAnsi="VIC" w:cs="Times New Roman"/>
                <w:color w:val="1A1A1A"/>
                <w:sz w:val="20"/>
              </w:rPr>
            </w:pPr>
            <w:r w:rsidRPr="009A1192">
              <w:rPr>
                <w:rFonts w:ascii="VIC" w:hAnsi="VIC" w:cs="Times New Roman"/>
                <w:color w:val="1A1A1A"/>
                <w:sz w:val="20"/>
              </w:rPr>
              <w:t>Weekly sampling</w:t>
            </w:r>
          </w:p>
        </w:tc>
        <w:tc>
          <w:tcPr>
            <w:tcW w:w="734" w:type="pct"/>
          </w:tcPr>
          <w:p w:rsidRPr="009A1192" w:rsidR="009A1192" w:rsidP="009A1192" w:rsidRDefault="009A1192" w14:paraId="7279EED4" w14:textId="77777777">
            <w:pPr>
              <w:spacing w:before="80" w:after="240"/>
              <w:rPr>
                <w:rFonts w:ascii="VIC" w:hAnsi="VIC" w:cs="Times New Roman"/>
                <w:color w:val="1A1A1A"/>
                <w:sz w:val="20"/>
              </w:rPr>
            </w:pPr>
            <w:r w:rsidRPr="009A1192">
              <w:rPr>
                <w:rFonts w:ascii="VIC" w:hAnsi="VIC" w:cs="Times New Roman"/>
                <w:color w:val="1A1A1A"/>
                <w:sz w:val="20"/>
              </w:rPr>
              <w:t>Dissolved air flotation</w:t>
            </w:r>
          </w:p>
        </w:tc>
        <w:tc>
          <w:tcPr>
            <w:tcW w:w="820" w:type="pct"/>
          </w:tcPr>
          <w:p w:rsidRPr="009A1192" w:rsidR="009A1192" w:rsidP="009A1192" w:rsidRDefault="009A1192" w14:paraId="4ACC34FD" w14:textId="77777777">
            <w:pPr>
              <w:spacing w:before="80" w:after="240"/>
              <w:rPr>
                <w:rFonts w:ascii="VIC" w:hAnsi="VIC" w:cs="Times New Roman"/>
                <w:color w:val="1A1A1A"/>
                <w:sz w:val="20"/>
              </w:rPr>
            </w:pPr>
            <w:r w:rsidRPr="009A1192">
              <w:rPr>
                <w:rFonts w:ascii="VIC" w:hAnsi="VIC" w:cs="Times New Roman"/>
                <w:color w:val="1A1A1A"/>
                <w:sz w:val="20"/>
              </w:rPr>
              <w:t>COD, BOD, ammonia, nutrients</w:t>
            </w:r>
          </w:p>
        </w:tc>
        <w:tc>
          <w:tcPr>
            <w:tcW w:w="820" w:type="pct"/>
          </w:tcPr>
          <w:p w:rsidRPr="009A1192" w:rsidR="009A1192" w:rsidP="009A1192" w:rsidRDefault="009A1192" w14:paraId="1719B3E4" w14:textId="77777777">
            <w:pPr>
              <w:spacing w:before="80" w:after="240"/>
              <w:rPr>
                <w:rFonts w:ascii="VIC" w:hAnsi="VIC" w:cs="Times New Roman"/>
                <w:color w:val="1A1A1A"/>
                <w:sz w:val="20"/>
              </w:rPr>
            </w:pPr>
            <w:r w:rsidRPr="009A1192">
              <w:rPr>
                <w:rFonts w:ascii="VIC" w:hAnsi="VIC" w:cs="Times New Roman"/>
                <w:color w:val="1A1A1A"/>
                <w:sz w:val="20"/>
              </w:rPr>
              <w:t xml:space="preserve">Achieve a minimum 90% reduction in Chemical Oxygen Demand (COD), Total Suspended Solids (TSS), and Total Nitrogen (TN) in treated wastewater, and ensure final effluent </w:t>
            </w:r>
            <w:r w:rsidRPr="009A1192">
              <w:rPr>
                <w:rFonts w:ascii="VIC" w:hAnsi="VIC" w:cs="Times New Roman"/>
                <w:color w:val="1A1A1A"/>
                <w:sz w:val="20"/>
              </w:rPr>
              <w:t>concentrations remain below 50 mg/L COD, 20</w:t>
            </w:r>
            <w:r w:rsidRPr="009A1192">
              <w:rPr>
                <w:rFonts w:ascii="Calibri" w:hAnsi="Calibri" w:cs="Calibri"/>
                <w:color w:val="1A1A1A"/>
                <w:sz w:val="20"/>
              </w:rPr>
              <w:t> </w:t>
            </w:r>
            <w:r w:rsidRPr="009A1192">
              <w:rPr>
                <w:rFonts w:ascii="VIC" w:hAnsi="VIC" w:cs="Times New Roman"/>
                <w:color w:val="1A1A1A"/>
                <w:sz w:val="20"/>
              </w:rPr>
              <w:t>mg/L TSS, and 10</w:t>
            </w:r>
            <w:r w:rsidRPr="009A1192">
              <w:rPr>
                <w:rFonts w:ascii="Calibri" w:hAnsi="Calibri" w:cs="Calibri"/>
                <w:color w:val="1A1A1A"/>
                <w:sz w:val="20"/>
              </w:rPr>
              <w:t> </w:t>
            </w:r>
            <w:r w:rsidRPr="009A1192">
              <w:rPr>
                <w:rFonts w:ascii="VIC" w:hAnsi="VIC" w:cs="Times New Roman"/>
                <w:color w:val="1A1A1A"/>
                <w:sz w:val="20"/>
              </w:rPr>
              <w:t>mg/L TN prior to offsite discharge. Reduce organic matter, TSS and nutrient load in treated wastewater by 90% before it is discharged offsite</w:t>
            </w:r>
          </w:p>
        </w:tc>
        <w:tc>
          <w:tcPr>
            <w:tcW w:w="700" w:type="pct"/>
          </w:tcPr>
          <w:p w:rsidRPr="009A1192" w:rsidR="009A1192" w:rsidP="009A1192" w:rsidRDefault="009A1192" w14:paraId="5016ED78" w14:textId="77777777">
            <w:pPr>
              <w:rPr>
                <w:rFonts w:ascii="VIC" w:hAnsi="VIC" w:cs="Times New Roman"/>
                <w:sz w:val="20"/>
              </w:rPr>
            </w:pPr>
            <w:r w:rsidRPr="009A1192">
              <w:rPr>
                <w:rFonts w:ascii="VIC" w:hAnsi="VIC" w:cs="Times New Roman"/>
                <w:sz w:val="20"/>
              </w:rPr>
              <w:t>Laboratory results</w:t>
            </w:r>
          </w:p>
          <w:p w:rsidRPr="009A1192" w:rsidR="009A1192" w:rsidP="009A1192" w:rsidRDefault="009A1192" w14:paraId="1AA104EA" w14:textId="77777777">
            <w:pPr>
              <w:spacing w:before="80" w:after="240"/>
              <w:rPr>
                <w:rFonts w:ascii="VIC" w:hAnsi="VIC" w:cs="Times New Roman"/>
                <w:color w:val="1A1A1A"/>
                <w:sz w:val="20"/>
              </w:rPr>
            </w:pPr>
            <w:r w:rsidRPr="009A1192">
              <w:rPr>
                <w:rFonts w:ascii="VIC" w:hAnsi="VIC" w:cs="Times New Roman"/>
                <w:color w:val="1A1A1A"/>
                <w:sz w:val="20"/>
              </w:rPr>
              <w:t>Wastewater analysis spreadsheet</w:t>
            </w:r>
          </w:p>
        </w:tc>
      </w:tr>
    </w:tbl>
    <w:p w:rsidRPr="009A1192" w:rsidR="009A1192" w:rsidP="009A1192" w:rsidRDefault="009A1192" w14:paraId="588CCC39" w14:textId="77777777">
      <w:pPr>
        <w:spacing w:after="0" w:line="240" w:lineRule="auto"/>
        <w:rPr>
          <w:rFonts w:ascii="VIC" w:hAnsi="VIC" w:eastAsia="VIC" w:cs="Times New Roman"/>
          <w:b/>
          <w:bCs/>
          <w:kern w:val="0"/>
          <w:sz w:val="20"/>
          <w:szCs w:val="22"/>
          <w:lang w:eastAsia="en-US" w:bidi="ar-SA"/>
          <w14:ligatures w14:val="none"/>
        </w:rPr>
      </w:pPr>
      <w:r w:rsidRPr="009A1192">
        <w:rPr>
          <w:rFonts w:ascii="VIC" w:hAnsi="VIC" w:eastAsia="VIC" w:cs="Times New Roman"/>
          <w:b/>
          <w:bCs/>
          <w:kern w:val="0"/>
          <w:sz w:val="20"/>
          <w:szCs w:val="22"/>
          <w:lang w:eastAsia="en-US" w:bidi="ar-SA"/>
          <w14:ligatures w14:val="none"/>
        </w:rPr>
        <w:t>Notes</w:t>
      </w:r>
    </w:p>
    <w:sectPr w:rsidRPr="009A1192" w:rsidR="009A1192" w:rsidSect="00FF634D">
      <w:head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667C" w:rsidP="009A1192" w:rsidRDefault="000C667C" w14:paraId="52A3701A" w14:textId="77777777">
      <w:pPr>
        <w:spacing w:after="0" w:line="240" w:lineRule="auto"/>
      </w:pPr>
      <w:r>
        <w:separator/>
      </w:r>
    </w:p>
  </w:endnote>
  <w:endnote w:type="continuationSeparator" w:id="0">
    <w:p w:rsidR="000C667C" w:rsidP="009A1192" w:rsidRDefault="000C667C" w14:paraId="06FA872C" w14:textId="77777777">
      <w:pPr>
        <w:spacing w:after="0" w:line="240" w:lineRule="auto"/>
      </w:pPr>
      <w:r>
        <w:continuationSeparator/>
      </w:r>
    </w:p>
  </w:endnote>
  <w:endnote w:id="1">
    <w:p w:rsidR="006B7F2D" w:rsidRDefault="006B7F2D" w14:paraId="2532465A" w14:textId="77798A04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9A1192">
        <w:rPr>
          <w:rFonts w:ascii="VIC" w:hAnsi="VIC" w:eastAsia="VIC" w:cs="Times New Roman"/>
          <w:kern w:val="0"/>
          <w:szCs w:val="22"/>
          <w:lang w:eastAsia="en-US" w:bidi="ar-SA"/>
          <w14:ligatures w14:val="none"/>
        </w:rPr>
        <w:t>Your monitoring activity may be hyperlinked to indicate where the monitoring program may be found</w:t>
      </w:r>
    </w:p>
  </w:endnote>
  <w:endnote w:id="2">
    <w:p w:rsidR="006B7F2D" w:rsidRDefault="006B7F2D" w14:paraId="65783379" w14:textId="32748242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9A1192">
        <w:rPr>
          <w:rFonts w:ascii="VIC" w:hAnsi="VIC" w:eastAsia="VIC" w:cs="Times New Roman"/>
          <w:kern w:val="0"/>
          <w:szCs w:val="22"/>
          <w:lang w:eastAsia="en-US" w:bidi="ar-SA"/>
          <w14:ligatures w14:val="none"/>
        </w:rPr>
        <w:t>The monitoring activity is linked back to the critical control</w:t>
      </w:r>
    </w:p>
  </w:endnote>
  <w:endnote w:id="3">
    <w:p w:rsidR="006B7F2D" w:rsidRDefault="006B7F2D" w14:paraId="6A6E909A" w14:textId="2FE9504F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9A1192">
        <w:rPr>
          <w:rFonts w:ascii="VIC" w:hAnsi="VIC" w:eastAsia="VIC" w:cs="Times New Roman"/>
          <w:color w:val="1A1A1A"/>
          <w:kern w:val="0"/>
          <w:szCs w:val="22"/>
          <w:lang w:eastAsia="en-US" w:bidi="ar-SA"/>
          <w14:ligatures w14:val="none"/>
        </w:rPr>
        <w:t>Monitoring activities are linked to relevant environmental performance objectives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Pr="005041CD" w:rsidR="009E62A7" w:rsidP="009E62A7" w:rsidRDefault="009E62A7" w14:paraId="44669A22" w14:textId="77777777">
    <w:pPr>
      <w:pBdr>
        <w:bottom w:val="single" w:color="00B4E1" w:sz="8" w:space="18"/>
      </w:pBdr>
      <w:tabs>
        <w:tab w:val="center" w:pos="4513"/>
        <w:tab w:val="right" w:pos="9026"/>
      </w:tabs>
      <w:spacing w:before="80" w:after="0" w:line="240" w:lineRule="auto"/>
      <w:rPr>
        <w:rFonts w:ascii="VIC" w:hAnsi="VIC" w:eastAsia="VIC" w:cs="Times New Roman"/>
        <w:color w:val="0A3C73"/>
        <w:kern w:val="0"/>
        <w:sz w:val="18"/>
        <w:szCs w:val="22"/>
        <w:lang w:eastAsia="en-US" w:bidi="ar-SA"/>
        <w14:ligatures w14:val="none"/>
      </w:rPr>
    </w:pPr>
  </w:p>
  <w:p w:rsidRPr="005041CD" w:rsidR="009E62A7" w:rsidP="009E62A7" w:rsidRDefault="009E62A7" w14:paraId="2F33D595" w14:textId="77777777">
    <w:pPr>
      <w:pBdr>
        <w:bottom w:val="single" w:color="00B4E1" w:sz="8" w:space="18"/>
      </w:pBdr>
      <w:tabs>
        <w:tab w:val="center" w:pos="4513"/>
        <w:tab w:val="right" w:pos="9026"/>
      </w:tabs>
      <w:spacing w:before="80" w:after="0" w:line="240" w:lineRule="auto"/>
      <w:rPr>
        <w:rFonts w:ascii="VIC" w:hAnsi="VIC" w:eastAsia="VIC" w:cs="Times New Roman"/>
        <w:color w:val="0A3C73"/>
        <w:kern w:val="0"/>
        <w:sz w:val="18"/>
        <w:szCs w:val="22"/>
        <w:lang w:eastAsia="en-US" w:bidi="ar-SA"/>
        <w14:ligatures w14:val="none"/>
      </w:rPr>
    </w:pPr>
    <w:r w:rsidRPr="005041CD">
      <w:rPr>
        <w:rFonts w:ascii="VIC" w:hAnsi="VIC" w:eastAsia="VIC" w:cs="Times New Roman"/>
        <w:noProof/>
        <w:color w:val="0A3C73"/>
        <w:kern w:val="0"/>
        <w:sz w:val="18"/>
        <w:szCs w:val="22"/>
        <w:lang w:eastAsia="en-US" w:bidi="ar-SA"/>
        <w14:ligatures w14:val="none"/>
      </w:rPr>
      <w:drawing>
        <wp:anchor distT="0" distB="0" distL="114300" distR="114300" simplePos="0" relativeHeight="251662337" behindDoc="0" locked="0" layoutInCell="1" allowOverlap="1" wp14:anchorId="6AF73BAA" wp14:editId="0F9E10C1">
          <wp:simplePos x="0" y="0"/>
          <wp:positionH relativeFrom="column">
            <wp:posOffset>8658612</wp:posOffset>
          </wp:positionH>
          <wp:positionV relativeFrom="paragraph">
            <wp:posOffset>13335</wp:posOffset>
          </wp:positionV>
          <wp:extent cx="965771" cy="399377"/>
          <wp:effectExtent l="0" t="0" r="6350" b="1270"/>
          <wp:wrapNone/>
          <wp:docPr id="13" name="Graphic 4">
            <a:extLst xmlns:a="http://schemas.openxmlformats.org/drawingml/2006/main">
              <a:ext uri="{FF2B5EF4-FFF2-40B4-BE49-F238E27FC236}">
                <a16:creationId xmlns:a16="http://schemas.microsoft.com/office/drawing/2014/main" id="{C7B23E34-0BCB-577B-6DBC-360C107818B2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phic 4">
                    <a:extLst>
                      <a:ext uri="{FF2B5EF4-FFF2-40B4-BE49-F238E27FC236}">
                        <a16:creationId xmlns:a16="http://schemas.microsoft.com/office/drawing/2014/main" id="{C7B23E34-0BCB-577B-6DBC-360C107818B2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965771" cy="399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Pr="005041CD" w:rsidR="009E62A7" w:rsidP="009E62A7" w:rsidRDefault="009E62A7" w14:paraId="729576B0" w14:textId="77777777">
    <w:pPr>
      <w:pBdr>
        <w:bottom w:val="single" w:color="00B4E1" w:sz="8" w:space="18"/>
      </w:pBdr>
      <w:tabs>
        <w:tab w:val="center" w:pos="4513"/>
        <w:tab w:val="right" w:pos="9026"/>
      </w:tabs>
      <w:spacing w:before="80" w:after="0" w:line="240" w:lineRule="auto"/>
      <w:rPr>
        <w:rFonts w:ascii="VIC Medium" w:hAnsi="VIC Medium" w:eastAsia="VIC" w:cs="Times New Roman"/>
        <w:color w:val="0A3C73"/>
        <w:kern w:val="0"/>
        <w:sz w:val="18"/>
        <w:szCs w:val="22"/>
        <w:lang w:eastAsia="en-US" w:bidi="ar-SA"/>
        <w14:ligatures w14:val="none"/>
      </w:rPr>
    </w:pPr>
    <w:r w:rsidRPr="005041CD">
      <w:rPr>
        <w:rFonts w:ascii="VIC Medium" w:hAnsi="VIC Medium" w:eastAsia="VIC" w:cs="Times New Roman"/>
        <w:color w:val="0A3C73"/>
        <w:kern w:val="0"/>
        <w:sz w:val="18"/>
        <w:szCs w:val="22"/>
        <w:lang w:eastAsia="en-US" w:bidi="ar-SA"/>
        <w14:ligatures w14:val="none"/>
      </w:rPr>
      <w:t xml:space="preserve">Page </w:t>
    </w:r>
    <w:r w:rsidRPr="005041CD">
      <w:rPr>
        <w:rFonts w:ascii="VIC Medium" w:hAnsi="VIC Medium" w:eastAsia="VIC" w:cs="Times New Roman"/>
        <w:color w:val="0A3C73"/>
        <w:kern w:val="0"/>
        <w:sz w:val="18"/>
        <w:szCs w:val="22"/>
        <w:lang w:eastAsia="en-US" w:bidi="ar-SA"/>
        <w14:ligatures w14:val="none"/>
      </w:rPr>
      <w:fldChar w:fldCharType="begin"/>
    </w:r>
    <w:r w:rsidRPr="005041CD">
      <w:rPr>
        <w:rFonts w:ascii="VIC Medium" w:hAnsi="VIC Medium" w:eastAsia="VIC" w:cs="Times New Roman"/>
        <w:color w:val="0A3C73"/>
        <w:kern w:val="0"/>
        <w:sz w:val="18"/>
        <w:szCs w:val="22"/>
        <w:lang w:eastAsia="en-US" w:bidi="ar-SA"/>
        <w14:ligatures w14:val="none"/>
      </w:rPr>
      <w:instrText>PAGE   \* MERGEFORMAT</w:instrText>
    </w:r>
    <w:r w:rsidRPr="005041CD">
      <w:rPr>
        <w:rFonts w:ascii="VIC Medium" w:hAnsi="VIC Medium" w:eastAsia="VIC" w:cs="Times New Roman"/>
        <w:color w:val="0A3C73"/>
        <w:kern w:val="0"/>
        <w:sz w:val="18"/>
        <w:szCs w:val="22"/>
        <w:lang w:eastAsia="en-US" w:bidi="ar-SA"/>
        <w14:ligatures w14:val="none"/>
      </w:rPr>
      <w:fldChar w:fldCharType="separate"/>
    </w:r>
    <w:r>
      <w:rPr>
        <w:rFonts w:ascii="VIC Medium" w:hAnsi="VIC Medium" w:eastAsia="VIC" w:cs="Times New Roman"/>
        <w:color w:val="0A3C73"/>
        <w:kern w:val="0"/>
        <w:sz w:val="18"/>
        <w:szCs w:val="22"/>
        <w:lang w:eastAsia="en-US" w:bidi="ar-SA"/>
        <w14:ligatures w14:val="none"/>
      </w:rPr>
      <w:t>2</w:t>
    </w:r>
    <w:r w:rsidRPr="005041CD">
      <w:rPr>
        <w:rFonts w:ascii="VIC Medium" w:hAnsi="VIC Medium" w:eastAsia="VIC" w:cs="Times New Roman"/>
        <w:color w:val="0A3C73"/>
        <w:kern w:val="0"/>
        <w:sz w:val="18"/>
        <w:szCs w:val="22"/>
        <w:lang w:eastAsia="en-US" w:bidi="ar-SA"/>
        <w14:ligatures w14:val="non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Pr="00A819DB" w:rsidR="002C6F2F" w:rsidP="002C6F2F" w:rsidRDefault="002C6F2F" w14:paraId="5722C6B1" w14:textId="77777777">
    <w:pPr>
      <w:pBdr>
        <w:bottom w:val="single" w:color="00B4E1" w:sz="8" w:space="18"/>
      </w:pBdr>
      <w:tabs>
        <w:tab w:val="center" w:pos="4513"/>
        <w:tab w:val="right" w:pos="9026"/>
      </w:tabs>
      <w:spacing w:before="80" w:after="0" w:line="240" w:lineRule="auto"/>
      <w:rPr>
        <w:rFonts w:ascii="VIC Medium" w:hAnsi="VIC Medium" w:eastAsia="VIC" w:cs="Times New Roman"/>
        <w:color w:val="0A3C73"/>
        <w:kern w:val="0"/>
        <w:sz w:val="18"/>
        <w:szCs w:val="22"/>
        <w:lang w:eastAsia="en-US" w:bidi="ar-SA"/>
        <w14:ligatures w14:val="none"/>
      </w:rPr>
    </w:pPr>
    <w:r w:rsidRPr="00A819DB">
      <w:rPr>
        <w:rFonts w:ascii="VIC" w:hAnsi="VIC" w:eastAsia="VIC" w:cs="Times New Roman"/>
        <w:noProof/>
        <w:color w:val="0A3C73"/>
        <w:kern w:val="0"/>
        <w:sz w:val="18"/>
        <w:szCs w:val="22"/>
        <w:lang w:eastAsia="en-US" w:bidi="ar-SA"/>
        <w14:ligatures w14:val="none"/>
      </w:rPr>
      <w:drawing>
        <wp:anchor distT="0" distB="0" distL="114300" distR="114300" simplePos="0" relativeHeight="251660289" behindDoc="0" locked="0" layoutInCell="1" allowOverlap="1" wp14:anchorId="2590B969" wp14:editId="1F3BA8B3">
          <wp:simplePos x="0" y="0"/>
          <wp:positionH relativeFrom="column">
            <wp:posOffset>8808244</wp:posOffset>
          </wp:positionH>
          <wp:positionV relativeFrom="paragraph">
            <wp:posOffset>205105</wp:posOffset>
          </wp:positionV>
          <wp:extent cx="796290" cy="451544"/>
          <wp:effectExtent l="0" t="0" r="3810" b="5715"/>
          <wp:wrapNone/>
          <wp:docPr id="6" name="Graphic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796290" cy="451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819DB">
      <w:rPr>
        <w:rFonts w:ascii="VIC Medium" w:hAnsi="VIC Medium" w:eastAsia="VIC" w:cs="Times New Roman"/>
        <w:color w:val="0A3C73"/>
        <w:kern w:val="0"/>
        <w:sz w:val="18"/>
        <w:szCs w:val="22"/>
        <w:lang w:eastAsia="en-US" w:bidi="ar-SA"/>
        <w14:ligatures w14:val="none"/>
      </w:rPr>
      <w:t>epa.vic.gov.au</w:t>
    </w:r>
  </w:p>
  <w:p w:rsidRPr="00A819DB" w:rsidR="002C6F2F" w:rsidP="002C6F2F" w:rsidRDefault="002C6F2F" w14:paraId="6C2D6BE2" w14:textId="77777777">
    <w:pPr>
      <w:pBdr>
        <w:bottom w:val="single" w:color="00B4E1" w:sz="8" w:space="18"/>
      </w:pBdr>
      <w:tabs>
        <w:tab w:val="center" w:pos="4513"/>
        <w:tab w:val="right" w:pos="9026"/>
      </w:tabs>
      <w:spacing w:before="80" w:after="0" w:line="240" w:lineRule="auto"/>
      <w:rPr>
        <w:rFonts w:ascii="VIC" w:hAnsi="VIC" w:eastAsia="VIC" w:cs="Times New Roman"/>
        <w:color w:val="0A3C73"/>
        <w:kern w:val="0"/>
        <w:sz w:val="18"/>
        <w:szCs w:val="22"/>
        <w:lang w:eastAsia="en-US" w:bidi="ar-SA"/>
        <w14:ligatures w14:val="none"/>
      </w:rPr>
    </w:pPr>
    <w:r w:rsidRPr="00A819DB">
      <w:rPr>
        <w:rFonts w:ascii="VIC" w:hAnsi="VIC" w:eastAsia="VIC" w:cs="Times New Roman"/>
        <w:color w:val="0A3C73"/>
        <w:kern w:val="0"/>
        <w:sz w:val="18"/>
        <w:szCs w:val="22"/>
        <w:lang w:eastAsia="en-US" w:bidi="ar-SA"/>
        <w14:ligatures w14:val="none"/>
      </w:rPr>
      <w:t>Environment Protection Authority Victoria</w:t>
    </w:r>
    <w:r w:rsidRPr="00A819DB">
      <w:rPr>
        <w:rFonts w:ascii="VIC" w:hAnsi="VIC" w:eastAsia="VIC" w:cs="Times New Roman"/>
        <w:color w:val="0A3C73"/>
        <w:kern w:val="0"/>
        <w:sz w:val="18"/>
        <w:szCs w:val="22"/>
        <w:lang w:eastAsia="en-US" w:bidi="ar-SA"/>
        <w14:ligatures w14:val="none"/>
      </w:rPr>
      <w:br/>
    </w:r>
    <w:r w:rsidRPr="00A819DB">
      <w:rPr>
        <w:rFonts w:ascii="VIC" w:hAnsi="VIC" w:eastAsia="VIC" w:cs="Times New Roman"/>
        <w:color w:val="0A3C73"/>
        <w:kern w:val="0"/>
        <w:sz w:val="18"/>
        <w:szCs w:val="22"/>
        <w:lang w:eastAsia="en-US" w:bidi="ar-SA"/>
        <w14:ligatures w14:val="none"/>
      </w:rPr>
      <w:t>GPO Box 4395, Melbourne VIC 3001</w:t>
    </w:r>
    <w:r w:rsidRPr="00A819DB">
      <w:rPr>
        <w:rFonts w:ascii="VIC" w:hAnsi="VIC" w:eastAsia="VIC" w:cs="Times New Roman"/>
        <w:color w:val="0A3C73"/>
        <w:kern w:val="0"/>
        <w:sz w:val="18"/>
        <w:szCs w:val="22"/>
        <w:lang w:eastAsia="en-US" w:bidi="ar-SA"/>
        <w14:ligatures w14:val="none"/>
      </w:rPr>
      <w:br/>
    </w:r>
    <w:r w:rsidRPr="00A819DB">
      <w:rPr>
        <w:rFonts w:ascii="VIC" w:hAnsi="VIC" w:eastAsia="VIC" w:cs="Times New Roman"/>
        <w:color w:val="0A3C73"/>
        <w:kern w:val="0"/>
        <w:sz w:val="18"/>
        <w:szCs w:val="22"/>
        <w:lang w:eastAsia="en-US" w:bidi="ar-SA"/>
        <w14:ligatures w14:val="none"/>
      </w:rPr>
      <w:t>1300 372 842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667C" w:rsidP="009A1192" w:rsidRDefault="000C667C" w14:paraId="75034801" w14:textId="77777777">
      <w:pPr>
        <w:spacing w:after="0" w:line="240" w:lineRule="auto"/>
      </w:pPr>
      <w:r>
        <w:separator/>
      </w:r>
    </w:p>
  </w:footnote>
  <w:footnote w:type="continuationSeparator" w:id="0">
    <w:p w:rsidR="000C667C" w:rsidP="009A1192" w:rsidRDefault="000C667C" w14:paraId="675FB5C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9A1192" w:rsidRDefault="009A1192" w14:paraId="53DEA0D8" w14:textId="379C82E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A566A94" wp14:editId="64020A1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480957864" name="Text Box 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A1192" w:rsidR="009A1192" w:rsidP="009A1192" w:rsidRDefault="009A1192" w14:paraId="2272A3C3" w14:textId="23014389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A1192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519877E6">
            <v:shapetype id="_x0000_t202" coordsize="21600,21600" o:spt="202" path="m,l,21600r21600,l21600,xe" w14:anchorId="0A566A94">
              <v:stroke joinstyle="miter"/>
              <v:path gradientshapeok="t" o:connecttype="rect"/>
            </v:shapetype>
            <v:shape id="Text Box 2" style="position:absolute;margin-left:0;margin-top:0;width:40.85pt;height:29.1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 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3M6CgIAABUEAAAOAAAAZHJzL2Uyb0RvYy54bWysU8Fu2zAMvQ/YPwi6L3YyZG2NOEXWIsOA&#10;oC2QDj0rshQbkERBUmJnXz9KtpOu7WnYRaZI+pF8fFrcdlqRo3C+AVPS6SSnRBgOVWP2Jf31vP5y&#10;TYkPzFRMgRElPQlPb5efPy1aW4gZ1KAq4QiCGF+0tqR1CLbIMs9roZmfgBUGgxKcZgGvbp9VjrWI&#10;rlU2y/NvWQuusg648B69932QLhO+lIKHRym9CESVFHsL6XTp3MUzWy5YsXfM1g0f2mD/0IVmjcGi&#10;Z6h7Fhg5uOYdlG64Aw8yTDjoDKRsuEgz4DTT/M0025pZkWZBcrw90+T/Hyx/OG7tkyOh+w4dLjAS&#10;0lpfeHTGeTrpdPxipwTjSOHpTJvoAuHonE+vr27mlHAMfb3KZ/k8omSXn63z4YcATaJRUodbSWSx&#10;48aHPnVMibUMrBul0maU+cuBmNGTXTqMVuh23dD2DqoTTuOgX7S3fN1gzQ3z4Yk53CwOgGoNj3hI&#10;BW1JYbAoqcH9/sgf85FwjFLSolJKalDKlKifBhcRRZWM6U0+z/HmRvduNMxB3wHqb4pPwfJkxryg&#10;RlM60C+o41UshCFmOJYraRjNu9BLFt8BF6tVSkL9WBY2Zmt5hI48RRKfuxfm7MB0wBU9wCgjVrwh&#10;vM+Nf3q7OgSkPW0jctoTOVCN2kv7HN5JFPfre8q6vOblHwAAAP//AwBQSwMEFAAGAAgAAAAhAJvK&#10;qGjaAAAAAwEAAA8AAABkcnMvZG93bnJldi54bWxMj8FuwjAQRO+V+AdrkXorjluljdJsEELiwI1S&#10;2rOJlyQQr6PYQMrX1+2lvaw0mtHM22I+2k5caPCtYwQ1S0AQV860XCPs3lcPGQgfNBvdOSaEL/Iw&#10;Lyd3hc6Nu/IbXbahFrGEfa4RmhD6XEpfNWS1n7meOHoHN1gdohxqaQZ9jeW2k49J8iytbjkuNLqn&#10;ZUPVaXu2CG26cEHRx3p1/LTKqdtmnd42iPfTcfEKItAY/sLwgx/RoYxMe3dm40WHEB8Jvzd6mXoB&#10;sUdIsyeQZSH/s5ffAAAA//8DAFBLAQItABQABgAIAAAAIQC2gziS/gAAAOEBAAATAAAAAAAAAAAA&#10;AAAAAAAAAABbQ29udGVudF9UeXBlc10ueG1sUEsBAi0AFAAGAAgAAAAhADj9If/WAAAAlAEAAAsA&#10;AAAAAAAAAAAAAAAALwEAAF9yZWxzLy5yZWxzUEsBAi0AFAAGAAgAAAAhANxvczoKAgAAFQQAAA4A&#10;AAAAAAAAAAAAAAAALgIAAGRycy9lMm9Eb2MueG1sUEsBAi0AFAAGAAgAAAAhAJvKqGjaAAAAAwEA&#10;AA8AAAAAAAAAAAAAAAAAZAQAAGRycy9kb3ducmV2LnhtbFBLBQYAAAAABAAEAPMAAABrBQAAAAA=&#10;">
              <v:textbox style="mso-fit-shape-to-text:t" inset="0,15pt,0,0">
                <w:txbxContent>
                  <w:p w:rsidRPr="009A1192" w:rsidR="009A1192" w:rsidP="009A1192" w:rsidRDefault="009A1192" w14:paraId="1391C272" w14:textId="23014389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A1192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9A1192" w:rsidP="00BE0603" w:rsidRDefault="00BE0603" w14:paraId="4BA2DFDE" w14:textId="124F692F">
    <w:pPr>
      <w:pStyle w:val="Header"/>
      <w:jc w:val="right"/>
    </w:pPr>
    <w:r w:rsidRPr="00594774">
      <w:rPr>
        <w:noProof/>
      </w:rPr>
      <w:drawing>
        <wp:inline distT="0" distB="0" distL="0" distR="0" wp14:anchorId="3D7E4B44" wp14:editId="659216CF">
          <wp:extent cx="1518920" cy="628015"/>
          <wp:effectExtent l="0" t="0" r="5080" b="635"/>
          <wp:docPr id="990472222" name="EPA Logo" descr="EPA Victoria logo">
            <a:extLst xmlns:a="http://schemas.openxmlformats.org/drawingml/2006/main">
              <a:ext uri="{FF2B5EF4-FFF2-40B4-BE49-F238E27FC236}">
                <a16:creationId xmlns:a16="http://schemas.microsoft.com/office/drawing/2014/main" id="{C7B23E34-0BCB-577B-6DBC-360C107818B2}"/>
              </a:ext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PA Logo" descr="EPA Victoria logo">
                    <a:extLst>
                      <a:ext uri="{FF2B5EF4-FFF2-40B4-BE49-F238E27FC236}">
                        <a16:creationId xmlns:a16="http://schemas.microsoft.com/office/drawing/2014/main" id="{C7B23E34-0BCB-577B-6DBC-360C107818B2}"/>
                      </a:ex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892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0603" w:rsidP="00BE0603" w:rsidRDefault="00BE0603" w14:paraId="29707D98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45359"/>
    <w:multiLevelType w:val="hybridMultilevel"/>
    <w:tmpl w:val="AA8AE12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0536896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192"/>
    <w:rsid w:val="000C667C"/>
    <w:rsid w:val="00104940"/>
    <w:rsid w:val="002128BF"/>
    <w:rsid w:val="002C6F2F"/>
    <w:rsid w:val="002F2959"/>
    <w:rsid w:val="0035446B"/>
    <w:rsid w:val="00402332"/>
    <w:rsid w:val="0040764B"/>
    <w:rsid w:val="00421A78"/>
    <w:rsid w:val="00452E8F"/>
    <w:rsid w:val="0053137F"/>
    <w:rsid w:val="0054566B"/>
    <w:rsid w:val="00653D5D"/>
    <w:rsid w:val="00675CC6"/>
    <w:rsid w:val="00695DD0"/>
    <w:rsid w:val="006B7F2D"/>
    <w:rsid w:val="0071175E"/>
    <w:rsid w:val="0088567B"/>
    <w:rsid w:val="00952D2C"/>
    <w:rsid w:val="009A1192"/>
    <w:rsid w:val="009A706F"/>
    <w:rsid w:val="009E62A7"/>
    <w:rsid w:val="00A023DA"/>
    <w:rsid w:val="00AC0429"/>
    <w:rsid w:val="00B6116B"/>
    <w:rsid w:val="00BD1DFF"/>
    <w:rsid w:val="00BE0603"/>
    <w:rsid w:val="00C13CC9"/>
    <w:rsid w:val="00CF7B06"/>
    <w:rsid w:val="00D83CD4"/>
    <w:rsid w:val="00EA2DCF"/>
    <w:rsid w:val="00F554DE"/>
    <w:rsid w:val="00FF634D"/>
    <w:rsid w:val="3D549030"/>
    <w:rsid w:val="6F06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B307F"/>
  <w15:chartTrackingRefBased/>
  <w15:docId w15:val="{890185D5-E10C-4E5A-827A-C6C714B479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116B"/>
    <w:pPr>
      <w:keepNext/>
      <w:keepLines/>
      <w:spacing w:before="360" w:after="80"/>
      <w:outlineLvl w:val="0"/>
    </w:pPr>
    <w:rPr>
      <w:rFonts w:ascii="VIC Medium" w:hAnsi="VIC Medium" w:eastAsiaTheme="majorEastAsia" w:cstheme="majorBidi"/>
      <w:color w:val="0F4761" w:themeColor="accent1" w:themeShade="BF"/>
      <w:sz w:val="40"/>
      <w:szCs w:val="50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19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1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1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1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1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1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1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6116B"/>
    <w:rPr>
      <w:rFonts w:ascii="VIC Medium" w:hAnsi="VIC Medium" w:eastAsiaTheme="majorEastAsia" w:cstheme="majorBidi"/>
      <w:color w:val="0F4761" w:themeColor="accent1" w:themeShade="BF"/>
      <w:sz w:val="40"/>
      <w:szCs w:val="50"/>
      <w:lang w:eastAsia="en-US" w:bidi="ar-SA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A1192"/>
    <w:rPr>
      <w:rFonts w:asciiTheme="majorHAnsi" w:hAnsiTheme="majorHAnsi" w:eastAsiaTheme="majorEastAsia" w:cstheme="majorBidi"/>
      <w:color w:val="0F4761" w:themeColor="accent1" w:themeShade="BF"/>
      <w:sz w:val="32"/>
      <w:szCs w:val="40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A1192"/>
    <w:rPr>
      <w:rFonts w:eastAsiaTheme="majorEastAsia" w:cstheme="majorBidi"/>
      <w:color w:val="0F4761" w:themeColor="accent1" w:themeShade="BF"/>
      <w:sz w:val="28"/>
      <w:szCs w:val="35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A119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A119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A119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A119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A119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A11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16B"/>
    <w:pPr>
      <w:spacing w:after="0" w:line="240" w:lineRule="auto"/>
      <w:contextualSpacing/>
    </w:pPr>
    <w:rPr>
      <w:rFonts w:ascii="VIC Medium" w:hAnsi="VIC Medium" w:eastAsiaTheme="majorEastAsia" w:cstheme="majorBidi"/>
      <w:spacing w:val="-10"/>
      <w:kern w:val="28"/>
      <w:sz w:val="56"/>
      <w:szCs w:val="71"/>
      <w:lang w:eastAsia="en-US" w:bidi="ar-SA"/>
    </w:rPr>
  </w:style>
  <w:style w:type="character" w:styleId="TitleChar" w:customStyle="1">
    <w:name w:val="Title Char"/>
    <w:basedOn w:val="DefaultParagraphFont"/>
    <w:link w:val="Title"/>
    <w:uiPriority w:val="10"/>
    <w:rsid w:val="00B6116B"/>
    <w:rPr>
      <w:rFonts w:ascii="VIC Medium" w:hAnsi="VIC Medium" w:eastAsiaTheme="majorEastAsia" w:cstheme="majorBidi"/>
      <w:spacing w:val="-10"/>
      <w:kern w:val="28"/>
      <w:sz w:val="56"/>
      <w:szCs w:val="71"/>
      <w:lang w:eastAsia="en-US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1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styleId="SubtitleChar" w:customStyle="1">
    <w:name w:val="Subtitle Char"/>
    <w:basedOn w:val="DefaultParagraphFont"/>
    <w:link w:val="Subtitle"/>
    <w:uiPriority w:val="11"/>
    <w:rsid w:val="009A119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A119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A11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1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1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19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A11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192"/>
    <w:rPr>
      <w:b/>
      <w:bCs/>
      <w:smallCaps/>
      <w:color w:val="0F4761" w:themeColor="accent1" w:themeShade="BF"/>
      <w:spacing w:val="5"/>
    </w:rPr>
  </w:style>
  <w:style w:type="table" w:styleId="EPA" w:customStyle="1">
    <w:name w:val="EPA"/>
    <w:basedOn w:val="TableNormal"/>
    <w:uiPriority w:val="99"/>
    <w:rsid w:val="00421A78"/>
    <w:pPr>
      <w:spacing w:after="0" w:line="240" w:lineRule="auto"/>
    </w:pPr>
    <w:rPr>
      <w:rFonts w:eastAsia="VIC"/>
      <w:kern w:val="0"/>
      <w:sz w:val="22"/>
      <w:szCs w:val="22"/>
      <w:lang w:eastAsia="en-US" w:bidi="ar-SA"/>
      <w14:ligatures w14:val="none"/>
    </w:rPr>
    <w:tblPr>
      <w:tblStyleRowBandSize w:val="1"/>
      <w:tblBorders>
        <w:top w:val="single" w:color="auto" w:sz="4" w:space="0"/>
        <w:bottom w:val="single" w:color="auto" w:sz="4" w:space="0"/>
        <w:insideH w:val="single" w:color="005FB4" w:sz="8" w:space="0"/>
      </w:tblBorders>
      <w:tblCellMar>
        <w:top w:w="170" w:type="dxa"/>
        <w:left w:w="0" w:type="dxa"/>
        <w:bottom w:w="170" w:type="dxa"/>
        <w:right w:w="85" w:type="dxa"/>
      </w:tblCellMar>
    </w:tblPr>
    <w:tblStylePr w:type="firstRow">
      <w:rPr>
        <w:rFonts w:ascii="DengXian Light" w:hAnsi="DengXian Light"/>
        <w:color w:val="005FB4"/>
      </w:rPr>
      <w:tblPr/>
      <w:tcPr>
        <w:tcBorders>
          <w:top w:val="single" w:color="auto" w:sz="4" w:space="0"/>
          <w:bottom w:val="single" w:color="auto" w:sz="4" w:space="0"/>
        </w:tcBorders>
      </w:tcPr>
    </w:tblStylePr>
    <w:tblStylePr w:type="firstCol">
      <w:rPr>
        <w:rFonts w:ascii="DengXian Light" w:hAnsi="DengXian Light"/>
        <w:color w:val="005FB4"/>
      </w:rPr>
    </w:tblStylePr>
    <w:tblStylePr w:type="band1Horz">
      <w:tblPr/>
      <w:tcPr>
        <w:tcBorders>
          <w:top w:val="single" w:color="auto" w:sz="4" w:space="0"/>
          <w:bottom w:val="single" w:color="auto" w:sz="4" w:space="0"/>
        </w:tcBorders>
      </w:tcPr>
    </w:tblStylePr>
    <w:tblStylePr w:type="band2Horz">
      <w:tblPr/>
      <w:tcPr>
        <w:tcBorders>
          <w:top w:val="single" w:color="auto" w:sz="4" w:space="0"/>
          <w:bottom w:val="single" w:color="auto" w:sz="4" w:space="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A119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A1192"/>
  </w:style>
  <w:style w:type="table" w:styleId="EPA1" w:customStyle="1">
    <w:name w:val="EPA1"/>
    <w:basedOn w:val="TableNormal"/>
    <w:uiPriority w:val="99"/>
    <w:rsid w:val="00421A78"/>
    <w:pPr>
      <w:spacing w:after="0" w:line="240" w:lineRule="auto"/>
    </w:pPr>
    <w:rPr>
      <w:rFonts w:eastAsia="VIC"/>
      <w:kern w:val="0"/>
      <w:sz w:val="22"/>
      <w:szCs w:val="22"/>
      <w:lang w:eastAsia="en-US" w:bidi="ar-SA"/>
      <w14:ligatures w14:val="none"/>
    </w:rPr>
    <w:tblPr>
      <w:tblStyleRowBandSize w:val="1"/>
      <w:tblBorders>
        <w:top w:val="single" w:color="auto" w:sz="4" w:space="0"/>
        <w:bottom w:val="single" w:color="auto" w:sz="4" w:space="0"/>
        <w:insideH w:val="single" w:color="005FB4" w:sz="8" w:space="0"/>
      </w:tblBorders>
      <w:tblCellMar>
        <w:top w:w="170" w:type="dxa"/>
        <w:left w:w="0" w:type="dxa"/>
        <w:bottom w:w="170" w:type="dxa"/>
        <w:right w:w="85" w:type="dxa"/>
      </w:tblCellMar>
    </w:tblPr>
    <w:tblStylePr w:type="firstRow">
      <w:rPr>
        <w:rFonts w:ascii="DengXian Light" w:hAnsi="DengXian Light"/>
        <w:b/>
        <w:color w:val="005FB4"/>
      </w:rPr>
      <w:tblPr/>
      <w:tcPr>
        <w:tcBorders>
          <w:bottom w:val="single" w:color="auto" w:sz="4" w:space="0"/>
        </w:tcBorders>
      </w:tcPr>
    </w:tblStylePr>
    <w:tblStylePr w:type="firstCol">
      <w:rPr>
        <w:rFonts w:ascii="DengXian Light" w:hAnsi="DengXian Light"/>
        <w:b/>
        <w:color w:val="005FB4"/>
      </w:rPr>
    </w:tblStylePr>
    <w:tblStylePr w:type="band1Horz">
      <w:tblPr/>
      <w:tcPr>
        <w:tcBorders>
          <w:top w:val="single" w:color="auto" w:sz="4" w:space="0"/>
          <w:bottom w:val="single" w:color="auto" w:sz="4" w:space="0"/>
        </w:tcBorders>
      </w:tcPr>
    </w:tblStylePr>
    <w:tblStylePr w:type="band2Horz">
      <w:tblPr/>
      <w:tcPr>
        <w:tcBorders>
          <w:top w:val="single" w:color="auto" w:sz="4" w:space="0"/>
          <w:bottom w:val="single" w:color="auto" w:sz="4" w:space="0"/>
        </w:tcBorders>
      </w:tcPr>
    </w:tblStylePr>
  </w:style>
  <w:style w:type="table" w:styleId="TableGrid">
    <w:name w:val="Table Grid"/>
    <w:basedOn w:val="TableNormal"/>
    <w:uiPriority w:val="39"/>
    <w:rsid w:val="00421A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6B7F2D"/>
    <w:pPr>
      <w:spacing w:after="0" w:line="240" w:lineRule="auto"/>
    </w:pPr>
    <w:rPr>
      <w:sz w:val="20"/>
      <w:szCs w:val="25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6B7F2D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6B7F2D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D83CD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45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E2F46315BCED4AB36FA09AE5CD690C" ma:contentTypeVersion="23" ma:contentTypeDescription="Create a new document." ma:contentTypeScope="" ma:versionID="107042c6572de7d6150cd35dfed5728f">
  <xsd:schema xmlns:xsd="http://www.w3.org/2001/XMLSchema" xmlns:xs="http://www.w3.org/2001/XMLSchema" xmlns:p="http://schemas.microsoft.com/office/2006/metadata/properties" xmlns:ns1="http://schemas.microsoft.com/sharepoint/v3" xmlns:ns2="4a98220f-8b12-4a83-abcc-efccc704d85e" xmlns:ns3="73e88e38-8bca-4aa4-a1d1-18c680c401c2" xmlns:ns4="a6d3a7d7-5bbf-4e15-8086-1a83efe325b1" targetNamespace="http://schemas.microsoft.com/office/2006/metadata/properties" ma:root="true" ma:fieldsID="2b6f057233f3c555a39f64c15df52546" ns1:_="" ns2:_="" ns3:_="" ns4:_="">
    <xsd:import namespace="http://schemas.microsoft.com/sharepoint/v3"/>
    <xsd:import namespace="4a98220f-8b12-4a83-abcc-efccc704d85e"/>
    <xsd:import namespace="73e88e38-8bca-4aa4-a1d1-18c680c401c2"/>
    <xsd:import namespace="a6d3a7d7-5bbf-4e15-8086-1a83efe325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8220f-8b12-4a83-abcc-efccc704d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Location" ma:index="12" nillable="true" ma:displayName="Location" ma:hidden="true" ma:internalName="MediaServiceLocation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d60a424-1bcf-4bc6-bbf4-020bc866f3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88e38-8bca-4aa4-a1d1-18c680c401c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3a7d7-5bbf-4e15-8086-1a83efe325b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65da2d5-150e-4ea9-b8f1-9dcff8c76d49}" ma:internalName="TaxCatchAll" ma:showField="CatchAllData" ma:web="73e88e38-8bca-4aa4-a1d1-18c680c401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6d3a7d7-5bbf-4e15-8086-1a83efe325b1" xsi:nil="true"/>
    <_ip_UnifiedCompliancePolicyProperties xmlns="http://schemas.microsoft.com/sharepoint/v3" xsi:nil="true"/>
    <lcf76f155ced4ddcb4097134ff3c332f xmlns="4a98220f-8b12-4a83-abcc-efccc704d8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34AFDD-41E5-4F9D-89D4-CFE0A733BA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0832D6-6BEE-473F-B17D-28349CEEFD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E465C9-31FC-4010-B124-3EDC67682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98220f-8b12-4a83-abcc-efccc704d85e"/>
    <ds:schemaRef ds:uri="73e88e38-8bca-4aa4-a1d1-18c680c401c2"/>
    <ds:schemaRef ds:uri="a6d3a7d7-5bbf-4e15-8086-1a83efe32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AAF2F6-5C15-4AC0-9E6A-1B41017130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6d3a7d7-5bbf-4e15-8086-1a83efe325b1"/>
    <ds:schemaRef ds:uri="4a98220f-8b12-4a83-abcc-efccc704d85e"/>
  </ds:schemaRefs>
</ds:datastoreItem>
</file>

<file path=docMetadata/LabelInfo.xml><?xml version="1.0" encoding="utf-8"?>
<clbl:labelList xmlns:clbl="http://schemas.microsoft.com/office/2020/mipLabelMetadata">
  <clbl:label id="{3263f7fe-16ce-4aec-b2b1-936603df6f66}" enabled="1" method="Privileged" siteId="{28e1a73d-f0ce-441e-80a7-1b36946db330}" contentBits="1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Lena Chang</dc:creator>
  <keywords/>
  <dc:description/>
  <lastModifiedBy>Lucy Gentile</lastModifiedBy>
  <revision>14</revision>
  <dcterms:created xsi:type="dcterms:W3CDTF">2026-04-27T21:18:00.0000000Z</dcterms:created>
  <dcterms:modified xsi:type="dcterms:W3CDTF">2026-06-10T04:58:09.3960260Z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2a9cbea7,1caad5a8,51e5af0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OFFICIAL </vt:lpwstr>
  </property>
  <property fmtid="{D5CDD505-2E9C-101B-9397-08002B2CF9AE}" pid="5" name="ContentTypeId">
    <vt:lpwstr>0x01010034E2F46315BCED4AB36FA09AE5CD690C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