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4CC" w:rsidR="00F614CC" w:rsidP="00F614CC" w:rsidRDefault="00F614CC" w14:paraId="045F8820" w14:textId="77777777">
      <w:pPr>
        <w:pStyle w:val="Title"/>
      </w:pPr>
      <w:bookmarkStart w:name="_Toc227656842" w:id="0"/>
      <w:bookmarkStart w:name="_Toc227656845" w:id="1"/>
      <w:r w:rsidRPr="00F614CC">
        <w:t>Preparing a risk management and monitoring program</w:t>
      </w:r>
    </w:p>
    <w:bookmarkEnd w:id="0"/>
    <w:p w:rsidRPr="00F614CC" w:rsidR="00F614CC" w:rsidP="00F614CC" w:rsidRDefault="00F614CC" w14:paraId="5FF5E347" w14:textId="29B9E5B1">
      <w:pPr>
        <w:pStyle w:val="Heading1"/>
      </w:pPr>
      <w:r w:rsidRPr="00F614CC">
        <w:t>Appendix D – Components of a Trigger Action Response approach</w:t>
      </w:r>
    </w:p>
    <w:tbl>
      <w:tblPr>
        <w:tblStyle w:val="EPA"/>
        <w:tblW w:w="0" w:type="auto"/>
        <w:tblLook w:val="0420" w:firstRow="1" w:lastRow="0" w:firstColumn="0" w:lastColumn="0" w:noHBand="0" w:noVBand="1"/>
      </w:tblPr>
      <w:tblGrid>
        <w:gridCol w:w="2122"/>
        <w:gridCol w:w="8072"/>
      </w:tblGrid>
      <w:tr w:rsidRPr="00E77AA2" w:rsidR="00E77AA2" w:rsidTr="00E00B92" w14:paraId="05621A3F" w14:textId="77777777">
        <w:trPr>
          <w:cnfStyle w:val="100000000000" w:firstRow="1" w:lastRow="0" w:firstColumn="0" w:lastColumn="0" w:oddVBand="0" w:evenVBand="0" w:oddHBand="0" w:evenHBand="0" w:firstRowFirstColumn="0" w:firstRowLastColumn="0" w:lastRowFirstColumn="0" w:lastRowLastColumn="0"/>
          <w:tblHeader/>
        </w:trPr>
        <w:tc>
          <w:tcPr>
            <w:tcW w:w="2122" w:type="dxa"/>
          </w:tcPr>
          <w:bookmarkEnd w:id="1"/>
          <w:p w:rsidRPr="00E77AA2" w:rsidR="00CF0921" w:rsidP="00CF0921" w:rsidRDefault="00CF0921" w14:paraId="72B9389F" w14:textId="77777777">
            <w:pPr>
              <w:rPr>
                <w:rFonts w:ascii="VIC SemiBold" w:hAnsi="VIC SemiBold" w:cs="Times New Roman"/>
                <w:color w:val="auto"/>
                <w:sz w:val="20"/>
              </w:rPr>
            </w:pPr>
            <w:r w:rsidRPr="00E77AA2">
              <w:rPr>
                <w:rFonts w:ascii="VIC SemiBold" w:hAnsi="VIC SemiBold" w:cs="Times New Roman"/>
                <w:color w:val="auto"/>
                <w:sz w:val="20"/>
              </w:rPr>
              <w:t>Component</w:t>
            </w:r>
          </w:p>
        </w:tc>
        <w:tc>
          <w:tcPr>
            <w:tcW w:w="8072" w:type="dxa"/>
          </w:tcPr>
          <w:p w:rsidRPr="00E77AA2" w:rsidR="00CF0921" w:rsidP="00CF0921" w:rsidRDefault="00CF0921" w14:paraId="46BE1616" w14:textId="77777777">
            <w:pPr>
              <w:rPr>
                <w:rFonts w:ascii="VIC SemiBold" w:hAnsi="VIC SemiBold" w:cs="Times New Roman"/>
                <w:color w:val="auto"/>
                <w:sz w:val="20"/>
              </w:rPr>
            </w:pPr>
            <w:r w:rsidRPr="00E77AA2">
              <w:rPr>
                <w:rFonts w:ascii="VIC SemiBold" w:hAnsi="VIC SemiBold" w:cs="Times New Roman"/>
                <w:color w:val="auto"/>
                <w:sz w:val="20"/>
              </w:rPr>
              <w:t>Description</w:t>
            </w:r>
          </w:p>
        </w:tc>
      </w:tr>
      <w:tr w:rsidRPr="00CF0921" w:rsidR="00CF0921" w:rsidTr="00E00B92" w14:paraId="7B7D3CCE" w14:textId="77777777">
        <w:trPr>
          <w:cnfStyle w:val="000000100000" w:firstRow="0" w:lastRow="0" w:firstColumn="0" w:lastColumn="0" w:oddVBand="0" w:evenVBand="0" w:oddHBand="1" w:evenHBand="0" w:firstRowFirstColumn="0" w:firstRowLastColumn="0" w:lastRowFirstColumn="0" w:lastRowLastColumn="0"/>
        </w:trPr>
        <w:tc>
          <w:tcPr>
            <w:tcW w:w="2122" w:type="dxa"/>
          </w:tcPr>
          <w:p w:rsidRPr="00CF0921" w:rsidR="00CF0921" w:rsidP="00CF0921" w:rsidRDefault="00CF0921" w14:paraId="1F95849B" w14:textId="77777777">
            <w:pPr>
              <w:rPr>
                <w:rFonts w:ascii="VIC" w:hAnsi="VIC" w:cs="Times New Roman"/>
                <w:sz w:val="20"/>
              </w:rPr>
            </w:pPr>
            <w:r w:rsidRPr="00CF0921">
              <w:rPr>
                <w:rFonts w:ascii="VIC" w:hAnsi="VIC" w:cs="Times New Roman"/>
                <w:sz w:val="20"/>
              </w:rPr>
              <w:t>Environmental monitoring data</w:t>
            </w:r>
          </w:p>
        </w:tc>
        <w:tc>
          <w:tcPr>
            <w:tcW w:w="8072" w:type="dxa"/>
          </w:tcPr>
          <w:p w:rsidRPr="00CF0921" w:rsidR="00CF0921" w:rsidP="00CF0921" w:rsidRDefault="00CF0921" w14:paraId="460CFE1B" w14:textId="77777777">
            <w:pPr>
              <w:rPr>
                <w:rFonts w:ascii="VIC" w:hAnsi="VIC" w:cs="Times New Roman"/>
                <w:sz w:val="20"/>
              </w:rPr>
            </w:pPr>
            <w:r w:rsidRPr="00CF0921">
              <w:rPr>
                <w:rFonts w:ascii="VIC" w:hAnsi="VIC" w:cs="Times New Roman"/>
                <w:sz w:val="20"/>
              </w:rPr>
              <w:t xml:space="preserve">Data collected from the site (quantitative measure of environmental indicators) that is used to track conditions and identify deviations from normal operations. This may include monitoring of background and baseline conditions.   </w:t>
            </w:r>
          </w:p>
        </w:tc>
      </w:tr>
      <w:tr w:rsidRPr="00CF0921" w:rsidR="00CF0921" w:rsidTr="00CF0921" w14:paraId="7BE7C6F4" w14:textId="77777777">
        <w:trPr>
          <w:cnfStyle w:val="000000010000" w:firstRow="0" w:lastRow="0" w:firstColumn="0" w:lastColumn="0" w:oddVBand="0" w:evenVBand="0" w:oddHBand="0" w:evenHBand="1" w:firstRowFirstColumn="0" w:firstRowLastColumn="0" w:lastRowFirstColumn="0" w:lastRowLastColumn="0"/>
        </w:trPr>
        <w:tc>
          <w:tcPr>
            <w:tcW w:w="2122" w:type="dxa"/>
            <w:tcBorders>
              <w:bottom w:val="single" w:color="005FB4" w:sz="8" w:space="0"/>
            </w:tcBorders>
          </w:tcPr>
          <w:p w:rsidRPr="00CF0921" w:rsidR="00CF0921" w:rsidP="00CF0921" w:rsidRDefault="00CF0921" w14:paraId="0E92935D" w14:textId="77777777">
            <w:pPr>
              <w:rPr>
                <w:rFonts w:ascii="VIC" w:hAnsi="VIC" w:cs="Times New Roman"/>
                <w:sz w:val="20"/>
              </w:rPr>
            </w:pPr>
            <w:r w:rsidRPr="00CF0921">
              <w:rPr>
                <w:rFonts w:ascii="VIC" w:hAnsi="VIC" w:cs="Times New Roman"/>
                <w:sz w:val="20"/>
              </w:rPr>
              <w:t>Trigger</w:t>
            </w:r>
          </w:p>
        </w:tc>
        <w:tc>
          <w:tcPr>
            <w:tcW w:w="8072" w:type="dxa"/>
            <w:tcBorders>
              <w:bottom w:val="single" w:color="005FB4" w:sz="8" w:space="0"/>
            </w:tcBorders>
          </w:tcPr>
          <w:p w:rsidRPr="00CF0921" w:rsidR="00CF0921" w:rsidP="00CF0921" w:rsidRDefault="00CF0921" w14:paraId="282C1940" w14:textId="77777777">
            <w:pPr>
              <w:rPr>
                <w:rFonts w:ascii="VIC" w:hAnsi="VIC" w:cs="Times New Roman"/>
                <w:sz w:val="20"/>
              </w:rPr>
            </w:pPr>
            <w:r w:rsidRPr="00CF0921">
              <w:rPr>
                <w:rFonts w:ascii="VIC" w:hAnsi="VIC" w:cs="Times New Roman"/>
                <w:sz w:val="20"/>
              </w:rPr>
              <w:t xml:space="preserve">These are specific and measurable. When breached, they will initiate a response from the duty holder. It may be appropriate that triggers are established using a tiered approach to allow staged levels of response, </w:t>
            </w:r>
            <w:r w:rsidRPr="00CF0921" w:rsidDel="003D15D2">
              <w:rPr>
                <w:rFonts w:ascii="VIC" w:hAnsi="VIC" w:cs="Times New Roman"/>
                <w:sz w:val="20"/>
              </w:rPr>
              <w:t>for example</w:t>
            </w:r>
            <w:r w:rsidRPr="00CF0921">
              <w:rPr>
                <w:rFonts w:ascii="VIC" w:hAnsi="VIC" w:cs="Times New Roman"/>
                <w:sz w:val="20"/>
              </w:rPr>
              <w:t xml:space="preserve">: </w:t>
            </w:r>
          </w:p>
          <w:p w:rsidRPr="00CF0921" w:rsidR="00CF0921" w:rsidP="00CF0921" w:rsidRDefault="00CF0921" w14:paraId="3ED16426" w14:textId="77777777">
            <w:pPr>
              <w:spacing w:before="80" w:after="240"/>
              <w:ind w:left="720" w:hanging="360"/>
              <w:contextualSpacing/>
              <w:rPr>
                <w:rFonts w:ascii="VIC" w:hAnsi="VIC" w:cs="Times New Roman"/>
                <w:color w:val="1A1A1A"/>
                <w:sz w:val="20"/>
              </w:rPr>
            </w:pPr>
            <w:r w:rsidRPr="00CF0921">
              <w:rPr>
                <w:rFonts w:ascii="VIC" w:hAnsi="VIC" w:cs="Times New Roman"/>
                <w:color w:val="1A1A1A"/>
                <w:sz w:val="20"/>
              </w:rPr>
              <w:t>Tier 1 (green, alert trigger) for early indication of potential impact or an emerging issue</w:t>
            </w:r>
          </w:p>
          <w:p w:rsidRPr="00CF0921" w:rsidR="00CF0921" w:rsidP="00CF0921" w:rsidRDefault="00CF0921" w14:paraId="01FBCC9E" w14:textId="77777777">
            <w:pPr>
              <w:spacing w:before="80" w:after="240"/>
              <w:ind w:left="720" w:hanging="360"/>
              <w:contextualSpacing/>
              <w:rPr>
                <w:rFonts w:ascii="VIC" w:hAnsi="VIC" w:cs="Times New Roman"/>
                <w:color w:val="1A1A1A"/>
                <w:sz w:val="20"/>
              </w:rPr>
            </w:pPr>
            <w:r w:rsidRPr="00CF0921">
              <w:rPr>
                <w:rFonts w:ascii="VIC" w:hAnsi="VIC" w:cs="Times New Roman"/>
                <w:color w:val="1A1A1A"/>
                <w:sz w:val="20"/>
              </w:rPr>
              <w:t>Tier 2 (amber, action trigger) for indication of potential impact or moderate risk</w:t>
            </w:r>
          </w:p>
          <w:p w:rsidRPr="00CF0921" w:rsidR="00CF0921" w:rsidP="00CF0921" w:rsidRDefault="00CF0921" w14:paraId="33E56F77" w14:textId="77777777">
            <w:pPr>
              <w:spacing w:before="80" w:after="240"/>
              <w:ind w:left="720" w:hanging="360"/>
              <w:contextualSpacing/>
              <w:rPr>
                <w:rFonts w:ascii="VIC" w:hAnsi="VIC" w:cs="Times New Roman"/>
                <w:color w:val="1A1A1A"/>
                <w:sz w:val="20"/>
              </w:rPr>
            </w:pPr>
            <w:r w:rsidRPr="00CF0921">
              <w:rPr>
                <w:rFonts w:ascii="VIC" w:hAnsi="VIC" w:cs="Times New Roman"/>
                <w:color w:val="1A1A1A"/>
                <w:sz w:val="20"/>
              </w:rPr>
              <w:t xml:space="preserve">Tier 3 (red, impact trigger) for realised impact or unacceptable risk.  </w:t>
            </w:r>
          </w:p>
          <w:p w:rsidRPr="00CF0921" w:rsidR="00CF0921" w:rsidP="00CF0921" w:rsidRDefault="00CF0921" w14:paraId="03F1E634" w14:textId="77777777">
            <w:pPr>
              <w:spacing w:before="80" w:after="240"/>
              <w:rPr>
                <w:rFonts w:ascii="VIC" w:hAnsi="VIC" w:cs="Times New Roman"/>
                <w:color w:val="1A1A1A"/>
                <w:sz w:val="20"/>
              </w:rPr>
            </w:pPr>
            <w:r w:rsidRPr="00CF0921">
              <w:rPr>
                <w:rFonts w:ascii="VIC" w:hAnsi="VIC" w:cs="Times New Roman"/>
                <w:color w:val="1A1A1A"/>
                <w:sz w:val="20"/>
              </w:rPr>
              <w:t>For example, an environmental objective for a site’s industrial wastewater treatment plant might be that the arsenic concentration in the discharge water should not exceed 0.01</w:t>
            </w:r>
            <w:r w:rsidRPr="00CF0921">
              <w:rPr>
                <w:rFonts w:ascii="Cambria" w:hAnsi="Cambria" w:cs="Times New Roman"/>
                <w:color w:val="1A1A1A"/>
                <w:sz w:val="20"/>
              </w:rPr>
              <w:t> </w:t>
            </w:r>
            <w:r w:rsidRPr="00CF0921">
              <w:rPr>
                <w:rFonts w:ascii="VIC" w:hAnsi="VIC" w:cs="Times New Roman"/>
                <w:color w:val="1A1A1A"/>
                <w:sz w:val="20"/>
              </w:rPr>
              <w:t>mg/L. Tiered triggers may be set at 75%, 85% and 95% of this level so that the plant operator has an opportunity to implement corrective actions before the arsenic concentration in the discharge water exceeds the 0.01</w:t>
            </w:r>
            <w:r w:rsidRPr="00CF0921">
              <w:rPr>
                <w:rFonts w:ascii="Cambria" w:hAnsi="Cambria" w:cs="Times New Roman"/>
                <w:color w:val="1A1A1A"/>
                <w:sz w:val="20"/>
              </w:rPr>
              <w:t> </w:t>
            </w:r>
            <w:r w:rsidRPr="00CF0921">
              <w:rPr>
                <w:rFonts w:ascii="VIC" w:hAnsi="VIC" w:cs="Times New Roman"/>
                <w:color w:val="1A1A1A"/>
                <w:sz w:val="20"/>
              </w:rPr>
              <w:t>mg/L water quality objective.</w:t>
            </w:r>
          </w:p>
          <w:p w:rsidRPr="00CF0921" w:rsidR="00CF0921" w:rsidP="00CF0921" w:rsidRDefault="00CF0921" w14:paraId="72190552" w14:textId="77777777">
            <w:pPr>
              <w:spacing w:before="80" w:after="240"/>
              <w:rPr>
                <w:rFonts w:ascii="VIC" w:hAnsi="VIC" w:cs="Times New Roman"/>
                <w:color w:val="1A1A1A"/>
                <w:sz w:val="20"/>
              </w:rPr>
            </w:pPr>
            <w:r w:rsidRPr="00CF0921">
              <w:rPr>
                <w:rFonts w:ascii="VIC" w:hAnsi="VIC" w:cs="Times New Roman"/>
                <w:color w:val="1A1A1A"/>
                <w:sz w:val="20"/>
              </w:rPr>
              <w:t>The tiered trigger levels should allow sufficient time for a duty holder to mobilise resources and implement actions to prevent harm to the environment and human health. Response effort</w:t>
            </w:r>
            <w:r w:rsidRPr="00CF0921" w:rsidDel="00187853">
              <w:rPr>
                <w:rFonts w:ascii="VIC" w:hAnsi="VIC" w:cs="Times New Roman"/>
                <w:color w:val="1A1A1A"/>
                <w:sz w:val="20"/>
              </w:rPr>
              <w:t xml:space="preserve"> should be </w:t>
            </w:r>
            <w:r w:rsidRPr="00CF0921">
              <w:rPr>
                <w:rFonts w:ascii="VIC" w:hAnsi="VIC" w:cs="Times New Roman"/>
                <w:color w:val="1A1A1A"/>
                <w:sz w:val="20"/>
              </w:rPr>
              <w:t>proportional to the risk. The ‘traffic light’ system provides a quick visual indicator of escalating risk and the associated actions and resources needed to return to acceptable conditions (Tier</w:t>
            </w:r>
            <w:r w:rsidRPr="00CF0921">
              <w:rPr>
                <w:rFonts w:ascii="Calibri" w:hAnsi="Calibri" w:cs="Calibri"/>
                <w:color w:val="1A1A1A"/>
                <w:sz w:val="20"/>
              </w:rPr>
              <w:t> </w:t>
            </w:r>
            <w:r w:rsidRPr="00CF0921">
              <w:rPr>
                <w:rFonts w:ascii="VIC" w:hAnsi="VIC" w:cs="Times New Roman"/>
                <w:color w:val="1A1A1A"/>
                <w:sz w:val="20"/>
              </w:rPr>
              <w:t>1).</w:t>
            </w:r>
          </w:p>
          <w:p w:rsidRPr="00CF0921" w:rsidR="00CF0921" w:rsidP="00CF0921" w:rsidRDefault="00CF0921" w14:paraId="44EE0FFA" w14:textId="77777777">
            <w:pPr>
              <w:spacing w:before="80" w:after="240"/>
              <w:rPr>
                <w:rFonts w:ascii="VIC" w:hAnsi="VIC" w:cs="Times New Roman"/>
                <w:color w:val="1A1A1A"/>
                <w:sz w:val="20"/>
              </w:rPr>
            </w:pPr>
            <w:r w:rsidRPr="00CF0921">
              <w:rPr>
                <w:rFonts w:ascii="VIC" w:hAnsi="VIC" w:cs="Times New Roman"/>
                <w:color w:val="1A1A1A"/>
                <w:sz w:val="20"/>
              </w:rPr>
              <w:t xml:space="preserve">Triggers may also require consideration of baseline or background conditions. </w:t>
            </w:r>
            <w:hyperlink w:history="1" r:id="rId10">
              <w:r w:rsidRPr="00CF0921">
                <w:rPr>
                  <w:rFonts w:ascii="VIC" w:hAnsi="VIC" w:cs="Times New Roman"/>
                  <w:color w:val="005FB4"/>
                  <w:sz w:val="20"/>
                </w:rPr>
                <w:t>EPA Publication 2033 Background levels methodology guidance</w:t>
              </w:r>
            </w:hyperlink>
            <w:r w:rsidRPr="00CF0921">
              <w:rPr>
                <w:rFonts w:ascii="VIC" w:hAnsi="VIC" w:cs="Times New Roman"/>
                <w:color w:val="1A1A1A"/>
                <w:sz w:val="20"/>
              </w:rPr>
              <w:t xml:space="preserve"> provides further guidance on assessing background conditions. </w:t>
            </w:r>
          </w:p>
        </w:tc>
      </w:tr>
      <w:tr w:rsidRPr="00CF0921" w:rsidR="00CF0921" w:rsidTr="00CF0921" w14:paraId="6CEB401A" w14:textId="77777777">
        <w:trPr>
          <w:cnfStyle w:val="000000100000" w:firstRow="0" w:lastRow="0" w:firstColumn="0" w:lastColumn="0" w:oddVBand="0" w:evenVBand="0" w:oddHBand="1" w:evenHBand="0" w:firstRowFirstColumn="0" w:firstRowLastColumn="0" w:lastRowFirstColumn="0" w:lastRowLastColumn="0"/>
        </w:trPr>
        <w:tc>
          <w:tcPr>
            <w:tcW w:w="2122" w:type="dxa"/>
            <w:tcBorders>
              <w:top w:val="single" w:color="005FB4" w:sz="8" w:space="0"/>
            </w:tcBorders>
          </w:tcPr>
          <w:p w:rsidRPr="00CF0921" w:rsidR="00CF0921" w:rsidP="00CF0921" w:rsidRDefault="00CF0921" w14:paraId="05C87661" w14:textId="77777777">
            <w:pPr>
              <w:spacing w:before="80" w:after="240"/>
              <w:jc w:val="both"/>
              <w:rPr>
                <w:rFonts w:ascii="VIC" w:hAnsi="VIC" w:cs="Times New Roman"/>
                <w:color w:val="1A1A1A"/>
                <w:sz w:val="20"/>
              </w:rPr>
            </w:pPr>
            <w:r w:rsidRPr="00CF0921">
              <w:rPr>
                <w:rFonts w:ascii="VIC" w:hAnsi="VIC" w:cs="Times New Roman"/>
                <w:color w:val="1A1A1A"/>
                <w:sz w:val="20"/>
              </w:rPr>
              <w:t>Actions</w:t>
            </w:r>
          </w:p>
        </w:tc>
        <w:tc>
          <w:tcPr>
            <w:tcW w:w="8072" w:type="dxa"/>
            <w:tcBorders>
              <w:top w:val="single" w:color="005FB4" w:sz="8" w:space="0"/>
            </w:tcBorders>
          </w:tcPr>
          <w:p w:rsidRPr="00CF0921" w:rsidR="00CF0921" w:rsidP="00CF0921" w:rsidRDefault="00CF0921" w14:paraId="767224E7" w14:textId="77777777">
            <w:pPr>
              <w:spacing w:before="80" w:after="240"/>
              <w:rPr>
                <w:rFonts w:ascii="VIC" w:hAnsi="VIC" w:cs="Times New Roman"/>
                <w:color w:val="1A1A1A"/>
                <w:sz w:val="20"/>
              </w:rPr>
            </w:pPr>
            <w:r w:rsidRPr="00CF0921">
              <w:rPr>
                <w:rFonts w:ascii="VIC" w:hAnsi="VIC" w:cs="Times New Roman"/>
                <w:color w:val="1A1A1A"/>
                <w:sz w:val="20"/>
              </w:rPr>
              <w:t xml:space="preserve">Actions are the immediate steps taken by a duty holder to ensure risk of harm is eliminated or minimised </w:t>
            </w:r>
            <w:r w:rsidRPr="00CF0921">
              <w:rPr>
                <w:rFonts w:ascii="VIC" w:hAnsi="VIC" w:cs="Times New Roman"/>
                <w:color w:val="1A1A1A"/>
                <w:sz w:val="20"/>
                <w:u w:color="000000"/>
                <w:lang w:eastAsia="en-AU"/>
              </w:rPr>
              <w:t>so far as reasonably practicable</w:t>
            </w:r>
            <w:r w:rsidRPr="00CF0921">
              <w:rPr>
                <w:rFonts w:ascii="VIC" w:hAnsi="VIC" w:cs="Times New Roman"/>
                <w:color w:val="1A1A1A"/>
                <w:sz w:val="20"/>
              </w:rPr>
              <w:t>. With tiered triggers, the actions taken are aligned with the risk, and often increase in complexity</w:t>
            </w:r>
            <w:r w:rsidRPr="00CF0921" w:rsidDel="008503FA">
              <w:rPr>
                <w:rFonts w:ascii="VIC" w:hAnsi="VIC" w:cs="Times New Roman"/>
                <w:color w:val="1A1A1A"/>
                <w:sz w:val="20"/>
              </w:rPr>
              <w:t xml:space="preserve"> </w:t>
            </w:r>
            <w:r w:rsidRPr="00CF0921">
              <w:rPr>
                <w:rFonts w:ascii="VIC" w:hAnsi="VIC" w:cs="Times New Roman"/>
                <w:color w:val="1A1A1A"/>
                <w:sz w:val="20"/>
              </w:rPr>
              <w:t>and urgency:</w:t>
            </w:r>
          </w:p>
          <w:p w:rsidRPr="00CF0921" w:rsidR="00CF0921" w:rsidP="00CF0921" w:rsidRDefault="00CF0921" w14:paraId="13FE9E91" w14:textId="77777777">
            <w:pPr>
              <w:spacing w:before="80" w:after="240"/>
              <w:rPr>
                <w:rFonts w:ascii="VIC" w:hAnsi="VIC" w:cs="Times New Roman"/>
                <w:color w:val="1A1A1A"/>
                <w:sz w:val="20"/>
              </w:rPr>
            </w:pPr>
            <w:r w:rsidRPr="00CF0921">
              <w:rPr>
                <w:rFonts w:ascii="VIC" w:hAnsi="VIC" w:cs="Times New Roman"/>
                <w:color w:val="1A1A1A"/>
                <w:sz w:val="20"/>
              </w:rPr>
              <w:t>A Tier 1 (green level trigger) may require further verification of the monitoring data, repeat testing or maintenance activities (assessment of how representative the result is).</w:t>
            </w:r>
          </w:p>
          <w:p w:rsidRPr="00CF0921" w:rsidR="00CF0921" w:rsidP="00CF0921" w:rsidRDefault="00CF0921" w14:paraId="2A15E2D7" w14:textId="77777777">
            <w:pPr>
              <w:spacing w:before="80" w:after="240"/>
              <w:rPr>
                <w:rFonts w:ascii="VIC" w:hAnsi="VIC" w:cs="Times New Roman"/>
                <w:color w:val="1A1A1A"/>
                <w:sz w:val="20"/>
              </w:rPr>
            </w:pPr>
            <w:r w:rsidRPr="00CF0921">
              <w:rPr>
                <w:rFonts w:ascii="VIC" w:hAnsi="VIC" w:cs="Times New Roman"/>
                <w:color w:val="1A1A1A"/>
                <w:sz w:val="20"/>
              </w:rPr>
              <w:t xml:space="preserve">A Tier 2 (amber level trigger) may require additional actions over and above a green level trigger. This could include increased monitoring frequencies, further investigations, testing and sampling, notification, or reduction of discharges. </w:t>
            </w:r>
          </w:p>
          <w:p w:rsidRPr="00CF0921" w:rsidR="00CF0921" w:rsidP="00CF0921" w:rsidRDefault="00CF0921" w14:paraId="24AC147E" w14:textId="77777777">
            <w:pPr>
              <w:spacing w:before="80" w:after="240"/>
              <w:rPr>
                <w:rFonts w:ascii="VIC" w:hAnsi="VIC" w:cs="Times New Roman"/>
                <w:color w:val="1A1A1A"/>
                <w:sz w:val="20"/>
              </w:rPr>
            </w:pPr>
            <w:r w:rsidRPr="00CF0921">
              <w:rPr>
                <w:rFonts w:ascii="VIC" w:hAnsi="VIC" w:cs="Times New Roman"/>
                <w:color w:val="1A1A1A"/>
                <w:sz w:val="20"/>
              </w:rPr>
              <w:t>A Tier 3 (red level trigger) may include remedial activities, shutdown of a process, additional treatment.</w:t>
            </w:r>
          </w:p>
          <w:p w:rsidRPr="00CF0921" w:rsidR="00CF0921" w:rsidP="00CF0921" w:rsidRDefault="00CF0921" w14:paraId="789AFD10" w14:textId="77777777">
            <w:pPr>
              <w:spacing w:before="80" w:after="240"/>
              <w:rPr>
                <w:rFonts w:ascii="VIC" w:hAnsi="VIC" w:cs="Times New Roman"/>
                <w:color w:val="1A1A1A"/>
                <w:sz w:val="20"/>
              </w:rPr>
            </w:pPr>
            <w:r w:rsidRPr="00CF0921">
              <w:rPr>
                <w:rFonts w:ascii="VIC" w:hAnsi="VIC" w:cs="Times New Roman"/>
                <w:color w:val="1A1A1A"/>
                <w:sz w:val="20"/>
              </w:rPr>
              <w:t>Actions should be implemented early and before harm occurs. Actions should include a clear timeframe for completion, for example: re-sample within 7</w:t>
            </w:r>
            <w:r w:rsidRPr="00CF0921">
              <w:rPr>
                <w:rFonts w:ascii="Cambria" w:hAnsi="Cambria" w:cs="Times New Roman"/>
                <w:color w:val="1A1A1A"/>
                <w:sz w:val="20"/>
              </w:rPr>
              <w:t> </w:t>
            </w:r>
            <w:r w:rsidRPr="00CF0921">
              <w:rPr>
                <w:rFonts w:ascii="VIC" w:hAnsi="VIC" w:cs="Times New Roman"/>
                <w:color w:val="1A1A1A"/>
                <w:sz w:val="20"/>
              </w:rPr>
              <w:t>days.</w:t>
            </w:r>
          </w:p>
        </w:tc>
      </w:tr>
      <w:tr w:rsidRPr="00CF0921" w:rsidR="00CF0921" w:rsidTr="00E00B92" w14:paraId="15947845" w14:textId="77777777">
        <w:trPr>
          <w:cnfStyle w:val="000000010000" w:firstRow="0" w:lastRow="0" w:firstColumn="0" w:lastColumn="0" w:oddVBand="0" w:evenVBand="0" w:oddHBand="0" w:evenHBand="1" w:firstRowFirstColumn="0" w:firstRowLastColumn="0" w:lastRowFirstColumn="0" w:lastRowLastColumn="0"/>
        </w:trPr>
        <w:tc>
          <w:tcPr>
            <w:tcW w:w="2122" w:type="dxa"/>
          </w:tcPr>
          <w:p w:rsidRPr="00CF0921" w:rsidR="00CF0921" w:rsidP="00CF0921" w:rsidRDefault="00CF0921" w14:paraId="180717DD" w14:textId="77777777">
            <w:pPr>
              <w:rPr>
                <w:rFonts w:ascii="VIC" w:hAnsi="VIC" w:cs="Times New Roman"/>
                <w:sz w:val="20"/>
              </w:rPr>
            </w:pPr>
            <w:r w:rsidRPr="00CF0921">
              <w:rPr>
                <w:rFonts w:ascii="VIC" w:hAnsi="VIC" w:cs="Times New Roman"/>
                <w:sz w:val="20"/>
              </w:rPr>
              <w:t>Response</w:t>
            </w:r>
          </w:p>
        </w:tc>
        <w:tc>
          <w:tcPr>
            <w:tcW w:w="8072" w:type="dxa"/>
          </w:tcPr>
          <w:p w:rsidRPr="00CF0921" w:rsidR="00CF0921" w:rsidP="00CF0921" w:rsidRDefault="00CF0921" w14:paraId="632B3AD8" w14:textId="77777777">
            <w:pPr>
              <w:rPr>
                <w:rFonts w:ascii="VIC" w:hAnsi="VIC" w:cs="Times New Roman"/>
                <w:sz w:val="20"/>
              </w:rPr>
            </w:pPr>
            <w:r w:rsidRPr="00CF0921">
              <w:rPr>
                <w:rFonts w:ascii="VIC" w:hAnsi="VIC" w:cs="Times New Roman"/>
                <w:sz w:val="20"/>
              </w:rPr>
              <w:t>Your monitoring program may document who is responsible for undertaking the actions. For example:</w:t>
            </w:r>
          </w:p>
          <w:p w:rsidRPr="00CF0921" w:rsidR="00CF0921" w:rsidP="00CF0921" w:rsidRDefault="00CF0921" w14:paraId="0C7D6E34" w14:textId="77777777">
            <w:pPr>
              <w:spacing w:before="80" w:after="240"/>
              <w:ind w:left="720" w:hanging="360"/>
              <w:contextualSpacing/>
              <w:rPr>
                <w:rFonts w:ascii="VIC" w:hAnsi="VIC" w:cs="Times New Roman"/>
                <w:color w:val="1A1A1A"/>
                <w:sz w:val="20"/>
              </w:rPr>
            </w:pPr>
            <w:r w:rsidRPr="00CF0921">
              <w:rPr>
                <w:rFonts w:ascii="VIC" w:hAnsi="VIC" w:cs="Times New Roman"/>
                <w:color w:val="1A1A1A"/>
                <w:sz w:val="20"/>
              </w:rPr>
              <w:t xml:space="preserve">A green response could be managed by the environmental assessor/manager. </w:t>
            </w:r>
          </w:p>
          <w:p w:rsidRPr="00CF0921" w:rsidR="00CF0921" w:rsidP="00CF0921" w:rsidRDefault="00CF0921" w14:paraId="42F96C6D" w14:textId="77777777">
            <w:pPr>
              <w:spacing w:before="80" w:after="240"/>
              <w:ind w:left="720" w:hanging="360"/>
              <w:contextualSpacing/>
              <w:rPr>
                <w:rFonts w:ascii="VIC" w:hAnsi="VIC" w:cs="Times New Roman"/>
                <w:color w:val="1A1A1A"/>
                <w:sz w:val="20"/>
              </w:rPr>
            </w:pPr>
            <w:r w:rsidRPr="00CF0921">
              <w:rPr>
                <w:rFonts w:ascii="VIC" w:hAnsi="VIC" w:cs="Times New Roman"/>
                <w:color w:val="1A1A1A"/>
                <w:sz w:val="20"/>
              </w:rPr>
              <w:t>An amber response could be notification to executive management, initiate options studies, prepare functional design and costings for treatment.</w:t>
            </w:r>
          </w:p>
          <w:p w:rsidRPr="00CF0921" w:rsidR="00CF0921" w:rsidP="00CF0921" w:rsidRDefault="00CF0921" w14:paraId="75C15987" w14:textId="77777777">
            <w:pPr>
              <w:spacing w:before="80" w:after="240"/>
              <w:ind w:left="720" w:hanging="360"/>
              <w:contextualSpacing/>
              <w:rPr>
                <w:rFonts w:ascii="VIC" w:hAnsi="VIC" w:cs="Times New Roman"/>
                <w:color w:val="1A1A1A"/>
                <w:sz w:val="20"/>
              </w:rPr>
            </w:pPr>
            <w:r w:rsidRPr="00CF0921">
              <w:rPr>
                <w:rFonts w:ascii="VIC" w:hAnsi="VIC" w:cs="Times New Roman"/>
                <w:color w:val="1A1A1A"/>
                <w:sz w:val="20"/>
              </w:rPr>
              <w:t xml:space="preserve">A red response could be notification to the regulator, other </w:t>
            </w:r>
            <w:proofErr w:type="gramStart"/>
            <w:r w:rsidRPr="00CF0921">
              <w:rPr>
                <w:rFonts w:ascii="VIC" w:hAnsi="VIC" w:cs="Times New Roman"/>
                <w:color w:val="1A1A1A"/>
                <w:sz w:val="20"/>
              </w:rPr>
              <w:t>stakeholders ,</w:t>
            </w:r>
            <w:proofErr w:type="gramEnd"/>
            <w:r w:rsidRPr="00CF0921">
              <w:rPr>
                <w:rFonts w:ascii="VIC" w:hAnsi="VIC" w:cs="Times New Roman"/>
                <w:color w:val="1A1A1A"/>
                <w:sz w:val="20"/>
              </w:rPr>
              <w:t xml:space="preserve"> implement cleanup program, etc.</w:t>
            </w:r>
          </w:p>
        </w:tc>
      </w:tr>
    </w:tbl>
    <w:p w:rsidRPr="00CF0921" w:rsidR="00CF0921" w:rsidP="00CF0921" w:rsidRDefault="00CF0921" w14:paraId="7BD6BC04" w14:textId="77777777">
      <w:pPr>
        <w:spacing w:before="120" w:after="240" w:line="240" w:lineRule="auto"/>
        <w:rPr>
          <w:rFonts w:ascii="VIC" w:hAnsi="VIC" w:eastAsia="VIC" w:cs="Times New Roman"/>
          <w:color w:val="1A1A1A"/>
          <w:kern w:val="0"/>
          <w:sz w:val="20"/>
          <w:szCs w:val="22"/>
          <w:lang w:eastAsia="en-US" w:bidi="ar-SA"/>
          <w14:ligatures w14:val="none"/>
        </w:rPr>
      </w:pPr>
      <w:r w:rsidRPr="00CF0921">
        <w:rPr>
          <w:rFonts w:ascii="VIC" w:hAnsi="VIC" w:eastAsia="VIC" w:cs="Times New Roman"/>
          <w:color w:val="1A1A1A"/>
          <w:kern w:val="0"/>
          <w:sz w:val="20"/>
          <w:szCs w:val="22"/>
          <w:lang w:eastAsia="en-US" w:bidi="ar-SA"/>
          <w14:ligatures w14:val="none"/>
        </w:rPr>
        <w:t xml:space="preserve">Two examples of Trigger Action Response Plans (TARPs) are included below. </w:t>
      </w:r>
    </w:p>
    <w:p w:rsidRPr="00CF0921" w:rsidR="00CF0921" w:rsidP="00CF0921" w:rsidRDefault="00CF0921" w14:paraId="77F7D432" w14:textId="77777777">
      <w:pPr>
        <w:spacing w:before="120" w:after="240" w:line="240" w:lineRule="auto"/>
        <w:rPr>
          <w:rFonts w:ascii="VIC" w:hAnsi="VIC" w:eastAsia="VIC" w:cs="Times New Roman"/>
          <w:color w:val="1A1A1A"/>
          <w:kern w:val="0"/>
          <w:sz w:val="20"/>
          <w:szCs w:val="22"/>
          <w:lang w:eastAsia="en-US" w:bidi="ar-SA"/>
          <w14:ligatures w14:val="none"/>
        </w:rPr>
      </w:pPr>
      <w:r w:rsidRPr="00CF0921">
        <w:rPr>
          <w:rFonts w:ascii="VIC" w:hAnsi="VIC" w:eastAsia="VIC" w:cs="Times New Roman"/>
          <w:color w:val="1A1A1A"/>
          <w:kern w:val="0"/>
          <w:sz w:val="20"/>
          <w:szCs w:val="22"/>
          <w:lang w:eastAsia="en-US" w:bidi="ar-SA"/>
          <w14:ligatures w14:val="none"/>
        </w:rPr>
        <w:t xml:space="preserve">Example TARP #1 is tiered where the magnitude and scale of management responses increase as the risk of unacceptable impact to human health and the environment increases. This approach can provide early indication of exceedances and allows time to prepare suitable management controls. </w:t>
      </w:r>
    </w:p>
    <w:p w:rsidRPr="00CF0921" w:rsidR="00CF0921" w:rsidP="00CF0921" w:rsidRDefault="00CF0921" w14:paraId="79946DFC" w14:textId="77777777">
      <w:pPr>
        <w:spacing w:before="120" w:after="240" w:line="240" w:lineRule="auto"/>
        <w:rPr>
          <w:rFonts w:ascii="VIC" w:hAnsi="VIC" w:eastAsia="VIC" w:cs="Times New Roman"/>
          <w:color w:val="1A1A1A"/>
          <w:kern w:val="0"/>
          <w:sz w:val="20"/>
          <w:szCs w:val="22"/>
          <w:lang w:eastAsia="en-US" w:bidi="ar-SA"/>
          <w14:ligatures w14:val="none"/>
        </w:rPr>
      </w:pPr>
      <w:r w:rsidRPr="00CF0921">
        <w:rPr>
          <w:rFonts w:ascii="VIC" w:hAnsi="VIC" w:eastAsia="VIC" w:cs="Times New Roman"/>
          <w:color w:val="1A1A1A"/>
          <w:kern w:val="0"/>
          <w:sz w:val="20"/>
          <w:szCs w:val="22"/>
          <w:lang w:eastAsia="en-US" w:bidi="ar-SA"/>
          <w14:ligatures w14:val="none"/>
        </w:rPr>
        <w:t xml:space="preserve">Example TARP #2 relies on comparing monitoring data to specific environmental objectives. This simplified approach </w:t>
      </w:r>
      <w:proofErr w:type="gramStart"/>
      <w:r w:rsidRPr="00CF0921">
        <w:rPr>
          <w:rFonts w:ascii="VIC" w:hAnsi="VIC" w:eastAsia="VIC" w:cs="Times New Roman"/>
          <w:color w:val="1A1A1A"/>
          <w:kern w:val="0"/>
          <w:sz w:val="20"/>
          <w:szCs w:val="22"/>
          <w:lang w:eastAsia="en-US" w:bidi="ar-SA"/>
          <w14:ligatures w14:val="none"/>
        </w:rPr>
        <w:t>is capable of identifying</w:t>
      </w:r>
      <w:proofErr w:type="gramEnd"/>
      <w:r w:rsidRPr="00CF0921">
        <w:rPr>
          <w:rFonts w:ascii="VIC" w:hAnsi="VIC" w:eastAsia="VIC" w:cs="Times New Roman"/>
          <w:color w:val="1A1A1A"/>
          <w:kern w:val="0"/>
          <w:sz w:val="20"/>
          <w:szCs w:val="22"/>
          <w:lang w:eastAsia="en-US" w:bidi="ar-SA"/>
          <w14:ligatures w14:val="none"/>
        </w:rPr>
        <w:t xml:space="preserve"> changes that may increase risk and can respond promptly to minimise impact to the environment.</w:t>
      </w:r>
    </w:p>
    <w:p w:rsidRPr="00CF0921" w:rsidR="00CF0921" w:rsidP="00CF0921" w:rsidRDefault="00CF0921" w14:paraId="4E4C4512" w14:textId="77777777">
      <w:pPr>
        <w:spacing w:before="120" w:after="240" w:line="240" w:lineRule="auto"/>
        <w:rPr>
          <w:rFonts w:ascii="VIC" w:hAnsi="VIC" w:eastAsia="VIC" w:cs="Times New Roman"/>
          <w:color w:val="1A1A1A"/>
          <w:kern w:val="0"/>
          <w:sz w:val="20"/>
          <w:szCs w:val="22"/>
          <w:lang w:eastAsia="en-US" w:bidi="ar-SA"/>
          <w14:ligatures w14:val="none"/>
        </w:rPr>
        <w:sectPr w:rsidRPr="00CF0921" w:rsidR="00CF0921" w:rsidSect="00CF0921">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851" w:right="851" w:bottom="851" w:left="851" w:header="709" w:footer="850" w:gutter="0"/>
          <w:cols w:space="708"/>
          <w:titlePg/>
          <w:docGrid w:linePitch="360"/>
        </w:sectPr>
      </w:pPr>
    </w:p>
    <w:p w:rsidRPr="000D57F8" w:rsidR="00CF0921" w:rsidP="000D57F8" w:rsidRDefault="00CF0921" w14:paraId="5F02AC5D" w14:textId="2420328C">
      <w:pPr>
        <w:pStyle w:val="Heading2"/>
      </w:pPr>
      <w:r w:rsidRPr="000D57F8">
        <w:t>Example TAR #1 – Simple business with permitted discharge to creek</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A3C73"/>
        <w:tblLook w:val="04A0" w:firstRow="1" w:lastRow="0" w:firstColumn="1" w:lastColumn="0" w:noHBand="0" w:noVBand="1"/>
      </w:tblPr>
      <w:tblGrid>
        <w:gridCol w:w="15136"/>
      </w:tblGrid>
      <w:tr w:rsidRPr="00CF0921" w:rsidR="00CF0921" w:rsidTr="00E00B92" w14:paraId="5474752A" w14:textId="77777777">
        <w:tc>
          <w:tcPr>
            <w:tcW w:w="15126" w:type="dxa"/>
            <w:shd w:val="clear" w:color="auto" w:fill="0A3C73"/>
          </w:tcPr>
          <w:p w:rsidRPr="00CF0921" w:rsidR="00CF0921" w:rsidP="00CF0921" w:rsidRDefault="00CF0921" w14:paraId="049B4A0D" w14:textId="77777777">
            <w:pPr>
              <w:spacing w:before="80" w:after="240"/>
              <w:rPr>
                <w:rFonts w:ascii="VIC" w:hAnsi="VIC" w:cs="Times New Roman"/>
                <w:color w:val="1A1A1A"/>
                <w:sz w:val="20"/>
              </w:rPr>
            </w:pPr>
            <w:r w:rsidRPr="00CF0921">
              <w:rPr>
                <w:rFonts w:ascii="VIC" w:hAnsi="VIC" w:cs="Times New Roman"/>
                <w:color w:val="FFFFFF"/>
                <w:sz w:val="20"/>
              </w:rPr>
              <w:t>XZY Pty Ltd operates an industrial site where process water is captured in lagoons, treated and discharged to a local creek under an EPA permission. A requirement of the EPA permission is that the discharge must meet water quality and flow rate criteria specified in the licence. In this example, acidic discharge could have a significant impact on the downstream ecosystems and therefore engineering and administrative controls are in place to minimise the risk of impact occurring.</w:t>
            </w:r>
          </w:p>
        </w:tc>
      </w:tr>
    </w:tbl>
    <w:p w:rsidRPr="00CF0921" w:rsidR="00CF0921" w:rsidP="00CF0921" w:rsidRDefault="00CF0921" w14:paraId="12BFBF0D" w14:textId="77777777">
      <w:pPr>
        <w:spacing w:after="0" w:line="240" w:lineRule="auto"/>
        <w:rPr>
          <w:rFonts w:ascii="VIC" w:hAnsi="VIC" w:eastAsia="VIC" w:cs="Times New Roman"/>
          <w:kern w:val="0"/>
          <w:sz w:val="20"/>
          <w:szCs w:val="22"/>
          <w:lang w:eastAsia="en-US" w:bidi="ar-SA"/>
          <w14:ligatures w14:val="none"/>
        </w:rPr>
      </w:pPr>
    </w:p>
    <w:tbl>
      <w:tblPr>
        <w:tblStyle w:val="EPA"/>
        <w:tblW w:w="5000" w:type="pct"/>
        <w:tblLook w:val="04A0" w:firstRow="1" w:lastRow="0" w:firstColumn="1" w:lastColumn="0" w:noHBand="0" w:noVBand="1"/>
      </w:tblPr>
      <w:tblGrid>
        <w:gridCol w:w="1808"/>
        <w:gridCol w:w="2234"/>
        <w:gridCol w:w="4836"/>
        <w:gridCol w:w="3466"/>
        <w:gridCol w:w="2792"/>
      </w:tblGrid>
      <w:tr w:rsidRPr="00003EE3" w:rsidR="00003EE3" w:rsidTr="00003EE3" w14:paraId="61C61D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003EE3" w:rsidR="00CF0921" w:rsidP="00CF0921" w:rsidRDefault="00CF0921" w14:paraId="611113B0" w14:textId="77777777">
            <w:pPr>
              <w:spacing w:line="259" w:lineRule="auto"/>
              <w:rPr>
                <w:rFonts w:ascii="VIC SemiBold" w:hAnsi="VIC SemiBold" w:cs="Times New Roman"/>
                <w:color w:val="auto"/>
                <w:sz w:val="20"/>
              </w:rPr>
            </w:pPr>
            <w:r w:rsidRPr="00003EE3">
              <w:rPr>
                <w:rFonts w:ascii="VIC SemiBold" w:hAnsi="VIC SemiBold" w:cs="Times New Roman"/>
                <w:color w:val="auto"/>
                <w:sz w:val="20"/>
              </w:rPr>
              <w:t>Tier</w:t>
            </w:r>
          </w:p>
        </w:tc>
        <w:tc>
          <w:tcPr>
            <w:tcW w:w="2268" w:type="dxa"/>
          </w:tcPr>
          <w:p w:rsidRPr="00003EE3" w:rsidR="00CF0921" w:rsidP="00CF0921" w:rsidRDefault="00CF0921" w14:paraId="672D2917" w14:textId="77777777">
            <w:pPr>
              <w:spacing w:line="259" w:lineRule="auto"/>
              <w:cnfStyle w:val="100000000000" w:firstRow="1" w:lastRow="0" w:firstColumn="0" w:lastColumn="0" w:oddVBand="0" w:evenVBand="0" w:oddHBand="0" w:evenHBand="0" w:firstRowFirstColumn="0" w:firstRowLastColumn="0" w:lastRowFirstColumn="0" w:lastRowLastColumn="0"/>
              <w:rPr>
                <w:rFonts w:ascii="VIC SemiBold" w:hAnsi="VIC SemiBold" w:cs="Times New Roman"/>
                <w:color w:val="auto"/>
                <w:sz w:val="20"/>
              </w:rPr>
            </w:pPr>
            <w:r w:rsidRPr="00003EE3">
              <w:rPr>
                <w:rFonts w:ascii="VIC SemiBold" w:hAnsi="VIC SemiBold" w:cs="Times New Roman"/>
                <w:color w:val="auto"/>
                <w:sz w:val="20"/>
              </w:rPr>
              <w:t xml:space="preserve">Trigger </w:t>
            </w:r>
          </w:p>
        </w:tc>
        <w:tc>
          <w:tcPr>
            <w:tcW w:w="4961" w:type="dxa"/>
          </w:tcPr>
          <w:p w:rsidRPr="00003EE3" w:rsidR="00CF0921" w:rsidP="00CF0921" w:rsidRDefault="00CF0921" w14:paraId="4A8E559C" w14:textId="77777777">
            <w:pPr>
              <w:spacing w:line="259" w:lineRule="auto"/>
              <w:cnfStyle w:val="100000000000" w:firstRow="1" w:lastRow="0" w:firstColumn="0" w:lastColumn="0" w:oddVBand="0" w:evenVBand="0" w:oddHBand="0" w:evenHBand="0" w:firstRowFirstColumn="0" w:firstRowLastColumn="0" w:lastRowFirstColumn="0" w:lastRowLastColumn="0"/>
              <w:rPr>
                <w:rFonts w:ascii="VIC SemiBold" w:hAnsi="VIC SemiBold" w:cs="Times New Roman"/>
                <w:color w:val="auto"/>
                <w:sz w:val="20"/>
              </w:rPr>
            </w:pPr>
            <w:r w:rsidRPr="00003EE3">
              <w:rPr>
                <w:rFonts w:ascii="VIC SemiBold" w:hAnsi="VIC SemiBold" w:cs="Times New Roman"/>
                <w:color w:val="auto"/>
                <w:sz w:val="20"/>
              </w:rPr>
              <w:t xml:space="preserve">Action </w:t>
            </w:r>
          </w:p>
        </w:tc>
        <w:tc>
          <w:tcPr>
            <w:tcW w:w="6379" w:type="dxa"/>
            <w:gridSpan w:val="2"/>
          </w:tcPr>
          <w:p w:rsidRPr="00003EE3" w:rsidR="00CF0921" w:rsidP="00CF0921" w:rsidRDefault="00CF0921" w14:paraId="51771DFC" w14:textId="77777777">
            <w:pPr>
              <w:spacing w:line="259" w:lineRule="auto"/>
              <w:cnfStyle w:val="100000000000" w:firstRow="1" w:lastRow="0" w:firstColumn="0" w:lastColumn="0" w:oddVBand="0" w:evenVBand="0" w:oddHBand="0" w:evenHBand="0" w:firstRowFirstColumn="0" w:firstRowLastColumn="0" w:lastRowFirstColumn="0" w:lastRowLastColumn="0"/>
              <w:rPr>
                <w:rFonts w:ascii="VIC SemiBold" w:hAnsi="VIC SemiBold" w:cs="Times New Roman"/>
                <w:color w:val="auto"/>
                <w:sz w:val="20"/>
              </w:rPr>
            </w:pPr>
            <w:r w:rsidRPr="00003EE3">
              <w:rPr>
                <w:rFonts w:ascii="VIC SemiBold" w:hAnsi="VIC SemiBold" w:cs="Times New Roman"/>
                <w:color w:val="auto"/>
                <w:sz w:val="20"/>
              </w:rPr>
              <w:t>Response</w:t>
            </w:r>
          </w:p>
        </w:tc>
      </w:tr>
      <w:tr w:rsidRPr="00CF0921" w:rsidR="00CF0921" w:rsidTr="00003EE3" w14:paraId="33B826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D9F2D0" w:themeFill="accent6" w:themeFillTint="33"/>
          </w:tcPr>
          <w:p w:rsidRPr="00CF0921" w:rsidR="00CF0921" w:rsidP="00CF0921" w:rsidRDefault="00CF0921" w14:paraId="08798420" w14:textId="77777777">
            <w:pPr>
              <w:spacing w:line="259" w:lineRule="auto"/>
              <w:rPr>
                <w:rFonts w:ascii="VIC" w:hAnsi="VIC" w:cs="Times New Roman"/>
                <w:color w:val="1A1A1A"/>
                <w:sz w:val="20"/>
              </w:rPr>
            </w:pPr>
            <w:r w:rsidRPr="00CF0921">
              <w:rPr>
                <w:rFonts w:ascii="VIC" w:hAnsi="VIC" w:cs="Times New Roman"/>
                <w:color w:val="1A1A1A"/>
                <w:sz w:val="20"/>
              </w:rPr>
              <w:t>Tier 1: Normal</w:t>
            </w:r>
          </w:p>
        </w:tc>
        <w:tc>
          <w:tcPr>
            <w:tcW w:w="2268" w:type="dxa"/>
            <w:shd w:val="clear" w:color="auto" w:fill="D9F2D0" w:themeFill="accent6" w:themeFillTint="33"/>
          </w:tcPr>
          <w:p w:rsidRPr="00CF0921" w:rsidR="00CF0921" w:rsidP="00CF0921" w:rsidRDefault="00CF0921" w14:paraId="38CE73DA"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Effluent pH: 6 – 9</w:t>
            </w:r>
          </w:p>
        </w:tc>
        <w:tc>
          <w:tcPr>
            <w:tcW w:w="4961" w:type="dxa"/>
            <w:shd w:val="clear" w:color="auto" w:fill="D9F2D0" w:themeFill="accent6" w:themeFillTint="33"/>
          </w:tcPr>
          <w:p w:rsidRPr="00CF0921" w:rsidR="00CF0921" w:rsidP="00CF0921" w:rsidRDefault="00CF0921" w14:paraId="633F3CD2"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Weekly check on pH sensor calibration by the site environmental officer (SEO).</w:t>
            </w:r>
          </w:p>
        </w:tc>
        <w:tc>
          <w:tcPr>
            <w:tcW w:w="3544" w:type="dxa"/>
            <w:shd w:val="clear" w:color="auto" w:fill="D9F2D0" w:themeFill="accent6" w:themeFillTint="33"/>
          </w:tcPr>
          <w:p w:rsidRPr="00CF0921" w:rsidR="00CF0921" w:rsidP="00CF0921" w:rsidRDefault="00CF0921" w14:paraId="0C0D4133"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Email calibration to the site quality officer (SQO).</w:t>
            </w:r>
          </w:p>
        </w:tc>
        <w:tc>
          <w:tcPr>
            <w:tcW w:w="2835" w:type="dxa"/>
            <w:shd w:val="clear" w:color="auto" w:fill="D9F2D0" w:themeFill="accent6" w:themeFillTint="33"/>
          </w:tcPr>
          <w:p w:rsidRPr="00CF0921" w:rsidR="00CF0921" w:rsidP="00CF0921" w:rsidRDefault="00CF0921" w14:paraId="738AED22"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Continue current operation – discharge quality and flow rate is well below licence conditions.</w:t>
            </w:r>
          </w:p>
        </w:tc>
      </w:tr>
      <w:tr w:rsidRPr="00CF0921" w:rsidR="00CF0921" w:rsidTr="00003EE3" w14:paraId="5E69EB8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D9F2D0" w:themeFill="accent6" w:themeFillTint="33"/>
          </w:tcPr>
          <w:p w:rsidRPr="00CF0921" w:rsidR="00CF0921" w:rsidP="00CF0921" w:rsidRDefault="00CF0921" w14:paraId="3AAE3937" w14:textId="77777777">
            <w:pPr>
              <w:spacing w:line="259" w:lineRule="auto"/>
              <w:rPr>
                <w:rFonts w:ascii="VIC" w:hAnsi="VIC" w:cs="Times New Roman"/>
                <w:color w:val="1A1A1A"/>
                <w:sz w:val="20"/>
              </w:rPr>
            </w:pPr>
            <w:r w:rsidRPr="00CF0921">
              <w:rPr>
                <w:rFonts w:ascii="VIC" w:hAnsi="VIC" w:cs="Times New Roman"/>
                <w:color w:val="1A1A1A"/>
                <w:sz w:val="20"/>
              </w:rPr>
              <w:t>Tier 1: Normal</w:t>
            </w:r>
          </w:p>
        </w:tc>
        <w:tc>
          <w:tcPr>
            <w:tcW w:w="2268" w:type="dxa"/>
            <w:shd w:val="clear" w:color="auto" w:fill="D9F2D0" w:themeFill="accent6" w:themeFillTint="33"/>
          </w:tcPr>
          <w:p w:rsidRPr="00CF0921" w:rsidR="00CF0921" w:rsidP="00CF0921" w:rsidRDefault="00CF0921" w14:paraId="48D5C733"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Flow rate: &lt;3,000</w:t>
            </w:r>
            <w:r w:rsidRPr="00CF0921">
              <w:rPr>
                <w:rFonts w:ascii="Cambria" w:hAnsi="Cambria" w:cs="Times New Roman"/>
                <w:color w:val="1A1A1A"/>
                <w:sz w:val="20"/>
              </w:rPr>
              <w:t> </w:t>
            </w:r>
            <w:r w:rsidRPr="00CF0921">
              <w:rPr>
                <w:rFonts w:ascii="VIC" w:hAnsi="VIC" w:cs="Times New Roman"/>
                <w:color w:val="1A1A1A"/>
                <w:sz w:val="20"/>
              </w:rPr>
              <w:t>L/day</w:t>
            </w:r>
          </w:p>
        </w:tc>
        <w:tc>
          <w:tcPr>
            <w:tcW w:w="4961" w:type="dxa"/>
            <w:shd w:val="clear" w:color="auto" w:fill="D9F2D0" w:themeFill="accent6" w:themeFillTint="33"/>
          </w:tcPr>
          <w:p w:rsidRPr="00CF0921" w:rsidR="00CF0921" w:rsidP="00CF0921" w:rsidRDefault="00CF0921" w14:paraId="4C47CFA9"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 xml:space="preserve">SEO to record flow meter reading in site </w:t>
            </w:r>
            <w:proofErr w:type="gramStart"/>
            <w:r w:rsidRPr="00CF0921">
              <w:rPr>
                <w:rFonts w:ascii="VIC" w:hAnsi="VIC" w:cs="Times New Roman"/>
                <w:color w:val="1A1A1A"/>
                <w:sz w:val="20"/>
              </w:rPr>
              <w:t>log book</w:t>
            </w:r>
            <w:proofErr w:type="gramEnd"/>
            <w:r w:rsidRPr="00CF0921">
              <w:rPr>
                <w:rFonts w:ascii="VIC" w:hAnsi="VIC" w:cs="Times New Roman"/>
                <w:color w:val="1A1A1A"/>
                <w:sz w:val="20"/>
              </w:rPr>
              <w:t xml:space="preserve"> weekly.</w:t>
            </w:r>
          </w:p>
        </w:tc>
        <w:tc>
          <w:tcPr>
            <w:tcW w:w="3544" w:type="dxa"/>
            <w:shd w:val="clear" w:color="auto" w:fill="D9F2D0" w:themeFill="accent6" w:themeFillTint="33"/>
          </w:tcPr>
          <w:p w:rsidRPr="00CF0921" w:rsidR="00CF0921" w:rsidP="00CF0921" w:rsidRDefault="00CF0921" w14:paraId="79F661F4"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Monthly totals to be emailed to the SQO before last Friday of month.</w:t>
            </w:r>
          </w:p>
        </w:tc>
        <w:tc>
          <w:tcPr>
            <w:tcW w:w="2835" w:type="dxa"/>
            <w:shd w:val="clear" w:color="auto" w:fill="D9F2D0" w:themeFill="accent6" w:themeFillTint="33"/>
          </w:tcPr>
          <w:p w:rsidRPr="00CF0921" w:rsidR="00CF0921" w:rsidP="00CF0921" w:rsidRDefault="00CF0921" w14:paraId="7C18CC7E"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Continue current operation – discharge quality and flow rate is well below licence conditions.</w:t>
            </w:r>
          </w:p>
        </w:tc>
      </w:tr>
      <w:tr w:rsidRPr="00CF0921" w:rsidR="00CF0921" w:rsidTr="00003EE3" w14:paraId="2D2509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E38B"/>
          </w:tcPr>
          <w:p w:rsidRPr="00CF0921" w:rsidR="00CF0921" w:rsidP="00CF0921" w:rsidRDefault="00CF0921" w14:paraId="207E1162" w14:textId="77777777">
            <w:pPr>
              <w:spacing w:before="80" w:after="240"/>
              <w:rPr>
                <w:rFonts w:ascii="VIC" w:hAnsi="VIC" w:cs="Times New Roman"/>
                <w:color w:val="1A1A1A"/>
                <w:sz w:val="20"/>
              </w:rPr>
            </w:pPr>
            <w:r w:rsidRPr="00CF0921">
              <w:rPr>
                <w:rFonts w:ascii="VIC" w:hAnsi="VIC" w:cs="Times New Roman"/>
                <w:color w:val="1A1A1A"/>
                <w:sz w:val="20"/>
              </w:rPr>
              <w:t>Tier 2: Moderate risk (Alert)</w:t>
            </w:r>
          </w:p>
        </w:tc>
        <w:tc>
          <w:tcPr>
            <w:tcW w:w="2268" w:type="dxa"/>
            <w:shd w:val="clear" w:color="auto" w:fill="FFE38B"/>
          </w:tcPr>
          <w:p w:rsidRPr="00CF0921" w:rsidR="00CF0921" w:rsidP="00CF0921" w:rsidRDefault="00CF0921" w14:paraId="1F6DA6EF"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Effluent pH: 5 – 6</w:t>
            </w:r>
          </w:p>
        </w:tc>
        <w:tc>
          <w:tcPr>
            <w:tcW w:w="4961" w:type="dxa"/>
            <w:shd w:val="clear" w:color="auto" w:fill="FFE38B"/>
          </w:tcPr>
          <w:p w:rsidRPr="00CF0921" w:rsidR="00CF0921" w:rsidP="00CF0921" w:rsidRDefault="00CF0921" w14:paraId="4CA9D97E"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SEO to use backup pH sensor to verify reading. Daily monitoring to be implemented for next 14 days and SQO alerted within 24</w:t>
            </w:r>
            <w:r w:rsidRPr="00CF0921">
              <w:rPr>
                <w:rFonts w:ascii="Cambria" w:hAnsi="Cambria" w:cs="Times New Roman"/>
                <w:color w:val="1A1A1A"/>
                <w:sz w:val="20"/>
              </w:rPr>
              <w:t> </w:t>
            </w:r>
            <w:r w:rsidRPr="00CF0921">
              <w:rPr>
                <w:rFonts w:ascii="VIC" w:hAnsi="VIC" w:cs="Times New Roman"/>
                <w:color w:val="1A1A1A"/>
                <w:sz w:val="20"/>
              </w:rPr>
              <w:t>hours.</w:t>
            </w:r>
          </w:p>
          <w:p w:rsidRPr="00CF0921" w:rsidR="00CF0921" w:rsidP="00CF0921" w:rsidRDefault="00CF0921" w14:paraId="2B09993B"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SEO to undertake visual inspection and inventory assessment of the acid storage facility within 24</w:t>
            </w:r>
            <w:r w:rsidRPr="00CF0921">
              <w:rPr>
                <w:rFonts w:ascii="Cambria" w:hAnsi="Cambria" w:cs="Times New Roman"/>
                <w:color w:val="1A1A1A"/>
                <w:sz w:val="20"/>
              </w:rPr>
              <w:t> </w:t>
            </w:r>
            <w:r w:rsidRPr="00CF0921">
              <w:rPr>
                <w:rFonts w:ascii="VIC" w:hAnsi="VIC" w:cs="Times New Roman"/>
                <w:color w:val="1A1A1A"/>
                <w:sz w:val="20"/>
              </w:rPr>
              <w:t>hours.</w:t>
            </w:r>
          </w:p>
          <w:p w:rsidRPr="00CF0921" w:rsidR="00CF0921" w:rsidP="00CF0921" w:rsidRDefault="00CF0921" w14:paraId="2A4839D6"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 xml:space="preserve">Shift manager to inform team each daily pre-start regarding acid storage facility housekeeping and spill kit.  </w:t>
            </w:r>
          </w:p>
        </w:tc>
        <w:tc>
          <w:tcPr>
            <w:tcW w:w="3544" w:type="dxa"/>
            <w:shd w:val="clear" w:color="auto" w:fill="FFE38B"/>
          </w:tcPr>
          <w:p w:rsidRPr="00CF0921" w:rsidR="00CF0921" w:rsidP="00CF0921" w:rsidRDefault="00CF0921" w14:paraId="2FDF9292"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SQO to review pH data daily and assess for trend. Review treatment plant maintenance and inspection record.</w:t>
            </w:r>
          </w:p>
          <w:p w:rsidRPr="00CF0921" w:rsidR="00CF0921" w:rsidP="00CF0921" w:rsidRDefault="00CF0921" w14:paraId="2F06BDFC"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Review training of team and procedures.</w:t>
            </w:r>
          </w:p>
        </w:tc>
        <w:tc>
          <w:tcPr>
            <w:tcW w:w="2835" w:type="dxa"/>
            <w:shd w:val="clear" w:color="auto" w:fill="FFE38B"/>
          </w:tcPr>
          <w:p w:rsidRPr="00CF0921" w:rsidR="00CF0921" w:rsidP="00CF0921" w:rsidRDefault="00CF0921" w14:paraId="30B3494F"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Monitor closely and investigate causes – further decreases in pH or increase in flow rate may result in noncompliance.</w:t>
            </w:r>
          </w:p>
          <w:p w:rsidRPr="00CF0921" w:rsidR="00CF0921" w:rsidP="00CF0921" w:rsidRDefault="00CF0921" w14:paraId="69103097"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Aim to return discharge quality and rate to normal conditions within 7</w:t>
            </w:r>
            <w:r w:rsidRPr="00CF0921">
              <w:rPr>
                <w:rFonts w:ascii="Cambria" w:hAnsi="Cambria" w:cs="Times New Roman"/>
                <w:color w:val="1A1A1A"/>
                <w:sz w:val="20"/>
              </w:rPr>
              <w:t> </w:t>
            </w:r>
            <w:r w:rsidRPr="00CF0921">
              <w:rPr>
                <w:rFonts w:ascii="VIC" w:hAnsi="VIC" w:cs="Times New Roman"/>
                <w:color w:val="1A1A1A"/>
                <w:sz w:val="20"/>
              </w:rPr>
              <w:t>days.</w:t>
            </w:r>
          </w:p>
        </w:tc>
      </w:tr>
      <w:tr w:rsidRPr="00CF0921" w:rsidR="00CF0921" w:rsidTr="00003EE3" w14:paraId="00B6692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E38B"/>
          </w:tcPr>
          <w:p w:rsidRPr="00CF0921" w:rsidR="00CF0921" w:rsidP="00CF0921" w:rsidRDefault="00CF0921" w14:paraId="00E42B72" w14:textId="77777777">
            <w:pPr>
              <w:spacing w:line="259" w:lineRule="auto"/>
              <w:rPr>
                <w:rFonts w:ascii="VIC" w:hAnsi="VIC" w:cs="Times New Roman"/>
                <w:color w:val="1A1A1A"/>
                <w:sz w:val="20"/>
              </w:rPr>
            </w:pPr>
            <w:r w:rsidRPr="00CF0921">
              <w:rPr>
                <w:rFonts w:ascii="VIC" w:hAnsi="VIC" w:cs="Times New Roman"/>
                <w:color w:val="1A1A1A"/>
                <w:sz w:val="20"/>
              </w:rPr>
              <w:t>Tier 2: Moderate risk (Alert)</w:t>
            </w:r>
          </w:p>
        </w:tc>
        <w:tc>
          <w:tcPr>
            <w:tcW w:w="2268" w:type="dxa"/>
            <w:shd w:val="clear" w:color="auto" w:fill="FFE38B"/>
          </w:tcPr>
          <w:p w:rsidRPr="00CF0921" w:rsidR="00CF0921" w:rsidP="00CF0921" w:rsidRDefault="00CF0921" w14:paraId="4C6369EA"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Flow rate: 3,000 – 6,000</w:t>
            </w:r>
            <w:r w:rsidRPr="00CF0921">
              <w:rPr>
                <w:rFonts w:ascii="Cambria" w:hAnsi="Cambria" w:cs="Times New Roman"/>
                <w:color w:val="1A1A1A"/>
                <w:sz w:val="20"/>
              </w:rPr>
              <w:t> </w:t>
            </w:r>
            <w:r w:rsidRPr="00CF0921">
              <w:rPr>
                <w:rFonts w:ascii="VIC" w:hAnsi="VIC" w:cs="Times New Roman"/>
                <w:color w:val="1A1A1A"/>
                <w:sz w:val="20"/>
              </w:rPr>
              <w:t>L/day</w:t>
            </w:r>
          </w:p>
        </w:tc>
        <w:tc>
          <w:tcPr>
            <w:tcW w:w="4961" w:type="dxa"/>
            <w:shd w:val="clear" w:color="auto" w:fill="FFE38B"/>
          </w:tcPr>
          <w:p w:rsidRPr="00CF0921" w:rsidR="00CF0921" w:rsidP="00CF0921" w:rsidRDefault="00CF0921" w14:paraId="1CE30403"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 xml:space="preserve">SEO to check with shift manager on washdown water usage to identify anomalies and implement corrective action.  </w:t>
            </w:r>
          </w:p>
          <w:p w:rsidRPr="00CF0921" w:rsidR="00CF0921" w:rsidP="00CF0921" w:rsidRDefault="00CF0921" w14:paraId="4C1DA967"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SEO to divert excess flow to backup storage.</w:t>
            </w:r>
          </w:p>
        </w:tc>
        <w:tc>
          <w:tcPr>
            <w:tcW w:w="3544" w:type="dxa"/>
            <w:shd w:val="clear" w:color="auto" w:fill="FFE38B"/>
          </w:tcPr>
          <w:p w:rsidRPr="00CF0921" w:rsidR="00CF0921" w:rsidP="00CF0921" w:rsidRDefault="00CF0921" w14:paraId="28F8A4BE"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 xml:space="preserve">Review training of team and procedures.  </w:t>
            </w:r>
          </w:p>
        </w:tc>
        <w:tc>
          <w:tcPr>
            <w:tcW w:w="2835" w:type="dxa"/>
            <w:shd w:val="clear" w:color="auto" w:fill="FFE38B"/>
          </w:tcPr>
          <w:p w:rsidRPr="00CF0921" w:rsidR="00CF0921" w:rsidP="00CF0921" w:rsidRDefault="00CF0921" w14:paraId="65D4DC12"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Monitor closely and investigate causes – further decreases in pH or increase in flow rate may result in noncompliance.</w:t>
            </w:r>
          </w:p>
          <w:p w:rsidRPr="00CF0921" w:rsidR="00CF0921" w:rsidP="00CF0921" w:rsidRDefault="00CF0921" w14:paraId="320B9095"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Aim to return discharge quality and rate to normal conditions within 7</w:t>
            </w:r>
            <w:r w:rsidRPr="00CF0921">
              <w:rPr>
                <w:rFonts w:ascii="Cambria" w:hAnsi="Cambria" w:cs="Times New Roman"/>
                <w:color w:val="1A1A1A"/>
                <w:sz w:val="20"/>
              </w:rPr>
              <w:t> </w:t>
            </w:r>
            <w:r w:rsidRPr="00CF0921">
              <w:rPr>
                <w:rFonts w:ascii="VIC" w:hAnsi="VIC" w:cs="Times New Roman"/>
                <w:color w:val="1A1A1A"/>
                <w:sz w:val="20"/>
              </w:rPr>
              <w:t>days.</w:t>
            </w:r>
          </w:p>
        </w:tc>
      </w:tr>
      <w:tr w:rsidRPr="00CF0921" w:rsidR="00CF0921" w:rsidTr="00003EE3" w14:paraId="7DA09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9F9F"/>
          </w:tcPr>
          <w:p w:rsidRPr="00CF0921" w:rsidR="00CF0921" w:rsidP="00CF0921" w:rsidRDefault="00CF0921" w14:paraId="70EC48B7" w14:textId="77777777">
            <w:pPr>
              <w:spacing w:line="259" w:lineRule="auto"/>
              <w:rPr>
                <w:rFonts w:ascii="VIC" w:hAnsi="VIC" w:cs="Times New Roman"/>
                <w:color w:val="1A1A1A"/>
                <w:sz w:val="20"/>
              </w:rPr>
            </w:pPr>
            <w:r w:rsidRPr="00CF0921">
              <w:rPr>
                <w:rFonts w:ascii="VIC" w:hAnsi="VIC" w:cs="Times New Roman"/>
                <w:color w:val="1A1A1A"/>
                <w:sz w:val="20"/>
              </w:rPr>
              <w:t>Tier 3: High risk</w:t>
            </w:r>
          </w:p>
        </w:tc>
        <w:tc>
          <w:tcPr>
            <w:tcW w:w="2268" w:type="dxa"/>
            <w:shd w:val="clear" w:color="auto" w:fill="FF9F9F"/>
          </w:tcPr>
          <w:p w:rsidRPr="00CF0921" w:rsidR="00CF0921" w:rsidP="00CF0921" w:rsidRDefault="00CF0921" w14:paraId="33AE8EFE"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Effluent pH: &lt;5</w:t>
            </w:r>
          </w:p>
        </w:tc>
        <w:tc>
          <w:tcPr>
            <w:tcW w:w="4961" w:type="dxa"/>
            <w:shd w:val="clear" w:color="auto" w:fill="FF9F9F"/>
          </w:tcPr>
          <w:p w:rsidRPr="00CF0921" w:rsidR="00CF0921" w:rsidP="00CF0921" w:rsidRDefault="00CF0921" w14:paraId="4AB064B0"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SEO to implement dosing procedure immediately and monitor daily until return to normal conditions.</w:t>
            </w:r>
          </w:p>
        </w:tc>
        <w:tc>
          <w:tcPr>
            <w:tcW w:w="3544" w:type="dxa"/>
            <w:shd w:val="clear" w:color="auto" w:fill="FF9F9F"/>
          </w:tcPr>
          <w:p w:rsidRPr="00CF0921" w:rsidR="00CF0921" w:rsidP="00CF0921" w:rsidRDefault="00CF0921" w14:paraId="6C13998A" w14:textId="77777777">
            <w:pPr>
              <w:spacing w:line="259" w:lineRule="auto"/>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 xml:space="preserve">Investigation of the source of the acid.  </w:t>
            </w:r>
          </w:p>
          <w:p w:rsidRPr="00CF0921" w:rsidR="00CF0921" w:rsidP="00CF0921" w:rsidRDefault="00CF0921" w14:paraId="46F628A9" w14:textId="77777777">
            <w:pPr>
              <w:spacing w:before="80"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Ecological inspection of downstream monitoring points within 2 weeks.</w:t>
            </w:r>
          </w:p>
        </w:tc>
        <w:tc>
          <w:tcPr>
            <w:tcW w:w="2835" w:type="dxa"/>
            <w:shd w:val="clear" w:color="auto" w:fill="FF9F9F"/>
          </w:tcPr>
          <w:p w:rsidRPr="00CF0921" w:rsidR="00CF0921" w:rsidP="00CF0921" w:rsidRDefault="00CF0921" w14:paraId="6C82BA07" w14:textId="77777777">
            <w:pPr>
              <w:spacing w:before="80" w:after="12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Immediate response required to prevent environmental impact.  Breach of licence. Check EPA notification requirements.</w:t>
            </w:r>
          </w:p>
          <w:p w:rsidRPr="00CF0921" w:rsidR="00CF0921" w:rsidP="00CF0921" w:rsidRDefault="00CF0921" w14:paraId="6E278830" w14:textId="77777777">
            <w:pPr>
              <w:spacing w:after="240"/>
              <w:cnfStyle w:val="000000100000" w:firstRow="0" w:lastRow="0" w:firstColumn="0" w:lastColumn="0" w:oddVBand="0" w:evenVBand="0" w:oddHBand="1" w:evenHBand="0"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Aim to return discharge quality and rate to Alert levels within 12</w:t>
            </w:r>
            <w:r w:rsidRPr="00A7299F">
              <w:rPr>
                <w:rFonts w:ascii="Cambria" w:hAnsi="Cambria" w:cs="Cambria"/>
                <w:color w:val="1A1A1A"/>
                <w:sz w:val="20"/>
              </w:rPr>
              <w:t> </w:t>
            </w:r>
            <w:r w:rsidRPr="00CF0921">
              <w:rPr>
                <w:rFonts w:ascii="VIC" w:hAnsi="VIC" w:cs="Times New Roman"/>
                <w:color w:val="1A1A1A"/>
                <w:sz w:val="20"/>
              </w:rPr>
              <w:t>hours.</w:t>
            </w:r>
          </w:p>
        </w:tc>
      </w:tr>
      <w:tr w:rsidRPr="00CF0921" w:rsidR="00CF0921" w:rsidTr="00003EE3" w14:paraId="339C0D8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9F9F"/>
          </w:tcPr>
          <w:p w:rsidRPr="00CF0921" w:rsidR="00CF0921" w:rsidP="00524307" w:rsidRDefault="00CF0921" w14:paraId="15DF7291" w14:textId="77777777">
            <w:pPr>
              <w:spacing w:before="80" w:after="240"/>
              <w:rPr>
                <w:rFonts w:ascii="VIC" w:hAnsi="VIC" w:cs="Times New Roman"/>
                <w:color w:val="1A1A1A"/>
                <w:sz w:val="20"/>
              </w:rPr>
            </w:pPr>
            <w:r w:rsidRPr="00CF0921">
              <w:rPr>
                <w:rFonts w:ascii="VIC" w:hAnsi="VIC" w:cs="Times New Roman"/>
                <w:color w:val="1A1A1A"/>
                <w:sz w:val="20"/>
              </w:rPr>
              <w:t>Tier 3: High risk</w:t>
            </w:r>
          </w:p>
        </w:tc>
        <w:tc>
          <w:tcPr>
            <w:tcW w:w="2268" w:type="dxa"/>
            <w:shd w:val="clear" w:color="auto" w:fill="FF9F9F"/>
          </w:tcPr>
          <w:p w:rsidRPr="00CF0921" w:rsidR="00CF0921" w:rsidP="00524307" w:rsidRDefault="00CF0921" w14:paraId="383AF407"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Flow rate: &gt;6000</w:t>
            </w:r>
            <w:r w:rsidRPr="00524307">
              <w:rPr>
                <w:rFonts w:ascii="Cambria" w:hAnsi="Cambria" w:cs="Cambria"/>
                <w:color w:val="1A1A1A"/>
                <w:sz w:val="20"/>
              </w:rPr>
              <w:t> </w:t>
            </w:r>
            <w:r w:rsidRPr="00CF0921">
              <w:rPr>
                <w:rFonts w:ascii="VIC" w:hAnsi="VIC" w:cs="Times New Roman"/>
                <w:color w:val="1A1A1A"/>
                <w:sz w:val="20"/>
              </w:rPr>
              <w:t>L/day</w:t>
            </w:r>
          </w:p>
        </w:tc>
        <w:tc>
          <w:tcPr>
            <w:tcW w:w="4961" w:type="dxa"/>
            <w:shd w:val="clear" w:color="auto" w:fill="FF9F9F"/>
          </w:tcPr>
          <w:p w:rsidRPr="00CF0921" w:rsidR="00CF0921" w:rsidP="00524307" w:rsidRDefault="00CF0921" w14:paraId="48B071BB"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SEO to shut down discharge (Tag Lockout by shift manager).</w:t>
            </w:r>
          </w:p>
          <w:p w:rsidRPr="00CF0921" w:rsidR="00CF0921" w:rsidP="00524307" w:rsidRDefault="00CF0921" w14:paraId="3407EDD3"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SQO to notify EPA.</w:t>
            </w:r>
          </w:p>
        </w:tc>
        <w:tc>
          <w:tcPr>
            <w:tcW w:w="3544" w:type="dxa"/>
            <w:shd w:val="clear" w:color="auto" w:fill="FF9F9F"/>
          </w:tcPr>
          <w:p w:rsidRPr="00CF0921" w:rsidR="00CF0921" w:rsidP="00CF0921" w:rsidRDefault="00CF0921" w14:paraId="2F3B77CB" w14:textId="77777777">
            <w:pPr>
              <w:spacing w:before="80" w:after="24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If frequency exceeds 2 events per annum, commission options study of site water balance.</w:t>
            </w:r>
          </w:p>
        </w:tc>
        <w:tc>
          <w:tcPr>
            <w:tcW w:w="2835" w:type="dxa"/>
            <w:shd w:val="clear" w:color="auto" w:fill="FF9F9F"/>
          </w:tcPr>
          <w:p w:rsidRPr="00CF0921" w:rsidR="00CF0921" w:rsidP="00CF0921" w:rsidRDefault="00CF0921" w14:paraId="176F6CCF" w14:textId="77777777">
            <w:pPr>
              <w:spacing w:before="80" w:after="120"/>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Immediate response required to prevent environmental impact.  Breach of licence. Check EPA notification requirements.</w:t>
            </w:r>
          </w:p>
          <w:p w:rsidRPr="00CF0921" w:rsidR="00CF0921" w:rsidP="00CF0921" w:rsidRDefault="00CF0921" w14:paraId="28ADEE4F" w14:textId="77777777">
            <w:pPr>
              <w:spacing w:line="259" w:lineRule="auto"/>
              <w:cnfStyle w:val="000000010000" w:firstRow="0" w:lastRow="0" w:firstColumn="0" w:lastColumn="0" w:oddVBand="0" w:evenVBand="0" w:oddHBand="0" w:evenHBand="1" w:firstRowFirstColumn="0" w:firstRowLastColumn="0" w:lastRowFirstColumn="0" w:lastRowLastColumn="0"/>
              <w:rPr>
                <w:rFonts w:ascii="VIC" w:hAnsi="VIC" w:cs="Times New Roman"/>
                <w:color w:val="1A1A1A"/>
                <w:sz w:val="20"/>
              </w:rPr>
            </w:pPr>
            <w:r w:rsidRPr="00CF0921">
              <w:rPr>
                <w:rFonts w:ascii="VIC" w:hAnsi="VIC" w:cs="Times New Roman"/>
                <w:color w:val="1A1A1A"/>
                <w:sz w:val="20"/>
              </w:rPr>
              <w:t>Aim to return discharge quality and rate to Alert levels within 12</w:t>
            </w:r>
            <w:r w:rsidRPr="00CF0921">
              <w:rPr>
                <w:rFonts w:ascii="Cambria" w:hAnsi="Cambria" w:cs="Times New Roman"/>
                <w:color w:val="1A1A1A"/>
                <w:sz w:val="20"/>
              </w:rPr>
              <w:t> </w:t>
            </w:r>
            <w:r w:rsidRPr="00CF0921">
              <w:rPr>
                <w:rFonts w:ascii="VIC" w:hAnsi="VIC" w:cs="Times New Roman"/>
                <w:color w:val="1A1A1A"/>
                <w:sz w:val="20"/>
              </w:rPr>
              <w:t>hours.</w:t>
            </w:r>
          </w:p>
        </w:tc>
      </w:tr>
    </w:tbl>
    <w:p w:rsidRPr="00CF0921" w:rsidR="00CF0921" w:rsidP="00CF0921" w:rsidRDefault="00CF0921" w14:paraId="04BF3901" w14:textId="77777777">
      <w:pPr>
        <w:spacing w:line="259" w:lineRule="auto"/>
        <w:rPr>
          <w:rFonts w:ascii="VIC" w:hAnsi="VIC" w:eastAsia="VIC" w:cs="Times New Roman"/>
          <w:i/>
          <w:iCs/>
          <w:color w:val="0A3C73"/>
          <w:kern w:val="0"/>
          <w:sz w:val="18"/>
          <w:szCs w:val="18"/>
          <w:lang w:eastAsia="en-US" w:bidi="ar-SA"/>
          <w14:ligatures w14:val="none"/>
        </w:rPr>
      </w:pPr>
    </w:p>
    <w:p w:rsidRPr="00CF0921" w:rsidR="00CF0921" w:rsidP="000D57F8" w:rsidRDefault="00CF0921" w14:paraId="36FA89BF" w14:textId="023FFBC8">
      <w:pPr>
        <w:pStyle w:val="Heading2"/>
      </w:pPr>
      <w:r w:rsidRPr="00CF0921">
        <w:t>Example TAR #2 – Complex industrial facility</w:t>
      </w:r>
    </w:p>
    <w:tbl>
      <w:tblPr>
        <w:tblStyle w:val="TableGrid1"/>
        <w:tblW w:w="5000" w:type="pct"/>
        <w:tblLayout w:type="fixed"/>
        <w:tblLook w:val="04A0" w:firstRow="1" w:lastRow="0" w:firstColumn="1" w:lastColumn="0" w:noHBand="0" w:noVBand="1"/>
      </w:tblPr>
      <w:tblGrid>
        <w:gridCol w:w="15126"/>
      </w:tblGrid>
      <w:tr w:rsidRPr="00CF0921" w:rsidR="00CF0921" w:rsidTr="00CF0921" w14:paraId="7689A0E3" w14:textId="77777777">
        <w:tc>
          <w:tcPr>
            <w:tcW w:w="15126" w:type="dxa"/>
            <w:shd w:val="clear" w:color="auto" w:fill="0A3C73"/>
          </w:tcPr>
          <w:p w:rsidRPr="00CF0921" w:rsidR="00CF0921" w:rsidP="00CF0921" w:rsidRDefault="00CF0921" w14:paraId="44832892" w14:textId="77777777">
            <w:pPr>
              <w:spacing w:line="259" w:lineRule="auto"/>
              <w:rPr>
                <w:rFonts w:ascii="VIC" w:hAnsi="VIC" w:cs="Times New Roman"/>
                <w:color w:val="FFFFFF"/>
                <w:sz w:val="20"/>
              </w:rPr>
            </w:pPr>
            <w:r w:rsidRPr="00CF0921">
              <w:rPr>
                <w:rFonts w:ascii="VIC" w:hAnsi="VIC" w:cs="Times New Roman"/>
                <w:color w:val="FFFFFF"/>
                <w:sz w:val="20"/>
              </w:rPr>
              <w:t xml:space="preserve">ZYY Pty Ltd operates a large industrial premises. The risk assessment undertaken for the site has identified </w:t>
            </w:r>
            <w:proofErr w:type="gramStart"/>
            <w:r w:rsidRPr="00CF0921">
              <w:rPr>
                <w:rFonts w:ascii="VIC" w:hAnsi="VIC" w:cs="Times New Roman"/>
                <w:color w:val="FFFFFF"/>
                <w:sz w:val="20"/>
              </w:rPr>
              <w:t>a number of</w:t>
            </w:r>
            <w:proofErr w:type="gramEnd"/>
            <w:r w:rsidRPr="00CF0921">
              <w:rPr>
                <w:rFonts w:ascii="VIC" w:hAnsi="VIC" w:cs="Times New Roman"/>
                <w:color w:val="FFFFFF"/>
                <w:sz w:val="20"/>
              </w:rPr>
              <w:t xml:space="preserve"> key activities that pose potential health and environmental risks:</w:t>
            </w:r>
          </w:p>
          <w:p w:rsidRPr="00CF0921" w:rsidR="00CF0921" w:rsidP="00CF0921" w:rsidRDefault="00CF0921" w14:paraId="76B84E1D" w14:textId="77777777">
            <w:pPr>
              <w:numPr>
                <w:ilvl w:val="0"/>
                <w:numId w:val="1"/>
              </w:numPr>
              <w:spacing w:before="80" w:after="240" w:line="259" w:lineRule="auto"/>
              <w:contextualSpacing/>
              <w:rPr>
                <w:rFonts w:ascii="VIC" w:hAnsi="VIC" w:cs="Times New Roman"/>
                <w:color w:val="FFFFFF"/>
                <w:sz w:val="20"/>
              </w:rPr>
            </w:pPr>
            <w:r w:rsidRPr="00CF0921">
              <w:rPr>
                <w:rFonts w:ascii="VIC" w:hAnsi="VIC" w:cs="Times New Roman"/>
                <w:color w:val="FFFFFF"/>
                <w:sz w:val="20"/>
              </w:rPr>
              <w:t>Industrial incineration: The site’s discharge concentration limit of NO</w:t>
            </w:r>
            <w:r w:rsidRPr="00CF0921">
              <w:rPr>
                <w:rFonts w:ascii="VIC" w:hAnsi="VIC" w:cs="Times New Roman"/>
                <w:color w:val="FFFFFF"/>
                <w:sz w:val="20"/>
                <w:vertAlign w:val="subscript"/>
              </w:rPr>
              <w:t>x</w:t>
            </w:r>
            <w:r w:rsidRPr="00CF0921">
              <w:rPr>
                <w:rFonts w:ascii="VIC" w:hAnsi="VIC" w:cs="Times New Roman"/>
                <w:color w:val="FFFFFF"/>
                <w:sz w:val="20"/>
              </w:rPr>
              <w:t xml:space="preserve"> (as NO</w:t>
            </w:r>
            <w:r w:rsidRPr="00CF0921">
              <w:rPr>
                <w:rFonts w:ascii="VIC" w:hAnsi="VIC" w:cs="Times New Roman"/>
                <w:color w:val="FFFFFF"/>
                <w:sz w:val="20"/>
                <w:vertAlign w:val="subscript"/>
              </w:rPr>
              <w:t>2</w:t>
            </w:r>
            <w:r w:rsidRPr="00CF0921">
              <w:rPr>
                <w:rFonts w:ascii="VIC" w:hAnsi="VIC" w:cs="Times New Roman"/>
                <w:color w:val="FFFFFF"/>
                <w:sz w:val="20"/>
              </w:rPr>
              <w:t>) in air emissions is 200</w:t>
            </w:r>
            <w:r w:rsidRPr="00CF0921">
              <w:rPr>
                <w:rFonts w:ascii="Cambria" w:hAnsi="Cambria" w:cs="Times New Roman"/>
                <w:color w:val="FFFFFF"/>
                <w:sz w:val="20"/>
              </w:rPr>
              <w:t> </w:t>
            </w:r>
            <w:r w:rsidRPr="00CF0921">
              <w:rPr>
                <w:rFonts w:ascii="VIC" w:hAnsi="VIC" w:cs="Times New Roman"/>
                <w:color w:val="FFFFFF"/>
                <w:sz w:val="20"/>
              </w:rPr>
              <w:t>mg/m</w:t>
            </w:r>
            <w:r w:rsidRPr="00CF0921">
              <w:rPr>
                <w:rFonts w:ascii="VIC" w:hAnsi="VIC" w:cs="Times New Roman"/>
                <w:color w:val="FFFFFF"/>
                <w:sz w:val="20"/>
                <w:vertAlign w:val="superscript"/>
              </w:rPr>
              <w:t>3</w:t>
            </w:r>
            <w:r w:rsidRPr="00CF0921">
              <w:rPr>
                <w:rFonts w:ascii="VIC" w:hAnsi="VIC" w:cs="Times New Roman"/>
                <w:color w:val="FFFFFF"/>
                <w:sz w:val="20"/>
              </w:rPr>
              <w:t>. As part of obtaining approval for the air emissions, the business agreed to implement an additional technology, Selective Catalytic Reduction, into the process stream to minimise NO</w:t>
            </w:r>
            <w:r w:rsidRPr="00CF0921">
              <w:rPr>
                <w:rFonts w:ascii="VIC" w:hAnsi="VIC" w:cs="Times New Roman"/>
                <w:color w:val="FFFFFF"/>
                <w:sz w:val="20"/>
                <w:vertAlign w:val="subscript"/>
              </w:rPr>
              <w:t>2</w:t>
            </w:r>
            <w:r w:rsidRPr="00CF0921">
              <w:rPr>
                <w:rFonts w:ascii="VIC" w:hAnsi="VIC" w:cs="Times New Roman"/>
                <w:color w:val="FFFFFF"/>
                <w:sz w:val="20"/>
              </w:rPr>
              <w:t xml:space="preserve"> emissions.  </w:t>
            </w:r>
          </w:p>
          <w:p w:rsidRPr="00CF0921" w:rsidR="00CF0921" w:rsidP="00CF0921" w:rsidRDefault="00CF0921" w14:paraId="1799B004" w14:textId="77777777">
            <w:pPr>
              <w:spacing w:line="259" w:lineRule="auto"/>
              <w:ind w:left="720" w:hanging="360"/>
              <w:contextualSpacing/>
              <w:rPr>
                <w:rFonts w:ascii="VIC" w:hAnsi="VIC" w:cs="Times New Roman"/>
                <w:color w:val="FFFFFF"/>
                <w:sz w:val="20"/>
              </w:rPr>
            </w:pPr>
            <w:r w:rsidRPr="00CF0921">
              <w:rPr>
                <w:rFonts w:ascii="VIC" w:hAnsi="VIC" w:cs="Times New Roman"/>
                <w:color w:val="FFFFFF"/>
                <w:sz w:val="20"/>
              </w:rPr>
              <w:t>Waste handling: The site has a large hardstand and concrete apron where waste materials are received and processed prior to undergoing the incineration process. This hardstand is lined with 0.6</w:t>
            </w:r>
            <w:r w:rsidRPr="00CF0921">
              <w:rPr>
                <w:rFonts w:ascii="Cambria" w:hAnsi="Cambria" w:cs="Times New Roman"/>
                <w:color w:val="FFFFFF"/>
                <w:sz w:val="20"/>
              </w:rPr>
              <w:t> </w:t>
            </w:r>
            <w:r w:rsidRPr="00CF0921">
              <w:rPr>
                <w:rFonts w:ascii="VIC" w:hAnsi="VIC" w:cs="Times New Roman"/>
                <w:color w:val="FFFFFF"/>
                <w:sz w:val="20"/>
              </w:rPr>
              <w:t>m of compacted clay. A groundwater monitoring bore was installed downgradient of this area to assess the performance of the lining as a control.</w:t>
            </w:r>
          </w:p>
          <w:p w:rsidRPr="00CF0921" w:rsidR="00CF0921" w:rsidP="00CF0921" w:rsidRDefault="00CF0921" w14:paraId="7E023821" w14:textId="77777777">
            <w:pPr>
              <w:numPr>
                <w:ilvl w:val="0"/>
                <w:numId w:val="1"/>
              </w:numPr>
              <w:spacing w:before="80" w:after="240" w:line="259" w:lineRule="auto"/>
              <w:contextualSpacing/>
              <w:rPr>
                <w:rFonts w:ascii="VIC" w:hAnsi="VIC" w:cs="Times New Roman"/>
                <w:color w:val="FFFFFF"/>
                <w:sz w:val="20"/>
              </w:rPr>
            </w:pPr>
            <w:r w:rsidRPr="00CF0921">
              <w:rPr>
                <w:rFonts w:ascii="VIC" w:hAnsi="VIC" w:cs="Times New Roman"/>
                <w:color w:val="FFFFFF"/>
                <w:sz w:val="20"/>
              </w:rPr>
              <w:t xml:space="preserve">Vehicle refuelling: This part of the site has </w:t>
            </w:r>
            <w:proofErr w:type="gramStart"/>
            <w:r w:rsidRPr="00CF0921">
              <w:rPr>
                <w:rFonts w:ascii="VIC" w:hAnsi="VIC" w:cs="Times New Roman"/>
                <w:color w:val="FFFFFF"/>
                <w:sz w:val="20"/>
              </w:rPr>
              <w:t>a number of</w:t>
            </w:r>
            <w:proofErr w:type="gramEnd"/>
            <w:r w:rsidRPr="00CF0921">
              <w:rPr>
                <w:rFonts w:ascii="VIC" w:hAnsi="VIC" w:cs="Times New Roman"/>
                <w:color w:val="FFFFFF"/>
                <w:sz w:val="20"/>
              </w:rPr>
              <w:t xml:space="preserve"> above-ground storage tanks in bunded areas. Site operators are provided with spill kits and training about the use of this refuelling facility.  </w:t>
            </w:r>
          </w:p>
          <w:p w:rsidRPr="00CF0921" w:rsidR="00CF0921" w:rsidP="00CF0921" w:rsidRDefault="00CF0921" w14:paraId="36305069" w14:textId="77777777">
            <w:pPr>
              <w:numPr>
                <w:ilvl w:val="0"/>
                <w:numId w:val="1"/>
              </w:numPr>
              <w:spacing w:before="80" w:after="240" w:line="259" w:lineRule="auto"/>
              <w:contextualSpacing/>
              <w:rPr>
                <w:rFonts w:ascii="VIC" w:hAnsi="VIC" w:cs="Times New Roman"/>
                <w:color w:val="FFFFFF"/>
                <w:sz w:val="20"/>
              </w:rPr>
            </w:pPr>
            <w:r w:rsidRPr="00CF0921">
              <w:rPr>
                <w:rFonts w:ascii="VIC" w:hAnsi="VIC" w:cs="Times New Roman"/>
                <w:color w:val="FFFFFF"/>
                <w:sz w:val="20"/>
              </w:rPr>
              <w:t xml:space="preserve">Contact water management: Acidic leachate and runoff from the waste receival, bottom ash and fly ash storage areas </w:t>
            </w:r>
            <w:proofErr w:type="gramStart"/>
            <w:r w:rsidRPr="00CF0921">
              <w:rPr>
                <w:rFonts w:ascii="VIC" w:hAnsi="VIC" w:cs="Times New Roman"/>
                <w:color w:val="FFFFFF"/>
                <w:sz w:val="20"/>
              </w:rPr>
              <w:t>has</w:t>
            </w:r>
            <w:proofErr w:type="gramEnd"/>
            <w:r w:rsidRPr="00CF0921">
              <w:rPr>
                <w:rFonts w:ascii="VIC" w:hAnsi="VIC" w:cs="Times New Roman"/>
                <w:color w:val="FFFFFF"/>
                <w:sz w:val="20"/>
              </w:rPr>
              <w:t xml:space="preserve"> the potential to impact a nearby waterway. The contact water drainage system discharges into a retention basin, with release to waterway controlled via a gated valve structure.</w:t>
            </w:r>
          </w:p>
        </w:tc>
      </w:tr>
    </w:tbl>
    <w:p w:rsidRPr="00CF0921" w:rsidR="00CF0921" w:rsidP="00CF0921" w:rsidRDefault="00CF0921" w14:paraId="18EE0F04" w14:textId="77777777">
      <w:pPr>
        <w:spacing w:line="259" w:lineRule="auto"/>
        <w:rPr>
          <w:rFonts w:ascii="VIC" w:hAnsi="VIC" w:eastAsia="VIC" w:cs="Times New Roman"/>
          <w:color w:val="1A1A1A"/>
          <w:kern w:val="0"/>
          <w:sz w:val="20"/>
          <w:szCs w:val="22"/>
          <w:lang w:eastAsia="en-US" w:bidi="ar-SA"/>
          <w14:ligatures w14:val="none"/>
        </w:rPr>
      </w:pPr>
    </w:p>
    <w:tbl>
      <w:tblPr>
        <w:tblStyle w:val="EPA"/>
        <w:tblW w:w="15126" w:type="dxa"/>
        <w:tblLayout w:type="fixed"/>
        <w:tblLook w:val="0420" w:firstRow="1" w:lastRow="0" w:firstColumn="0" w:lastColumn="0" w:noHBand="0" w:noVBand="1"/>
      </w:tblPr>
      <w:tblGrid>
        <w:gridCol w:w="2119"/>
        <w:gridCol w:w="1562"/>
        <w:gridCol w:w="2410"/>
        <w:gridCol w:w="4732"/>
        <w:gridCol w:w="4303"/>
      </w:tblGrid>
      <w:tr w:rsidRPr="000D57F8" w:rsidR="000D57F8" w:rsidTr="000D57F8" w14:paraId="7CF5306A" w14:textId="77777777">
        <w:trPr>
          <w:cnfStyle w:val="100000000000" w:firstRow="1" w:lastRow="0" w:firstColumn="0" w:lastColumn="0" w:oddVBand="0" w:evenVBand="0" w:oddHBand="0" w:evenHBand="0" w:firstRowFirstColumn="0" w:firstRowLastColumn="0" w:lastRowFirstColumn="0" w:lastRowLastColumn="0"/>
        </w:trPr>
        <w:tc>
          <w:tcPr>
            <w:tcW w:w="2119" w:type="dxa"/>
          </w:tcPr>
          <w:p w:rsidRPr="000D57F8" w:rsidR="00CF0921" w:rsidP="00CF0921" w:rsidRDefault="00CF0921" w14:paraId="7FC2CB50" w14:textId="77777777">
            <w:pPr>
              <w:rPr>
                <w:rFonts w:ascii="VIC SemiBold" w:hAnsi="VIC SemiBold" w:cs="Times New Roman"/>
                <w:color w:val="auto"/>
                <w:sz w:val="20"/>
              </w:rPr>
            </w:pPr>
            <w:r w:rsidRPr="000D57F8">
              <w:rPr>
                <w:rFonts w:ascii="VIC SemiBold" w:hAnsi="VIC SemiBold" w:cs="Times New Roman"/>
                <w:color w:val="auto"/>
                <w:sz w:val="20"/>
              </w:rPr>
              <w:t>Operational risk area</w:t>
            </w:r>
          </w:p>
        </w:tc>
        <w:tc>
          <w:tcPr>
            <w:tcW w:w="1562" w:type="dxa"/>
          </w:tcPr>
          <w:p w:rsidRPr="000D57F8" w:rsidR="00CF0921" w:rsidP="00CF0921" w:rsidRDefault="00CF0921" w14:paraId="6EFECB79" w14:textId="77777777">
            <w:pPr>
              <w:rPr>
                <w:rFonts w:ascii="VIC SemiBold" w:hAnsi="VIC SemiBold" w:cs="Times New Roman"/>
                <w:color w:val="auto"/>
                <w:sz w:val="20"/>
              </w:rPr>
            </w:pPr>
            <w:r w:rsidRPr="000D57F8">
              <w:rPr>
                <w:rFonts w:ascii="VIC SemiBold" w:hAnsi="VIC SemiBold" w:cs="Times New Roman"/>
                <w:color w:val="auto"/>
                <w:sz w:val="20"/>
              </w:rPr>
              <w:t>Segment</w:t>
            </w:r>
          </w:p>
        </w:tc>
        <w:tc>
          <w:tcPr>
            <w:tcW w:w="2410" w:type="dxa"/>
          </w:tcPr>
          <w:p w:rsidRPr="000D57F8" w:rsidR="00CF0921" w:rsidP="00CF0921" w:rsidRDefault="00CF0921" w14:paraId="3FD0D446" w14:textId="77777777">
            <w:pPr>
              <w:rPr>
                <w:rFonts w:ascii="VIC SemiBold" w:hAnsi="VIC SemiBold" w:cs="Times New Roman"/>
                <w:color w:val="auto"/>
                <w:sz w:val="20"/>
              </w:rPr>
            </w:pPr>
            <w:r w:rsidRPr="000D57F8">
              <w:rPr>
                <w:rFonts w:ascii="VIC SemiBold" w:hAnsi="VIC SemiBold" w:cs="Times New Roman"/>
                <w:color w:val="auto"/>
                <w:sz w:val="20"/>
              </w:rPr>
              <w:t xml:space="preserve">Trigger </w:t>
            </w:r>
          </w:p>
        </w:tc>
        <w:tc>
          <w:tcPr>
            <w:tcW w:w="4732" w:type="dxa"/>
          </w:tcPr>
          <w:p w:rsidRPr="000D57F8" w:rsidR="00CF0921" w:rsidP="00CF0921" w:rsidRDefault="00CF0921" w14:paraId="496C49E3" w14:textId="77777777">
            <w:pPr>
              <w:rPr>
                <w:rFonts w:ascii="VIC SemiBold" w:hAnsi="VIC SemiBold" w:cs="Times New Roman"/>
                <w:color w:val="auto"/>
                <w:sz w:val="20"/>
              </w:rPr>
            </w:pPr>
            <w:r w:rsidRPr="000D57F8">
              <w:rPr>
                <w:rFonts w:ascii="VIC SemiBold" w:hAnsi="VIC SemiBold" w:cs="Times New Roman"/>
                <w:color w:val="auto"/>
                <w:sz w:val="20"/>
              </w:rPr>
              <w:t xml:space="preserve">Action </w:t>
            </w:r>
          </w:p>
        </w:tc>
        <w:tc>
          <w:tcPr>
            <w:tcW w:w="4303" w:type="dxa"/>
          </w:tcPr>
          <w:p w:rsidRPr="000D57F8" w:rsidR="00CF0921" w:rsidP="00CF0921" w:rsidRDefault="00CF0921" w14:paraId="5A5B55BE" w14:textId="77777777">
            <w:pPr>
              <w:rPr>
                <w:rFonts w:ascii="VIC SemiBold" w:hAnsi="VIC SemiBold" w:cs="Times New Roman"/>
                <w:color w:val="auto"/>
                <w:sz w:val="20"/>
              </w:rPr>
            </w:pPr>
            <w:r w:rsidRPr="000D57F8">
              <w:rPr>
                <w:rFonts w:ascii="VIC SemiBold" w:hAnsi="VIC SemiBold" w:cs="Times New Roman"/>
                <w:color w:val="auto"/>
                <w:sz w:val="20"/>
              </w:rPr>
              <w:t>Response</w:t>
            </w:r>
          </w:p>
        </w:tc>
      </w:tr>
      <w:tr w:rsidRPr="00CF0921" w:rsidR="00CF0921" w:rsidTr="000D57F8" w14:paraId="1BBD8F26" w14:textId="77777777">
        <w:trPr>
          <w:cnfStyle w:val="000000100000" w:firstRow="0" w:lastRow="0" w:firstColumn="0" w:lastColumn="0" w:oddVBand="0" w:evenVBand="0" w:oddHBand="1" w:evenHBand="0" w:firstRowFirstColumn="0" w:firstRowLastColumn="0" w:lastRowFirstColumn="0" w:lastRowLastColumn="0"/>
          <w:trHeight w:val="1626"/>
        </w:trPr>
        <w:tc>
          <w:tcPr>
            <w:tcW w:w="2119" w:type="dxa"/>
          </w:tcPr>
          <w:p w:rsidRPr="00CF0921" w:rsidR="00CF0921" w:rsidP="00CF0921" w:rsidRDefault="00CF0921" w14:paraId="654F3CE7" w14:textId="77777777">
            <w:pPr>
              <w:keepNext/>
              <w:keepLines/>
              <w:spacing w:line="259" w:lineRule="auto"/>
              <w:rPr>
                <w:rFonts w:ascii="VIC" w:hAnsi="VIC" w:cs="Times New Roman"/>
                <w:color w:val="1A1A1A"/>
                <w:sz w:val="20"/>
              </w:rPr>
            </w:pPr>
            <w:r w:rsidRPr="00CF0921">
              <w:rPr>
                <w:rFonts w:ascii="VIC" w:hAnsi="VIC" w:cs="Times New Roman"/>
                <w:color w:val="1A1A1A"/>
                <w:sz w:val="20"/>
              </w:rPr>
              <w:t>Incinerator</w:t>
            </w:r>
          </w:p>
        </w:tc>
        <w:tc>
          <w:tcPr>
            <w:tcW w:w="1562" w:type="dxa"/>
          </w:tcPr>
          <w:p w:rsidRPr="00CF0921" w:rsidR="00CF0921" w:rsidP="00CF0921" w:rsidRDefault="00CF0921" w14:paraId="2BE0676D" w14:textId="77777777">
            <w:pPr>
              <w:keepNext/>
              <w:keepLines/>
              <w:spacing w:line="259" w:lineRule="auto"/>
              <w:rPr>
                <w:rFonts w:ascii="VIC" w:hAnsi="VIC" w:cs="Times New Roman"/>
                <w:color w:val="1A1A1A"/>
                <w:sz w:val="20"/>
              </w:rPr>
            </w:pPr>
            <w:r w:rsidRPr="00CF0921">
              <w:rPr>
                <w:rFonts w:ascii="VIC" w:hAnsi="VIC" w:cs="Times New Roman"/>
                <w:color w:val="1A1A1A"/>
                <w:sz w:val="20"/>
              </w:rPr>
              <w:t>Air</w:t>
            </w:r>
          </w:p>
        </w:tc>
        <w:tc>
          <w:tcPr>
            <w:tcW w:w="2410" w:type="dxa"/>
          </w:tcPr>
          <w:p w:rsidRPr="00CF0921" w:rsidR="00CF0921" w:rsidP="00CF0921" w:rsidRDefault="00CF0921" w14:paraId="5AEC7D97" w14:textId="77777777">
            <w:pPr>
              <w:keepNext/>
              <w:keepLines/>
              <w:spacing w:line="259" w:lineRule="auto"/>
              <w:rPr>
                <w:rFonts w:ascii="VIC" w:hAnsi="VIC" w:cs="Times New Roman"/>
                <w:color w:val="1A1A1A"/>
                <w:sz w:val="20"/>
              </w:rPr>
            </w:pPr>
            <w:r w:rsidRPr="00CF0921">
              <w:rPr>
                <w:rFonts w:ascii="VIC" w:hAnsi="VIC" w:cs="Times New Roman"/>
                <w:color w:val="1A1A1A"/>
                <w:sz w:val="20"/>
              </w:rPr>
              <w:t>NO</w:t>
            </w:r>
            <w:r w:rsidRPr="00CF0921">
              <w:rPr>
                <w:rFonts w:ascii="VIC" w:hAnsi="VIC" w:cs="Times New Roman"/>
                <w:color w:val="1A1A1A"/>
                <w:sz w:val="20"/>
                <w:vertAlign w:val="subscript"/>
              </w:rPr>
              <w:t>2</w:t>
            </w:r>
            <w:r w:rsidRPr="00CF0921">
              <w:rPr>
                <w:rFonts w:ascii="VIC" w:hAnsi="VIC" w:cs="Times New Roman"/>
                <w:color w:val="1A1A1A"/>
                <w:sz w:val="20"/>
              </w:rPr>
              <w:t xml:space="preserve"> sensor detects concentrations below 200</w:t>
            </w:r>
            <w:r w:rsidRPr="00CF0921">
              <w:rPr>
                <w:rFonts w:ascii="Cambria" w:hAnsi="Cambria" w:cs="Times New Roman"/>
                <w:color w:val="1A1A1A"/>
                <w:sz w:val="20"/>
              </w:rPr>
              <w:t> </w:t>
            </w:r>
            <w:r w:rsidRPr="00CF0921">
              <w:rPr>
                <w:rFonts w:ascii="VIC" w:hAnsi="VIC" w:cs="Times New Roman"/>
                <w:color w:val="1A1A1A"/>
                <w:sz w:val="20"/>
              </w:rPr>
              <w:t>mg/m</w:t>
            </w:r>
            <w:r w:rsidRPr="00CF0921">
              <w:rPr>
                <w:rFonts w:ascii="VIC" w:hAnsi="VIC" w:cs="Times New Roman"/>
                <w:color w:val="1A1A1A"/>
                <w:sz w:val="20"/>
                <w:vertAlign w:val="superscript"/>
              </w:rPr>
              <w:t>3</w:t>
            </w:r>
          </w:p>
        </w:tc>
        <w:tc>
          <w:tcPr>
            <w:tcW w:w="4732" w:type="dxa"/>
          </w:tcPr>
          <w:p w:rsidRPr="00CF0921" w:rsidR="00CF0921" w:rsidP="00CF0921" w:rsidRDefault="00CF0921" w14:paraId="3D9ADE26" w14:textId="77777777">
            <w:pPr>
              <w:keepNext/>
              <w:keepLines/>
              <w:spacing w:line="259" w:lineRule="auto"/>
              <w:rPr>
                <w:rFonts w:ascii="VIC" w:hAnsi="VIC" w:cs="Times New Roman"/>
                <w:color w:val="1A1A1A"/>
                <w:sz w:val="20"/>
              </w:rPr>
            </w:pPr>
            <w:r w:rsidRPr="00CF0921">
              <w:rPr>
                <w:rFonts w:ascii="VIC" w:hAnsi="VIC" w:cs="Times New Roman"/>
                <w:color w:val="1A1A1A"/>
                <w:sz w:val="20"/>
              </w:rPr>
              <w:t>6</w:t>
            </w:r>
            <w:r w:rsidRPr="00CF0921">
              <w:rPr>
                <w:rFonts w:ascii="Cambria" w:hAnsi="Cambria" w:cs="Times New Roman"/>
                <w:color w:val="1A1A1A"/>
                <w:sz w:val="20"/>
              </w:rPr>
              <w:t>-</w:t>
            </w:r>
            <w:r w:rsidRPr="00CF0921">
              <w:rPr>
                <w:rFonts w:ascii="VIC" w:hAnsi="VIC" w:cs="Times New Roman"/>
                <w:color w:val="1A1A1A"/>
                <w:sz w:val="20"/>
              </w:rPr>
              <w:t>monthly calibration.</w:t>
            </w:r>
          </w:p>
          <w:p w:rsidRPr="00CF0921" w:rsidR="00CF0921" w:rsidP="00CF0921" w:rsidRDefault="00CF0921" w14:paraId="79493EE7" w14:textId="77777777">
            <w:pPr>
              <w:keepNext/>
              <w:keepLines/>
              <w:spacing w:line="259" w:lineRule="auto"/>
              <w:rPr>
                <w:rFonts w:ascii="VIC" w:hAnsi="VIC" w:cs="Times New Roman"/>
                <w:color w:val="1A1A1A"/>
                <w:sz w:val="20"/>
              </w:rPr>
            </w:pPr>
            <w:r w:rsidRPr="00CF0921">
              <w:rPr>
                <w:rFonts w:ascii="VIC" w:hAnsi="VIC" w:cs="Times New Roman"/>
                <w:color w:val="1A1A1A"/>
                <w:sz w:val="20"/>
              </w:rPr>
              <w:t xml:space="preserve">Maintenance of Selective Catalytic Reducer as per manufacturer’s recommendations. </w:t>
            </w:r>
          </w:p>
        </w:tc>
        <w:tc>
          <w:tcPr>
            <w:tcW w:w="4303" w:type="dxa"/>
          </w:tcPr>
          <w:p w:rsidRPr="00CF0921" w:rsidR="00CF0921" w:rsidP="00CF0921" w:rsidRDefault="00CF0921" w14:paraId="09FF21BA" w14:textId="77777777">
            <w:pPr>
              <w:keepNext/>
              <w:keepLines/>
              <w:spacing w:line="259" w:lineRule="auto"/>
              <w:rPr>
                <w:rFonts w:ascii="VIC" w:hAnsi="VIC" w:cs="Times New Roman"/>
                <w:color w:val="1A1A1A"/>
                <w:sz w:val="20"/>
              </w:rPr>
            </w:pPr>
            <w:r w:rsidRPr="00CF0921">
              <w:rPr>
                <w:rFonts w:ascii="VIC" w:hAnsi="VIC" w:cs="Times New Roman"/>
                <w:color w:val="1A1A1A"/>
                <w:sz w:val="20"/>
              </w:rPr>
              <w:t>Continue current operation – discharge quality complies with licence conditions.</w:t>
            </w:r>
          </w:p>
        </w:tc>
      </w:tr>
      <w:tr w:rsidRPr="00CF0921" w:rsidR="00CF0921" w:rsidTr="000D57F8" w14:paraId="359DB666" w14:textId="77777777">
        <w:trPr>
          <w:cnfStyle w:val="000000010000" w:firstRow="0" w:lastRow="0" w:firstColumn="0" w:lastColumn="0" w:oddVBand="0" w:evenVBand="0" w:oddHBand="0" w:evenHBand="1" w:firstRowFirstColumn="0" w:firstRowLastColumn="0" w:lastRowFirstColumn="0" w:lastRowLastColumn="0"/>
        </w:trPr>
        <w:tc>
          <w:tcPr>
            <w:tcW w:w="2119" w:type="dxa"/>
          </w:tcPr>
          <w:p w:rsidRPr="00CF0921" w:rsidR="00CF0921" w:rsidP="00CF0921" w:rsidRDefault="00CF0921" w14:paraId="52296F95" w14:textId="77777777">
            <w:pPr>
              <w:spacing w:line="259" w:lineRule="auto"/>
              <w:rPr>
                <w:rFonts w:ascii="VIC" w:hAnsi="VIC" w:cs="Times New Roman"/>
                <w:color w:val="1A1A1A"/>
                <w:sz w:val="20"/>
              </w:rPr>
            </w:pPr>
            <w:r w:rsidRPr="00CF0921">
              <w:rPr>
                <w:rFonts w:ascii="VIC" w:hAnsi="VIC" w:cs="Times New Roman"/>
                <w:color w:val="1A1A1A"/>
                <w:sz w:val="20"/>
              </w:rPr>
              <w:t>Incinerator</w:t>
            </w:r>
          </w:p>
        </w:tc>
        <w:tc>
          <w:tcPr>
            <w:tcW w:w="1562" w:type="dxa"/>
          </w:tcPr>
          <w:p w:rsidRPr="00CF0921" w:rsidR="00CF0921" w:rsidP="00CF0921" w:rsidRDefault="00CF0921" w14:paraId="1AAA8B9C" w14:textId="77777777">
            <w:pPr>
              <w:spacing w:line="259" w:lineRule="auto"/>
              <w:rPr>
                <w:rFonts w:ascii="VIC" w:hAnsi="VIC" w:cs="Times New Roman"/>
                <w:color w:val="1A1A1A"/>
                <w:sz w:val="20"/>
              </w:rPr>
            </w:pPr>
            <w:r w:rsidRPr="00CF0921">
              <w:rPr>
                <w:rFonts w:ascii="VIC" w:hAnsi="VIC" w:cs="Times New Roman"/>
                <w:color w:val="1A1A1A"/>
                <w:sz w:val="20"/>
              </w:rPr>
              <w:t>Air</w:t>
            </w:r>
          </w:p>
        </w:tc>
        <w:tc>
          <w:tcPr>
            <w:tcW w:w="2410" w:type="dxa"/>
          </w:tcPr>
          <w:p w:rsidRPr="00CF0921" w:rsidR="00CF0921" w:rsidP="00CF0921" w:rsidRDefault="00CF0921" w14:paraId="1BBAA967" w14:textId="77777777">
            <w:pPr>
              <w:spacing w:line="259" w:lineRule="auto"/>
              <w:rPr>
                <w:rFonts w:ascii="VIC" w:hAnsi="VIC" w:cs="Times New Roman"/>
                <w:color w:val="1A1A1A"/>
                <w:sz w:val="20"/>
                <w:lang w:val="pt-BR"/>
              </w:rPr>
            </w:pPr>
            <w:r w:rsidRPr="00CF0921">
              <w:rPr>
                <w:rFonts w:ascii="VIC" w:hAnsi="VIC" w:cs="Times New Roman"/>
                <w:color w:val="1A1A1A"/>
                <w:sz w:val="20"/>
                <w:lang w:val="pt-BR"/>
              </w:rPr>
              <w:t>NO</w:t>
            </w:r>
            <w:r w:rsidRPr="00CF0921">
              <w:rPr>
                <w:rFonts w:ascii="VIC" w:hAnsi="VIC" w:cs="Times New Roman"/>
                <w:color w:val="1A1A1A"/>
                <w:sz w:val="20"/>
                <w:vertAlign w:val="subscript"/>
                <w:lang w:val="pt-BR"/>
              </w:rPr>
              <w:t>2</w:t>
            </w:r>
            <w:r w:rsidRPr="00CF0921">
              <w:rPr>
                <w:rFonts w:ascii="VIC" w:hAnsi="VIC" w:cs="Times New Roman"/>
                <w:color w:val="1A1A1A"/>
                <w:sz w:val="20"/>
                <w:lang w:val="pt-BR"/>
              </w:rPr>
              <w:t xml:space="preserve"> sensor concentrations above 200</w:t>
            </w:r>
            <w:r w:rsidRPr="00CF0921">
              <w:rPr>
                <w:rFonts w:ascii="Cambria" w:hAnsi="Cambria" w:cs="Times New Roman"/>
                <w:color w:val="1A1A1A"/>
                <w:sz w:val="20"/>
                <w:lang w:val="pt-BR"/>
              </w:rPr>
              <w:t> </w:t>
            </w:r>
            <w:r w:rsidRPr="00CF0921">
              <w:rPr>
                <w:rFonts w:ascii="VIC" w:hAnsi="VIC" w:cs="Times New Roman"/>
                <w:color w:val="1A1A1A"/>
                <w:sz w:val="20"/>
                <w:lang w:val="pt-BR"/>
              </w:rPr>
              <w:t>mg/m</w:t>
            </w:r>
            <w:r w:rsidRPr="00CF0921">
              <w:rPr>
                <w:rFonts w:ascii="VIC" w:hAnsi="VIC" w:cs="Times New Roman"/>
                <w:color w:val="1A1A1A"/>
                <w:sz w:val="20"/>
                <w:vertAlign w:val="superscript"/>
                <w:lang w:val="pt-BR"/>
              </w:rPr>
              <w:t>3</w:t>
            </w:r>
          </w:p>
        </w:tc>
        <w:tc>
          <w:tcPr>
            <w:tcW w:w="4732" w:type="dxa"/>
          </w:tcPr>
          <w:p w:rsidRPr="00CF0921" w:rsidR="00CF0921" w:rsidP="00CF0921" w:rsidRDefault="00CF0921" w14:paraId="6301A411" w14:textId="77777777">
            <w:pPr>
              <w:spacing w:line="259" w:lineRule="auto"/>
              <w:rPr>
                <w:rFonts w:ascii="VIC" w:hAnsi="VIC" w:cs="Times New Roman"/>
                <w:color w:val="1A1A1A"/>
                <w:sz w:val="20"/>
              </w:rPr>
            </w:pPr>
            <w:r w:rsidRPr="00CF0921">
              <w:rPr>
                <w:rFonts w:ascii="VIC" w:hAnsi="VIC" w:cs="Times New Roman"/>
                <w:color w:val="1A1A1A"/>
                <w:sz w:val="20"/>
              </w:rPr>
              <w:t>Selective Catalytic Reduction process initiated immediately upon high concentration alarm.</w:t>
            </w:r>
          </w:p>
        </w:tc>
        <w:tc>
          <w:tcPr>
            <w:tcW w:w="4303" w:type="dxa"/>
          </w:tcPr>
          <w:p w:rsidRPr="00CF0921" w:rsidR="00CF0921" w:rsidP="00CF0921" w:rsidRDefault="00CF0921" w14:paraId="50FFFD3C" w14:textId="77777777">
            <w:pPr>
              <w:spacing w:line="259" w:lineRule="auto"/>
              <w:rPr>
                <w:rFonts w:ascii="VIC" w:hAnsi="VIC" w:cs="Times New Roman"/>
                <w:color w:val="1A1A1A"/>
                <w:sz w:val="20"/>
              </w:rPr>
            </w:pPr>
            <w:r w:rsidRPr="00CF0921">
              <w:rPr>
                <w:rFonts w:ascii="VIC" w:hAnsi="VIC" w:cs="Times New Roman"/>
                <w:color w:val="1A1A1A"/>
                <w:sz w:val="20"/>
              </w:rPr>
              <w:t>Selective Catalytic Reduction process stream is continued until NO</w:t>
            </w:r>
            <w:r w:rsidRPr="00CF0921">
              <w:rPr>
                <w:rFonts w:ascii="VIC" w:hAnsi="VIC" w:cs="Times New Roman"/>
                <w:color w:val="1A1A1A"/>
                <w:sz w:val="20"/>
                <w:vertAlign w:val="subscript"/>
              </w:rPr>
              <w:t>2</w:t>
            </w:r>
            <w:r w:rsidRPr="00CF0921">
              <w:rPr>
                <w:rFonts w:ascii="VIC" w:hAnsi="VIC" w:cs="Times New Roman"/>
                <w:color w:val="1A1A1A"/>
                <w:sz w:val="20"/>
              </w:rPr>
              <w:t xml:space="preserve"> concentrations fall below 200</w:t>
            </w:r>
            <w:r w:rsidRPr="00CF0921">
              <w:rPr>
                <w:rFonts w:ascii="Cambria" w:hAnsi="Cambria" w:cs="Times New Roman"/>
                <w:color w:val="1A1A1A"/>
                <w:sz w:val="20"/>
              </w:rPr>
              <w:t> </w:t>
            </w:r>
            <w:r w:rsidRPr="00CF0921">
              <w:rPr>
                <w:rFonts w:ascii="VIC" w:hAnsi="VIC" w:cs="Times New Roman"/>
                <w:color w:val="1A1A1A"/>
                <w:sz w:val="20"/>
              </w:rPr>
              <w:t>mg/m</w:t>
            </w:r>
            <w:r w:rsidRPr="00CF0921">
              <w:rPr>
                <w:rFonts w:ascii="VIC" w:hAnsi="VIC" w:cs="Times New Roman"/>
                <w:color w:val="1A1A1A"/>
                <w:sz w:val="20"/>
                <w:vertAlign w:val="superscript"/>
              </w:rPr>
              <w:t>3</w:t>
            </w:r>
            <w:r w:rsidRPr="00CF0921">
              <w:rPr>
                <w:rFonts w:ascii="VIC" w:hAnsi="VIC" w:cs="Times New Roman"/>
                <w:color w:val="1A1A1A"/>
                <w:sz w:val="20"/>
              </w:rPr>
              <w:t xml:space="preserve">.  </w:t>
            </w:r>
          </w:p>
          <w:p w:rsidRPr="00CF0921" w:rsidR="00CF0921" w:rsidP="00CF0921" w:rsidRDefault="00CF0921" w14:paraId="07A2D791" w14:textId="77777777">
            <w:pPr>
              <w:spacing w:line="259" w:lineRule="auto"/>
              <w:rPr>
                <w:rFonts w:ascii="VIC" w:hAnsi="VIC" w:cs="Times New Roman"/>
                <w:color w:val="1A1A1A"/>
                <w:sz w:val="20"/>
              </w:rPr>
            </w:pPr>
            <w:r w:rsidRPr="00CF0921">
              <w:rPr>
                <w:rFonts w:ascii="VIC" w:hAnsi="VIC" w:cs="Times New Roman"/>
                <w:color w:val="1A1A1A"/>
                <w:sz w:val="20"/>
              </w:rPr>
              <w:t>If this treatment does not rectify the NO</w:t>
            </w:r>
            <w:r w:rsidRPr="00CF0921">
              <w:rPr>
                <w:rFonts w:ascii="VIC" w:hAnsi="VIC" w:cs="Times New Roman"/>
                <w:color w:val="1A1A1A"/>
                <w:sz w:val="20"/>
                <w:vertAlign w:val="subscript"/>
              </w:rPr>
              <w:t xml:space="preserve">2 </w:t>
            </w:r>
            <w:r w:rsidRPr="00CF0921">
              <w:rPr>
                <w:rFonts w:ascii="VIC" w:hAnsi="VIC" w:cs="Times New Roman"/>
                <w:color w:val="1A1A1A"/>
                <w:sz w:val="20"/>
              </w:rPr>
              <w:t>concentrations, then management to review and identification of best available techniques and technologies (BATT).</w:t>
            </w:r>
          </w:p>
          <w:p w:rsidRPr="00CF0921" w:rsidR="00CF0921" w:rsidP="00CF0921" w:rsidRDefault="00CF0921" w14:paraId="0D349751" w14:textId="77777777">
            <w:pPr>
              <w:spacing w:line="259" w:lineRule="auto"/>
              <w:rPr>
                <w:rFonts w:ascii="VIC" w:hAnsi="VIC" w:cs="Times New Roman"/>
                <w:color w:val="1A1A1A"/>
                <w:sz w:val="20"/>
              </w:rPr>
            </w:pPr>
            <w:r w:rsidRPr="00CF0921">
              <w:rPr>
                <w:rFonts w:ascii="VIC" w:hAnsi="VIC" w:cs="Times New Roman"/>
                <w:color w:val="1A1A1A"/>
                <w:sz w:val="20"/>
              </w:rPr>
              <w:t>Act on EPA notification requirements, if any.</w:t>
            </w:r>
          </w:p>
        </w:tc>
      </w:tr>
      <w:tr w:rsidRPr="00CF0921" w:rsidR="00CF0921" w:rsidTr="000D57F8" w14:paraId="5437DB2A" w14:textId="77777777">
        <w:trPr>
          <w:cnfStyle w:val="000000100000" w:firstRow="0" w:lastRow="0" w:firstColumn="0" w:lastColumn="0" w:oddVBand="0" w:evenVBand="0" w:oddHBand="1" w:evenHBand="0" w:firstRowFirstColumn="0" w:firstRowLastColumn="0" w:lastRowFirstColumn="0" w:lastRowLastColumn="0"/>
          <w:trHeight w:val="2301"/>
        </w:trPr>
        <w:tc>
          <w:tcPr>
            <w:tcW w:w="2119" w:type="dxa"/>
          </w:tcPr>
          <w:p w:rsidRPr="00CF0921" w:rsidR="00CF0921" w:rsidP="00CF0921" w:rsidRDefault="00CF0921" w14:paraId="7E6B34D4" w14:textId="77777777">
            <w:pPr>
              <w:spacing w:line="259" w:lineRule="auto"/>
              <w:rPr>
                <w:rFonts w:ascii="VIC" w:hAnsi="VIC" w:cs="Times New Roman"/>
                <w:color w:val="1A1A1A"/>
                <w:sz w:val="20"/>
              </w:rPr>
            </w:pPr>
            <w:r w:rsidRPr="00CF0921">
              <w:rPr>
                <w:rFonts w:ascii="VIC" w:hAnsi="VIC" w:cs="Times New Roman"/>
                <w:color w:val="1A1A1A"/>
                <w:sz w:val="20"/>
              </w:rPr>
              <w:t>Waste handling area</w:t>
            </w:r>
          </w:p>
        </w:tc>
        <w:tc>
          <w:tcPr>
            <w:tcW w:w="1562" w:type="dxa"/>
          </w:tcPr>
          <w:p w:rsidRPr="00CF0921" w:rsidR="00CF0921" w:rsidP="00CF0921" w:rsidRDefault="00CF0921" w14:paraId="71D697AF" w14:textId="77777777">
            <w:pPr>
              <w:spacing w:line="259" w:lineRule="auto"/>
              <w:rPr>
                <w:rFonts w:ascii="VIC" w:hAnsi="VIC" w:cs="Times New Roman"/>
                <w:color w:val="1A1A1A"/>
                <w:sz w:val="20"/>
              </w:rPr>
            </w:pPr>
            <w:r w:rsidRPr="00CF0921">
              <w:rPr>
                <w:rFonts w:ascii="VIC" w:hAnsi="VIC" w:cs="Times New Roman"/>
                <w:color w:val="1A1A1A"/>
                <w:sz w:val="20"/>
              </w:rPr>
              <w:t>Land</w:t>
            </w:r>
          </w:p>
        </w:tc>
        <w:tc>
          <w:tcPr>
            <w:tcW w:w="2410" w:type="dxa"/>
          </w:tcPr>
          <w:p w:rsidRPr="00CF0921" w:rsidR="00CF0921" w:rsidP="00CF0921" w:rsidRDefault="00CF0921" w14:paraId="5085F95A" w14:textId="77777777">
            <w:pPr>
              <w:spacing w:line="259" w:lineRule="auto"/>
              <w:rPr>
                <w:rFonts w:ascii="VIC" w:hAnsi="VIC" w:cs="Times New Roman"/>
                <w:color w:val="1A1A1A"/>
                <w:sz w:val="20"/>
              </w:rPr>
            </w:pPr>
            <w:r w:rsidRPr="00CF0921">
              <w:rPr>
                <w:rFonts w:ascii="VIC" w:hAnsi="VIC" w:cs="Times New Roman"/>
                <w:color w:val="1A1A1A"/>
                <w:sz w:val="20"/>
              </w:rPr>
              <w:t>Evidence of ponding/ depressions or surface damage noted at pre-start/</w:t>
            </w:r>
            <w:proofErr w:type="gramStart"/>
            <w:r w:rsidRPr="00CF0921">
              <w:rPr>
                <w:rFonts w:ascii="VIC" w:hAnsi="VIC" w:cs="Times New Roman"/>
                <w:color w:val="1A1A1A"/>
                <w:sz w:val="20"/>
              </w:rPr>
              <w:t>tool box</w:t>
            </w:r>
            <w:proofErr w:type="gramEnd"/>
            <w:r w:rsidRPr="00CF0921">
              <w:rPr>
                <w:rFonts w:ascii="VIC" w:hAnsi="VIC" w:cs="Times New Roman"/>
                <w:color w:val="1A1A1A"/>
                <w:sz w:val="20"/>
              </w:rPr>
              <w:t xml:space="preserve"> meeting.</w:t>
            </w:r>
          </w:p>
        </w:tc>
        <w:tc>
          <w:tcPr>
            <w:tcW w:w="4732" w:type="dxa"/>
          </w:tcPr>
          <w:p w:rsidRPr="00CF0921" w:rsidR="00CF0921" w:rsidP="00CF0921" w:rsidRDefault="00CF0921" w14:paraId="3EBBD760" w14:textId="77777777">
            <w:pPr>
              <w:spacing w:line="259" w:lineRule="auto"/>
              <w:rPr>
                <w:rFonts w:ascii="Cambria" w:hAnsi="Cambria" w:cs="Times New Roman"/>
                <w:color w:val="1A1A1A"/>
                <w:sz w:val="20"/>
              </w:rPr>
            </w:pPr>
            <w:r w:rsidRPr="00CF0921">
              <w:rPr>
                <w:rFonts w:ascii="VIC" w:hAnsi="VIC" w:cs="Times New Roman"/>
                <w:color w:val="1A1A1A"/>
                <w:sz w:val="20"/>
              </w:rPr>
              <w:t>Site quality officer to inspect and photograph the hardstand condition within 7</w:t>
            </w:r>
            <w:r w:rsidRPr="00CF0921">
              <w:rPr>
                <w:rFonts w:ascii="Cambria" w:hAnsi="Cambria" w:cs="Times New Roman"/>
                <w:color w:val="1A1A1A"/>
                <w:sz w:val="20"/>
              </w:rPr>
              <w:t> </w:t>
            </w:r>
            <w:r w:rsidRPr="00CF0921">
              <w:rPr>
                <w:rFonts w:ascii="VIC" w:hAnsi="VIC" w:cs="Times New Roman"/>
                <w:color w:val="1A1A1A"/>
                <w:sz w:val="20"/>
              </w:rPr>
              <w:t>days.  Depressions (evidence of water ponding) or damage in ground surface to be repaired with front end loader and documented in site log within 14</w:t>
            </w:r>
            <w:r w:rsidRPr="00CF0921">
              <w:rPr>
                <w:rFonts w:ascii="Cambria" w:hAnsi="Cambria" w:cs="Times New Roman"/>
                <w:color w:val="1A1A1A"/>
                <w:sz w:val="20"/>
              </w:rPr>
              <w:t> </w:t>
            </w:r>
            <w:r w:rsidRPr="00CF0921">
              <w:rPr>
                <w:rFonts w:ascii="VIC" w:hAnsi="VIC" w:cs="Times New Roman"/>
                <w:color w:val="1A1A1A"/>
                <w:sz w:val="20"/>
              </w:rPr>
              <w:t>days of report.</w:t>
            </w:r>
          </w:p>
        </w:tc>
        <w:tc>
          <w:tcPr>
            <w:tcW w:w="4303" w:type="dxa"/>
          </w:tcPr>
          <w:p w:rsidRPr="00CF0921" w:rsidR="00CF0921" w:rsidP="00CF0921" w:rsidRDefault="00CF0921" w14:paraId="47424402" w14:textId="77777777">
            <w:pPr>
              <w:spacing w:line="259" w:lineRule="auto"/>
              <w:rPr>
                <w:rFonts w:ascii="VIC" w:hAnsi="VIC" w:cs="Times New Roman"/>
                <w:color w:val="1A1A1A"/>
                <w:sz w:val="20"/>
              </w:rPr>
            </w:pPr>
            <w:r w:rsidRPr="00CF0921">
              <w:rPr>
                <w:rFonts w:ascii="VIC" w:hAnsi="VIC" w:cs="Times New Roman"/>
                <w:color w:val="1A1A1A"/>
                <w:sz w:val="20"/>
              </w:rPr>
              <w:t>Continue current operation. Inspection and monitoring records to be made available to EPA on request.</w:t>
            </w:r>
          </w:p>
        </w:tc>
      </w:tr>
      <w:tr w:rsidRPr="00CF0921" w:rsidR="00CF0921" w:rsidTr="000D57F8" w14:paraId="5F96190D" w14:textId="77777777">
        <w:trPr>
          <w:cnfStyle w:val="000000010000" w:firstRow="0" w:lastRow="0" w:firstColumn="0" w:lastColumn="0" w:oddVBand="0" w:evenVBand="0" w:oddHBand="0" w:evenHBand="1" w:firstRowFirstColumn="0" w:firstRowLastColumn="0" w:lastRowFirstColumn="0" w:lastRowLastColumn="0"/>
        </w:trPr>
        <w:tc>
          <w:tcPr>
            <w:tcW w:w="2119" w:type="dxa"/>
          </w:tcPr>
          <w:p w:rsidRPr="00CF0921" w:rsidR="00CF0921" w:rsidP="00CF0921" w:rsidRDefault="00CF0921" w14:paraId="7DDFBD4F" w14:textId="77777777">
            <w:pPr>
              <w:spacing w:line="259" w:lineRule="auto"/>
              <w:rPr>
                <w:rFonts w:ascii="VIC" w:hAnsi="VIC" w:cs="Times New Roman"/>
                <w:color w:val="1A1A1A"/>
                <w:sz w:val="20"/>
              </w:rPr>
            </w:pPr>
            <w:r w:rsidRPr="00CF0921">
              <w:rPr>
                <w:rFonts w:ascii="VIC" w:hAnsi="VIC" w:cs="Times New Roman"/>
                <w:color w:val="1A1A1A"/>
                <w:sz w:val="20"/>
              </w:rPr>
              <w:t>Waste handling area</w:t>
            </w:r>
          </w:p>
        </w:tc>
        <w:tc>
          <w:tcPr>
            <w:tcW w:w="1562" w:type="dxa"/>
          </w:tcPr>
          <w:p w:rsidRPr="00CF0921" w:rsidR="00CF0921" w:rsidP="00CF0921" w:rsidRDefault="00CF0921" w14:paraId="0B6E84DA" w14:textId="77777777">
            <w:pPr>
              <w:spacing w:line="259" w:lineRule="auto"/>
              <w:rPr>
                <w:rFonts w:ascii="VIC" w:hAnsi="VIC" w:cs="Times New Roman"/>
                <w:color w:val="1A1A1A"/>
                <w:sz w:val="20"/>
              </w:rPr>
            </w:pPr>
            <w:r w:rsidRPr="00CF0921">
              <w:rPr>
                <w:rFonts w:ascii="VIC" w:hAnsi="VIC" w:cs="Times New Roman"/>
                <w:color w:val="1A1A1A"/>
                <w:sz w:val="20"/>
              </w:rPr>
              <w:t>Groundwater</w:t>
            </w:r>
          </w:p>
        </w:tc>
        <w:tc>
          <w:tcPr>
            <w:tcW w:w="2410" w:type="dxa"/>
          </w:tcPr>
          <w:p w:rsidRPr="00CF0921" w:rsidR="00CF0921" w:rsidP="00CF0921" w:rsidRDefault="00CF0921" w14:paraId="29EB4A22" w14:textId="77777777">
            <w:pPr>
              <w:spacing w:line="259" w:lineRule="auto"/>
              <w:rPr>
                <w:rFonts w:ascii="VIC" w:hAnsi="VIC" w:cs="Times New Roman"/>
                <w:color w:val="1A1A1A"/>
                <w:sz w:val="20"/>
              </w:rPr>
            </w:pPr>
            <w:r w:rsidRPr="00CF0921">
              <w:rPr>
                <w:rFonts w:ascii="VIC" w:hAnsi="VIC" w:cs="Times New Roman"/>
                <w:color w:val="1A1A1A"/>
                <w:sz w:val="20"/>
              </w:rPr>
              <w:t>Groundwater sampling detects pH &lt;4</w:t>
            </w:r>
          </w:p>
        </w:tc>
        <w:tc>
          <w:tcPr>
            <w:tcW w:w="4732" w:type="dxa"/>
          </w:tcPr>
          <w:p w:rsidRPr="00CF0921" w:rsidR="00CF0921" w:rsidP="00CF0921" w:rsidRDefault="00CF0921" w14:paraId="4287B0E6" w14:textId="77777777">
            <w:pPr>
              <w:spacing w:line="259" w:lineRule="auto"/>
              <w:rPr>
                <w:rFonts w:ascii="VIC" w:hAnsi="VIC" w:cs="Times New Roman"/>
                <w:color w:val="1A1A1A"/>
                <w:sz w:val="20"/>
              </w:rPr>
            </w:pPr>
            <w:r w:rsidRPr="00CF0921">
              <w:rPr>
                <w:rFonts w:ascii="VIC" w:hAnsi="VIC" w:cs="Times New Roman"/>
                <w:color w:val="1A1A1A"/>
                <w:sz w:val="20"/>
              </w:rPr>
              <w:t>Verify the groundwater result by resampling within 2</w:t>
            </w:r>
            <w:r w:rsidRPr="00CF0921">
              <w:rPr>
                <w:rFonts w:ascii="Cambria" w:hAnsi="Cambria" w:cs="Times New Roman"/>
                <w:color w:val="1A1A1A"/>
                <w:sz w:val="20"/>
              </w:rPr>
              <w:t> </w:t>
            </w:r>
            <w:r w:rsidRPr="00CF0921">
              <w:rPr>
                <w:rFonts w:ascii="VIC" w:hAnsi="VIC" w:cs="Times New Roman"/>
                <w:color w:val="1A1A1A"/>
                <w:sz w:val="20"/>
              </w:rPr>
              <w:t>weeks. Initiate further groundwater investigations within 6</w:t>
            </w:r>
            <w:r w:rsidRPr="00CF0921">
              <w:rPr>
                <w:rFonts w:ascii="Cambria" w:hAnsi="Cambria" w:cs="Times New Roman"/>
                <w:color w:val="1A1A1A"/>
                <w:sz w:val="20"/>
              </w:rPr>
              <w:t> </w:t>
            </w:r>
            <w:r w:rsidRPr="00CF0921">
              <w:rPr>
                <w:rFonts w:ascii="VIC" w:hAnsi="VIC" w:cs="Times New Roman"/>
                <w:color w:val="1A1A1A"/>
                <w:sz w:val="20"/>
              </w:rPr>
              <w:t>weeks.</w:t>
            </w:r>
          </w:p>
        </w:tc>
        <w:tc>
          <w:tcPr>
            <w:tcW w:w="4303" w:type="dxa"/>
          </w:tcPr>
          <w:p w:rsidRPr="00CF0921" w:rsidR="00CF0921" w:rsidP="00CF0921" w:rsidRDefault="00CF0921" w14:paraId="6A9A4A62" w14:textId="77777777">
            <w:pPr>
              <w:spacing w:line="259" w:lineRule="auto"/>
              <w:rPr>
                <w:rFonts w:ascii="VIC" w:hAnsi="VIC" w:cs="Times New Roman"/>
                <w:color w:val="1A1A1A"/>
                <w:sz w:val="20"/>
              </w:rPr>
            </w:pPr>
            <w:r w:rsidRPr="00CF0921">
              <w:rPr>
                <w:rFonts w:ascii="VIC" w:hAnsi="VIC" w:cs="Times New Roman"/>
                <w:color w:val="1A1A1A"/>
                <w:sz w:val="20"/>
              </w:rPr>
              <w:t xml:space="preserve">Continue current operation.  </w:t>
            </w:r>
          </w:p>
          <w:p w:rsidRPr="00CF0921" w:rsidR="00CF0921" w:rsidP="00CF0921" w:rsidRDefault="00CF0921" w14:paraId="3C2481D8" w14:textId="77777777">
            <w:pPr>
              <w:spacing w:line="259" w:lineRule="auto"/>
              <w:rPr>
                <w:rFonts w:ascii="VIC" w:hAnsi="VIC" w:cs="Times New Roman"/>
                <w:color w:val="1A1A1A"/>
                <w:sz w:val="20"/>
              </w:rPr>
            </w:pPr>
            <w:r w:rsidRPr="00CF0921">
              <w:rPr>
                <w:rFonts w:ascii="VIC" w:hAnsi="VIC" w:cs="Times New Roman"/>
                <w:color w:val="1A1A1A"/>
                <w:sz w:val="20"/>
              </w:rPr>
              <w:t>Subject to the outcome of the groundwater investigations, review groundwater risks, as there may be a need for additional management actions.</w:t>
            </w:r>
          </w:p>
        </w:tc>
      </w:tr>
      <w:tr w:rsidRPr="00CF0921" w:rsidR="00CF0921" w:rsidTr="000D57F8" w14:paraId="02E3D4B0" w14:textId="77777777">
        <w:trPr>
          <w:cnfStyle w:val="000000100000" w:firstRow="0" w:lastRow="0" w:firstColumn="0" w:lastColumn="0" w:oddVBand="0" w:evenVBand="0" w:oddHBand="1" w:evenHBand="0" w:firstRowFirstColumn="0" w:firstRowLastColumn="0" w:lastRowFirstColumn="0" w:lastRowLastColumn="0"/>
        </w:trPr>
        <w:tc>
          <w:tcPr>
            <w:tcW w:w="2119" w:type="dxa"/>
          </w:tcPr>
          <w:p w:rsidRPr="00CF0921" w:rsidR="00CF0921" w:rsidP="00CF0921" w:rsidRDefault="00CF0921" w14:paraId="1C4C02E8" w14:textId="77777777">
            <w:pPr>
              <w:spacing w:line="259" w:lineRule="auto"/>
              <w:rPr>
                <w:rFonts w:ascii="VIC" w:hAnsi="VIC" w:cs="Times New Roman"/>
                <w:color w:val="1A1A1A"/>
                <w:sz w:val="20"/>
              </w:rPr>
            </w:pPr>
            <w:r w:rsidRPr="00CF0921">
              <w:rPr>
                <w:rFonts w:ascii="VIC" w:hAnsi="VIC" w:cs="Times New Roman"/>
                <w:color w:val="1A1A1A"/>
                <w:sz w:val="20"/>
              </w:rPr>
              <w:t>Vehicle refuelling area</w:t>
            </w:r>
          </w:p>
        </w:tc>
        <w:tc>
          <w:tcPr>
            <w:tcW w:w="1562" w:type="dxa"/>
          </w:tcPr>
          <w:p w:rsidRPr="00CF0921" w:rsidR="00CF0921" w:rsidP="00CF0921" w:rsidRDefault="00CF0921" w14:paraId="2B184970" w14:textId="77777777">
            <w:pPr>
              <w:spacing w:line="259" w:lineRule="auto"/>
              <w:rPr>
                <w:rFonts w:ascii="VIC" w:hAnsi="VIC" w:cs="Times New Roman"/>
                <w:color w:val="1A1A1A"/>
                <w:sz w:val="20"/>
              </w:rPr>
            </w:pPr>
            <w:r w:rsidRPr="00CF0921">
              <w:rPr>
                <w:rFonts w:ascii="VIC" w:hAnsi="VIC" w:cs="Times New Roman"/>
                <w:color w:val="1A1A1A"/>
                <w:sz w:val="20"/>
              </w:rPr>
              <w:t>Land</w:t>
            </w:r>
          </w:p>
        </w:tc>
        <w:tc>
          <w:tcPr>
            <w:tcW w:w="2410" w:type="dxa"/>
          </w:tcPr>
          <w:p w:rsidRPr="00CF0921" w:rsidR="00CF0921" w:rsidP="00CF0921" w:rsidRDefault="00CF0921" w14:paraId="5DC60848" w14:textId="77777777">
            <w:pPr>
              <w:spacing w:line="259" w:lineRule="auto"/>
              <w:rPr>
                <w:rFonts w:ascii="VIC" w:hAnsi="VIC" w:cs="Times New Roman"/>
                <w:color w:val="1A1A1A"/>
                <w:sz w:val="20"/>
              </w:rPr>
            </w:pPr>
            <w:r w:rsidRPr="00CF0921">
              <w:rPr>
                <w:rFonts w:ascii="VIC" w:hAnsi="VIC" w:cs="Times New Roman"/>
                <w:color w:val="1A1A1A"/>
                <w:sz w:val="20"/>
              </w:rPr>
              <w:t>Fuel spill</w:t>
            </w:r>
          </w:p>
        </w:tc>
        <w:tc>
          <w:tcPr>
            <w:tcW w:w="4732" w:type="dxa"/>
          </w:tcPr>
          <w:p w:rsidRPr="00CF0921" w:rsidR="00CF0921" w:rsidP="00CF0921" w:rsidRDefault="00CF0921" w14:paraId="11388DA6" w14:textId="77777777">
            <w:pPr>
              <w:spacing w:line="259" w:lineRule="auto"/>
              <w:rPr>
                <w:rFonts w:ascii="VIC" w:hAnsi="VIC" w:cs="Times New Roman"/>
                <w:color w:val="1A1A1A"/>
                <w:sz w:val="20"/>
              </w:rPr>
            </w:pPr>
            <w:r w:rsidRPr="00CF0921">
              <w:rPr>
                <w:rFonts w:ascii="VIC" w:hAnsi="VIC" w:cs="Times New Roman"/>
                <w:color w:val="1A1A1A"/>
                <w:sz w:val="20"/>
              </w:rPr>
              <w:t>Site quality officer to complete an incident investigation and immediate clean up. Interview with operator, and review of fuel inventory within 2</w:t>
            </w:r>
            <w:r w:rsidRPr="00CF0921">
              <w:rPr>
                <w:rFonts w:ascii="Cambria" w:hAnsi="Cambria" w:cs="Times New Roman"/>
                <w:color w:val="1A1A1A"/>
                <w:sz w:val="20"/>
              </w:rPr>
              <w:t> </w:t>
            </w:r>
            <w:r w:rsidRPr="00CF0921">
              <w:rPr>
                <w:rFonts w:ascii="VIC" w:hAnsi="VIC" w:cs="Times New Roman"/>
                <w:color w:val="1A1A1A"/>
                <w:sz w:val="20"/>
              </w:rPr>
              <w:t>weeks of spill report. Subject to the outcome of the investigation, there may be a Duty to notify EPA of notifiable incidents.</w:t>
            </w:r>
          </w:p>
        </w:tc>
        <w:tc>
          <w:tcPr>
            <w:tcW w:w="4303" w:type="dxa"/>
          </w:tcPr>
          <w:p w:rsidRPr="00CF0921" w:rsidR="00CF0921" w:rsidP="00CF0921" w:rsidRDefault="00CF0921" w14:paraId="419EC477" w14:textId="77777777">
            <w:pPr>
              <w:spacing w:line="259" w:lineRule="auto"/>
              <w:rPr>
                <w:rFonts w:ascii="VIC" w:hAnsi="VIC" w:cs="Times New Roman"/>
                <w:color w:val="1A1A1A"/>
                <w:sz w:val="20"/>
              </w:rPr>
            </w:pPr>
            <w:r w:rsidRPr="00CF0921">
              <w:rPr>
                <w:rFonts w:ascii="VIC" w:hAnsi="VIC" w:cs="Times New Roman"/>
                <w:color w:val="1A1A1A"/>
                <w:sz w:val="20"/>
              </w:rPr>
              <w:t>Act on recommendations from the investigation.</w:t>
            </w:r>
          </w:p>
        </w:tc>
      </w:tr>
      <w:tr w:rsidRPr="00CF0921" w:rsidR="00CF0921" w:rsidTr="000D57F8" w14:paraId="3B6BA73F" w14:textId="77777777">
        <w:trPr>
          <w:cnfStyle w:val="000000010000" w:firstRow="0" w:lastRow="0" w:firstColumn="0" w:lastColumn="0" w:oddVBand="0" w:evenVBand="0" w:oddHBand="0" w:evenHBand="1" w:firstRowFirstColumn="0" w:firstRowLastColumn="0" w:lastRowFirstColumn="0" w:lastRowLastColumn="0"/>
        </w:trPr>
        <w:tc>
          <w:tcPr>
            <w:tcW w:w="2119" w:type="dxa"/>
          </w:tcPr>
          <w:p w:rsidRPr="00CF0921" w:rsidR="00CF0921" w:rsidP="00CF0921" w:rsidRDefault="00CF0921" w14:paraId="7963140A" w14:textId="77777777">
            <w:pPr>
              <w:spacing w:line="259" w:lineRule="auto"/>
              <w:rPr>
                <w:rFonts w:ascii="VIC" w:hAnsi="VIC" w:cs="Times New Roman"/>
                <w:color w:val="1A1A1A"/>
                <w:sz w:val="20"/>
              </w:rPr>
            </w:pPr>
            <w:r w:rsidRPr="00CF0921">
              <w:rPr>
                <w:rFonts w:ascii="VIC" w:hAnsi="VIC" w:cs="Times New Roman"/>
                <w:color w:val="1A1A1A"/>
                <w:sz w:val="20"/>
              </w:rPr>
              <w:t>Contact water management</w:t>
            </w:r>
          </w:p>
        </w:tc>
        <w:tc>
          <w:tcPr>
            <w:tcW w:w="1562" w:type="dxa"/>
          </w:tcPr>
          <w:p w:rsidRPr="00CF0921" w:rsidR="00CF0921" w:rsidP="00CF0921" w:rsidRDefault="00CF0921" w14:paraId="6904B500" w14:textId="77777777">
            <w:pPr>
              <w:spacing w:line="259" w:lineRule="auto"/>
              <w:rPr>
                <w:rFonts w:ascii="VIC" w:hAnsi="VIC" w:cs="Times New Roman"/>
                <w:color w:val="1A1A1A"/>
                <w:sz w:val="20"/>
              </w:rPr>
            </w:pPr>
            <w:r w:rsidRPr="00CF0921">
              <w:rPr>
                <w:rFonts w:ascii="VIC" w:hAnsi="VIC" w:cs="Times New Roman"/>
                <w:color w:val="1A1A1A"/>
                <w:sz w:val="20"/>
              </w:rPr>
              <w:t>Water</w:t>
            </w:r>
          </w:p>
        </w:tc>
        <w:tc>
          <w:tcPr>
            <w:tcW w:w="2410" w:type="dxa"/>
          </w:tcPr>
          <w:p w:rsidRPr="00CF0921" w:rsidR="00CF0921" w:rsidP="00CF0921" w:rsidRDefault="00CF0921" w14:paraId="74A0AB05" w14:textId="77777777">
            <w:pPr>
              <w:spacing w:line="259" w:lineRule="auto"/>
              <w:rPr>
                <w:rFonts w:ascii="VIC" w:hAnsi="VIC" w:cs="Times New Roman"/>
                <w:color w:val="1A1A1A"/>
                <w:sz w:val="20"/>
              </w:rPr>
            </w:pPr>
            <w:r w:rsidRPr="00CF0921">
              <w:rPr>
                <w:rFonts w:ascii="VIC" w:hAnsi="VIC" w:cs="Times New Roman"/>
                <w:color w:val="1A1A1A"/>
                <w:sz w:val="20"/>
              </w:rPr>
              <w:t>Monitoring of retention basin water detects pH</w:t>
            </w:r>
            <w:r w:rsidRPr="00CF0921">
              <w:rPr>
                <w:rFonts w:ascii="Calibri" w:hAnsi="Calibri" w:cs="Calibri"/>
                <w:color w:val="1A1A1A"/>
                <w:sz w:val="20"/>
              </w:rPr>
              <w:t> </w:t>
            </w:r>
            <w:r w:rsidRPr="00CF0921">
              <w:rPr>
                <w:rFonts w:ascii="VIC" w:hAnsi="VIC" w:cs="Times New Roman"/>
                <w:color w:val="1A1A1A"/>
                <w:sz w:val="20"/>
              </w:rPr>
              <w:t>&lt;4</w:t>
            </w:r>
          </w:p>
        </w:tc>
        <w:tc>
          <w:tcPr>
            <w:tcW w:w="4732" w:type="dxa"/>
          </w:tcPr>
          <w:p w:rsidRPr="00CF0921" w:rsidR="00CF0921" w:rsidP="00CF0921" w:rsidRDefault="00CF0921" w14:paraId="52CDDFD8" w14:textId="77777777">
            <w:pPr>
              <w:spacing w:line="259" w:lineRule="auto"/>
              <w:rPr>
                <w:rFonts w:ascii="VIC" w:hAnsi="VIC" w:cs="Times New Roman"/>
                <w:color w:val="1A1A1A"/>
                <w:sz w:val="20"/>
              </w:rPr>
            </w:pPr>
            <w:r w:rsidRPr="00CF0921">
              <w:rPr>
                <w:rFonts w:ascii="VIC" w:hAnsi="VIC" w:cs="Times New Roman"/>
                <w:color w:val="1A1A1A"/>
                <w:sz w:val="20"/>
              </w:rPr>
              <w:t>Site quality officer to record basin capacity using weir gauge board. Cease offsite discharge from retention basin until pH returns to 6–8. Dosing may be required to increase water pH. Lock and tag the valve within 24</w:t>
            </w:r>
            <w:r w:rsidRPr="00CF0921">
              <w:rPr>
                <w:rFonts w:ascii="Cambria" w:hAnsi="Cambria" w:cs="Times New Roman"/>
                <w:color w:val="1A1A1A"/>
                <w:sz w:val="20"/>
              </w:rPr>
              <w:t> </w:t>
            </w:r>
            <w:r w:rsidRPr="00CF0921">
              <w:rPr>
                <w:rFonts w:ascii="VIC" w:hAnsi="VIC" w:cs="Times New Roman"/>
                <w:color w:val="1A1A1A"/>
                <w:sz w:val="20"/>
              </w:rPr>
              <w:t>hrs of low pH report.</w:t>
            </w:r>
          </w:p>
          <w:p w:rsidRPr="00CF0921" w:rsidR="00CF0921" w:rsidP="00CF0921" w:rsidRDefault="00CF0921" w14:paraId="3F113337" w14:textId="77777777">
            <w:pPr>
              <w:spacing w:line="259" w:lineRule="auto"/>
              <w:rPr>
                <w:rFonts w:ascii="VIC" w:hAnsi="VIC" w:cs="Times New Roman"/>
                <w:color w:val="1A1A1A"/>
                <w:sz w:val="20"/>
              </w:rPr>
            </w:pPr>
            <w:r w:rsidRPr="00CF0921">
              <w:rPr>
                <w:rFonts w:ascii="VIC" w:hAnsi="VIC" w:cs="Times New Roman"/>
                <w:color w:val="1A1A1A"/>
                <w:sz w:val="20"/>
              </w:rPr>
              <w:t>Increase basin monitoring frequency to daily.</w:t>
            </w:r>
          </w:p>
          <w:p w:rsidRPr="00CF0921" w:rsidR="00CF0921" w:rsidP="00CF0921" w:rsidRDefault="00CF0921" w14:paraId="11E6A557" w14:textId="77777777">
            <w:pPr>
              <w:spacing w:line="259" w:lineRule="auto"/>
              <w:rPr>
                <w:rFonts w:ascii="VIC" w:hAnsi="VIC" w:cs="Times New Roman"/>
                <w:color w:val="1A1A1A"/>
                <w:sz w:val="20"/>
              </w:rPr>
            </w:pPr>
            <w:r w:rsidRPr="00CF0921">
              <w:rPr>
                <w:rFonts w:ascii="VIC" w:hAnsi="VIC" w:cs="Times New Roman"/>
                <w:color w:val="1A1A1A"/>
                <w:sz w:val="20"/>
              </w:rPr>
              <w:t xml:space="preserve">Review bunding condition and erosion controls </w:t>
            </w:r>
            <w:r w:rsidRPr="00CF0921">
              <w:rPr>
                <w:rFonts w:ascii="VIC" w:hAnsi="VIC" w:cs="Times New Roman"/>
                <w:sz w:val="20"/>
              </w:rPr>
              <w:t xml:space="preserve">in waste receival, bottom ash and fly ash </w:t>
            </w:r>
            <w:r w:rsidRPr="00CF0921">
              <w:rPr>
                <w:rFonts w:ascii="VIC" w:hAnsi="VIC" w:cs="Times New Roman"/>
                <w:color w:val="1A1A1A"/>
                <w:sz w:val="20"/>
              </w:rPr>
              <w:t>stockpile areas within 14</w:t>
            </w:r>
            <w:r w:rsidRPr="00CF0921">
              <w:rPr>
                <w:rFonts w:ascii="Cambria" w:hAnsi="Cambria" w:cs="Times New Roman"/>
                <w:color w:val="1A1A1A"/>
                <w:sz w:val="20"/>
              </w:rPr>
              <w:t> </w:t>
            </w:r>
            <w:r w:rsidRPr="00CF0921">
              <w:rPr>
                <w:rFonts w:ascii="VIC" w:hAnsi="VIC" w:cs="Times New Roman"/>
                <w:color w:val="1A1A1A"/>
                <w:sz w:val="20"/>
              </w:rPr>
              <w:t>days.</w:t>
            </w:r>
          </w:p>
          <w:p w:rsidRPr="00CF0921" w:rsidR="00CF0921" w:rsidP="00CF0921" w:rsidRDefault="00CF0921" w14:paraId="5861C4B5" w14:textId="77777777">
            <w:pPr>
              <w:spacing w:line="259" w:lineRule="auto"/>
              <w:rPr>
                <w:rFonts w:ascii="VIC" w:hAnsi="VIC" w:cs="Times New Roman"/>
                <w:color w:val="1A1A1A"/>
                <w:sz w:val="20"/>
              </w:rPr>
            </w:pPr>
            <w:r w:rsidRPr="00CF0921">
              <w:rPr>
                <w:rFonts w:ascii="VIC" w:hAnsi="VIC" w:cs="Times New Roman"/>
                <w:color w:val="1A1A1A"/>
                <w:sz w:val="20"/>
              </w:rPr>
              <w:t>Undertake assessment to trace back source of low pH inputs into basin within 14</w:t>
            </w:r>
            <w:r w:rsidRPr="00CF0921">
              <w:rPr>
                <w:rFonts w:ascii="Cambria" w:hAnsi="Cambria" w:cs="Times New Roman"/>
                <w:color w:val="1A1A1A"/>
                <w:sz w:val="20"/>
              </w:rPr>
              <w:t> </w:t>
            </w:r>
            <w:r w:rsidRPr="00CF0921">
              <w:rPr>
                <w:rFonts w:ascii="VIC" w:hAnsi="VIC" w:cs="Times New Roman"/>
                <w:color w:val="1A1A1A"/>
                <w:sz w:val="20"/>
              </w:rPr>
              <w:t xml:space="preserve">days.  </w:t>
            </w:r>
          </w:p>
        </w:tc>
        <w:tc>
          <w:tcPr>
            <w:tcW w:w="4303" w:type="dxa"/>
          </w:tcPr>
          <w:p w:rsidRPr="00CF0921" w:rsidR="00CF0921" w:rsidP="00CF0921" w:rsidRDefault="00CF0921" w14:paraId="39C4463F" w14:textId="77777777">
            <w:pPr>
              <w:spacing w:line="259" w:lineRule="auto"/>
              <w:rPr>
                <w:rFonts w:ascii="VIC" w:hAnsi="VIC" w:cs="Times New Roman"/>
                <w:color w:val="1A1A1A"/>
                <w:sz w:val="20"/>
              </w:rPr>
            </w:pPr>
            <w:r w:rsidRPr="00CF0921">
              <w:rPr>
                <w:rFonts w:ascii="VIC" w:hAnsi="VIC" w:cs="Times New Roman"/>
                <w:color w:val="1A1A1A"/>
                <w:sz w:val="20"/>
              </w:rPr>
              <w:t>If retention basin is at 80% capacity, emergency protocol to be implemented to reduce risk of overflow in case of rainfall event. Refer to ZYY Procedure EM-190</w:t>
            </w:r>
          </w:p>
          <w:p w:rsidRPr="00CF0921" w:rsidR="00CF0921" w:rsidP="00CF0921" w:rsidRDefault="00CF0921" w14:paraId="39C7A758" w14:textId="77777777">
            <w:pPr>
              <w:spacing w:line="259" w:lineRule="auto"/>
              <w:rPr>
                <w:rFonts w:ascii="VIC" w:hAnsi="VIC" w:cs="Times New Roman"/>
                <w:color w:val="1A1A1A"/>
                <w:sz w:val="20"/>
              </w:rPr>
            </w:pPr>
            <w:r w:rsidRPr="00CF0921">
              <w:rPr>
                <w:rFonts w:ascii="VIC" w:hAnsi="VIC" w:cs="Times New Roman"/>
                <w:color w:val="1A1A1A"/>
                <w:sz w:val="20"/>
              </w:rPr>
              <w:t>Monitoring frequency to be reduced when pH returns to 6–8.</w:t>
            </w:r>
          </w:p>
        </w:tc>
      </w:tr>
    </w:tbl>
    <w:p w:rsidR="00653D5D" w:rsidP="000D57F8" w:rsidRDefault="00653D5D" w14:paraId="7AB48B98" w14:textId="77777777">
      <w:pPr>
        <w:spacing w:line="259" w:lineRule="auto"/>
      </w:pPr>
    </w:p>
    <w:sectPr w:rsidR="00653D5D" w:rsidSect="00CF0921">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B93" w:rsidP="00CF0921" w:rsidRDefault="00775B93" w14:paraId="2366AE8F" w14:textId="77777777">
      <w:pPr>
        <w:spacing w:after="0" w:line="240" w:lineRule="auto"/>
      </w:pPr>
      <w:r>
        <w:separator/>
      </w:r>
    </w:p>
  </w:endnote>
  <w:endnote w:type="continuationSeparator" w:id="0">
    <w:p w:rsidR="00775B93" w:rsidP="00CF0921" w:rsidRDefault="00775B93" w14:paraId="7820EC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VIC Medium">
    <w:panose1 w:val="00000600000000000000"/>
    <w:charset w:val="00"/>
    <w:family w:val="auto"/>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9F" w:rsidRDefault="00A7299F" w14:paraId="67C7A7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Pr="005041CD" w:rsidR="00524307" w:rsidP="00524307" w:rsidRDefault="00524307" w14:paraId="6201675D" w14:textId="77777777">
    <w:pPr>
      <w:pBdr>
        <w:bottom w:val="single" w:color="00B4E1" w:sz="8" w:space="18"/>
      </w:pBdr>
      <w:tabs>
        <w:tab w:val="center" w:pos="4513"/>
        <w:tab w:val="right" w:pos="9026"/>
      </w:tabs>
      <w:spacing w:before="80" w:after="0" w:line="240" w:lineRule="auto"/>
      <w:rPr>
        <w:rFonts w:ascii="VIC" w:hAnsi="VIC" w:eastAsia="VIC" w:cs="Times New Roman"/>
        <w:color w:val="0A3C73"/>
        <w:kern w:val="0"/>
        <w:sz w:val="18"/>
        <w:szCs w:val="22"/>
        <w:lang w:eastAsia="en-US" w:bidi="ar-SA"/>
        <w14:ligatures w14:val="none"/>
      </w:rPr>
    </w:pPr>
  </w:p>
  <w:p w:rsidRPr="005041CD" w:rsidR="00524307" w:rsidP="00524307" w:rsidRDefault="00524307" w14:paraId="6AE7470E" w14:textId="77777777">
    <w:pPr>
      <w:pBdr>
        <w:bottom w:val="single" w:color="00B4E1" w:sz="8" w:space="18"/>
      </w:pBdr>
      <w:tabs>
        <w:tab w:val="center" w:pos="4513"/>
        <w:tab w:val="right" w:pos="9026"/>
      </w:tabs>
      <w:spacing w:before="80" w:after="0" w:line="240" w:lineRule="auto"/>
      <w:rPr>
        <w:rFonts w:ascii="VIC" w:hAnsi="VIC" w:eastAsia="VIC" w:cs="Times New Roman"/>
        <w:color w:val="0A3C73"/>
        <w:kern w:val="0"/>
        <w:sz w:val="18"/>
        <w:szCs w:val="22"/>
        <w:lang w:eastAsia="en-US" w:bidi="ar-SA"/>
        <w14:ligatures w14:val="none"/>
      </w:rPr>
    </w:pPr>
    <w:r w:rsidRPr="005041CD">
      <w:rPr>
        <w:rFonts w:ascii="VIC" w:hAnsi="VIC" w:eastAsia="VIC" w:cs="Times New Roman"/>
        <w:noProof/>
        <w:color w:val="0A3C73"/>
        <w:kern w:val="0"/>
        <w:sz w:val="18"/>
        <w:szCs w:val="22"/>
        <w:lang w:eastAsia="en-US" w:bidi="ar-SA"/>
        <w14:ligatures w14:val="none"/>
      </w:rPr>
      <w:drawing>
        <wp:anchor distT="0" distB="0" distL="114300" distR="114300" simplePos="0" relativeHeight="251662338" behindDoc="0" locked="0" layoutInCell="1" allowOverlap="1" wp14:anchorId="5240BF9A" wp14:editId="6456F213">
          <wp:simplePos x="0" y="0"/>
          <wp:positionH relativeFrom="column">
            <wp:posOffset>8658612</wp:posOffset>
          </wp:positionH>
          <wp:positionV relativeFrom="paragraph">
            <wp:posOffset>13335</wp:posOffset>
          </wp:positionV>
          <wp:extent cx="965771" cy="399377"/>
          <wp:effectExtent l="0" t="0" r="6350" b="1270"/>
          <wp:wrapNone/>
          <wp:docPr id="13" name="Graphic 4">
            <a:extLst xmlns:a="http://schemas.openxmlformats.org/drawingml/2006/main">
              <a:ext uri="{FF2B5EF4-FFF2-40B4-BE49-F238E27FC236}">
                <a16:creationId xmlns:a16="http://schemas.microsoft.com/office/drawing/2014/main" id="{C7B23E34-0BCB-577B-6DBC-360C107818B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4">
                    <a:extLst>
                      <a:ext uri="{FF2B5EF4-FFF2-40B4-BE49-F238E27FC236}">
                        <a16:creationId xmlns:a16="http://schemas.microsoft.com/office/drawing/2014/main" id="{C7B23E34-0BCB-577B-6DBC-360C107818B2}"/>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965771" cy="399377"/>
                  </a:xfrm>
                  <a:prstGeom prst="rect">
                    <a:avLst/>
                  </a:prstGeom>
                </pic:spPr>
              </pic:pic>
            </a:graphicData>
          </a:graphic>
        </wp:anchor>
      </w:drawing>
    </w:r>
  </w:p>
  <w:p w:rsidRPr="005041CD" w:rsidR="00524307" w:rsidP="00524307" w:rsidRDefault="00524307" w14:paraId="459DCFFC" w14:textId="77777777">
    <w:pPr>
      <w:pBdr>
        <w:bottom w:val="single" w:color="00B4E1" w:sz="8" w:space="18"/>
      </w:pBdr>
      <w:tabs>
        <w:tab w:val="center" w:pos="4513"/>
        <w:tab w:val="right" w:pos="9026"/>
      </w:tabs>
      <w:spacing w:before="80" w:after="0" w:line="240" w:lineRule="auto"/>
      <w:rPr>
        <w:rFonts w:ascii="VIC Medium" w:hAnsi="VIC Medium" w:eastAsia="VIC" w:cs="Times New Roman"/>
        <w:color w:val="0A3C73"/>
        <w:kern w:val="0"/>
        <w:sz w:val="18"/>
        <w:szCs w:val="22"/>
        <w:lang w:eastAsia="en-US" w:bidi="ar-SA"/>
        <w14:ligatures w14:val="none"/>
      </w:rPr>
    </w:pPr>
    <w:r w:rsidRPr="005041CD">
      <w:rPr>
        <w:rFonts w:ascii="VIC Medium" w:hAnsi="VIC Medium" w:eastAsia="VIC" w:cs="Times New Roman"/>
        <w:color w:val="0A3C73"/>
        <w:kern w:val="0"/>
        <w:sz w:val="18"/>
        <w:szCs w:val="22"/>
        <w:lang w:eastAsia="en-US" w:bidi="ar-SA"/>
        <w14:ligatures w14:val="none"/>
      </w:rPr>
      <w:t xml:space="preserve">Page </w:t>
    </w:r>
    <w:r w:rsidRPr="005041CD">
      <w:rPr>
        <w:rFonts w:ascii="VIC Medium" w:hAnsi="VIC Medium" w:eastAsia="VIC" w:cs="Times New Roman"/>
        <w:color w:val="0A3C73"/>
        <w:kern w:val="0"/>
        <w:sz w:val="18"/>
        <w:szCs w:val="22"/>
        <w:lang w:eastAsia="en-US" w:bidi="ar-SA"/>
        <w14:ligatures w14:val="none"/>
      </w:rPr>
      <w:fldChar w:fldCharType="begin"/>
    </w:r>
    <w:r w:rsidRPr="005041CD">
      <w:rPr>
        <w:rFonts w:ascii="VIC Medium" w:hAnsi="VIC Medium" w:eastAsia="VIC" w:cs="Times New Roman"/>
        <w:color w:val="0A3C73"/>
        <w:kern w:val="0"/>
        <w:sz w:val="18"/>
        <w:szCs w:val="22"/>
        <w:lang w:eastAsia="en-US" w:bidi="ar-SA"/>
        <w14:ligatures w14:val="none"/>
      </w:rPr>
      <w:instrText>PAGE   \* MERGEFORMAT</w:instrText>
    </w:r>
    <w:r w:rsidRPr="005041CD">
      <w:rPr>
        <w:rFonts w:ascii="VIC Medium" w:hAnsi="VIC Medium" w:eastAsia="VIC" w:cs="Times New Roman"/>
        <w:color w:val="0A3C73"/>
        <w:kern w:val="0"/>
        <w:sz w:val="18"/>
        <w:szCs w:val="22"/>
        <w:lang w:eastAsia="en-US" w:bidi="ar-SA"/>
        <w14:ligatures w14:val="none"/>
      </w:rPr>
      <w:fldChar w:fldCharType="separate"/>
    </w:r>
    <w:r>
      <w:rPr>
        <w:rFonts w:ascii="VIC Medium" w:hAnsi="VIC Medium" w:eastAsia="VIC" w:cs="Times New Roman"/>
        <w:color w:val="0A3C73"/>
        <w:kern w:val="0"/>
        <w:sz w:val="18"/>
        <w:szCs w:val="22"/>
        <w:lang w:eastAsia="en-US" w:bidi="ar-SA"/>
        <w14:ligatures w14:val="none"/>
      </w:rPr>
      <w:t>2</w:t>
    </w:r>
    <w:r w:rsidRPr="005041CD">
      <w:rPr>
        <w:rFonts w:ascii="VIC Medium" w:hAnsi="VIC Medium" w:eastAsia="VIC" w:cs="Times New Roman"/>
        <w:color w:val="0A3C73"/>
        <w:kern w:val="0"/>
        <w:sz w:val="18"/>
        <w:szCs w:val="22"/>
        <w:lang w:eastAsia="en-US" w:bidi="ar-SA"/>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Pr="00A819DB" w:rsidR="00D511C7" w:rsidP="00D511C7" w:rsidRDefault="00D511C7" w14:paraId="20691775" w14:textId="77777777">
    <w:pPr>
      <w:pBdr>
        <w:bottom w:val="single" w:color="00B4E1" w:sz="8" w:space="18"/>
      </w:pBdr>
      <w:tabs>
        <w:tab w:val="center" w:pos="4513"/>
        <w:tab w:val="right" w:pos="9026"/>
      </w:tabs>
      <w:spacing w:before="80" w:after="0" w:line="240" w:lineRule="auto"/>
      <w:rPr>
        <w:rFonts w:ascii="VIC Medium" w:hAnsi="VIC Medium" w:eastAsia="VIC" w:cs="Times New Roman"/>
        <w:color w:val="0A3C73"/>
        <w:kern w:val="0"/>
        <w:sz w:val="18"/>
        <w:szCs w:val="22"/>
        <w:lang w:eastAsia="en-US" w:bidi="ar-SA"/>
        <w14:ligatures w14:val="none"/>
      </w:rPr>
    </w:pPr>
    <w:r w:rsidRPr="00A819DB">
      <w:rPr>
        <w:rFonts w:ascii="VIC" w:hAnsi="VIC" w:eastAsia="VIC" w:cs="Times New Roman"/>
        <w:noProof/>
        <w:color w:val="0A3C73"/>
        <w:kern w:val="0"/>
        <w:sz w:val="18"/>
        <w:szCs w:val="22"/>
        <w:lang w:eastAsia="en-US" w:bidi="ar-SA"/>
        <w14:ligatures w14:val="none"/>
      </w:rPr>
      <w:drawing>
        <wp:anchor distT="0" distB="0" distL="114300" distR="114300" simplePos="0" relativeHeight="251660290" behindDoc="0" locked="0" layoutInCell="1" allowOverlap="1" wp14:anchorId="230C3141" wp14:editId="25CA56AB">
          <wp:simplePos x="0" y="0"/>
          <wp:positionH relativeFrom="column">
            <wp:posOffset>5676396</wp:posOffset>
          </wp:positionH>
          <wp:positionV relativeFrom="paragraph">
            <wp:posOffset>205105</wp:posOffset>
          </wp:positionV>
          <wp:extent cx="796290" cy="451544"/>
          <wp:effectExtent l="0" t="0" r="3810" b="5715"/>
          <wp:wrapNone/>
          <wp:docPr id="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796290" cy="451544"/>
                  </a:xfrm>
                  <a:prstGeom prst="rect">
                    <a:avLst/>
                  </a:prstGeom>
                </pic:spPr>
              </pic:pic>
            </a:graphicData>
          </a:graphic>
        </wp:anchor>
      </w:drawing>
    </w:r>
    <w:r w:rsidRPr="00A819DB">
      <w:rPr>
        <w:rFonts w:ascii="VIC Medium" w:hAnsi="VIC Medium" w:eastAsia="VIC" w:cs="Times New Roman"/>
        <w:color w:val="0A3C73"/>
        <w:kern w:val="0"/>
        <w:sz w:val="18"/>
        <w:szCs w:val="22"/>
        <w:lang w:eastAsia="en-US" w:bidi="ar-SA"/>
        <w14:ligatures w14:val="none"/>
      </w:rPr>
      <w:t>epa.vic.gov.au</w:t>
    </w:r>
  </w:p>
  <w:p w:rsidRPr="00A819DB" w:rsidR="00D511C7" w:rsidP="00D511C7" w:rsidRDefault="00D511C7" w14:paraId="7AB5946E" w14:textId="77777777">
    <w:pPr>
      <w:pBdr>
        <w:bottom w:val="single" w:color="00B4E1" w:sz="8" w:space="18"/>
      </w:pBdr>
      <w:tabs>
        <w:tab w:val="center" w:pos="4513"/>
        <w:tab w:val="right" w:pos="9026"/>
      </w:tabs>
      <w:spacing w:before="80" w:after="0" w:line="240" w:lineRule="auto"/>
      <w:rPr>
        <w:rFonts w:ascii="VIC" w:hAnsi="VIC" w:eastAsia="VIC" w:cs="Times New Roman"/>
        <w:color w:val="0A3C73"/>
        <w:kern w:val="0"/>
        <w:sz w:val="18"/>
        <w:szCs w:val="22"/>
        <w:lang w:eastAsia="en-US" w:bidi="ar-SA"/>
        <w14:ligatures w14:val="none"/>
      </w:rPr>
    </w:pPr>
    <w:r w:rsidRPr="00A819DB">
      <w:rPr>
        <w:rFonts w:ascii="VIC" w:hAnsi="VIC" w:eastAsia="VIC" w:cs="Times New Roman"/>
        <w:color w:val="0A3C73"/>
        <w:kern w:val="0"/>
        <w:sz w:val="18"/>
        <w:szCs w:val="22"/>
        <w:lang w:eastAsia="en-US" w:bidi="ar-SA"/>
        <w14:ligatures w14:val="none"/>
      </w:rPr>
      <w:t>Environment Protection Authority Victoria</w:t>
    </w:r>
    <w:r w:rsidRPr="00A819DB">
      <w:rPr>
        <w:rFonts w:ascii="VIC" w:hAnsi="VIC" w:eastAsia="VIC" w:cs="Times New Roman"/>
        <w:color w:val="0A3C73"/>
        <w:kern w:val="0"/>
        <w:sz w:val="18"/>
        <w:szCs w:val="22"/>
        <w:lang w:eastAsia="en-US" w:bidi="ar-SA"/>
        <w14:ligatures w14:val="none"/>
      </w:rPr>
      <w:br/>
    </w:r>
    <w:r w:rsidRPr="00A819DB">
      <w:rPr>
        <w:rFonts w:ascii="VIC" w:hAnsi="VIC" w:eastAsia="VIC" w:cs="Times New Roman"/>
        <w:color w:val="0A3C73"/>
        <w:kern w:val="0"/>
        <w:sz w:val="18"/>
        <w:szCs w:val="22"/>
        <w:lang w:eastAsia="en-US" w:bidi="ar-SA"/>
        <w14:ligatures w14:val="none"/>
      </w:rPr>
      <w:t>GPO Box 4395, Melbourne VIC 3001</w:t>
    </w:r>
    <w:r w:rsidRPr="00A819DB">
      <w:rPr>
        <w:rFonts w:ascii="VIC" w:hAnsi="VIC" w:eastAsia="VIC" w:cs="Times New Roman"/>
        <w:color w:val="0A3C73"/>
        <w:kern w:val="0"/>
        <w:sz w:val="18"/>
        <w:szCs w:val="22"/>
        <w:lang w:eastAsia="en-US" w:bidi="ar-SA"/>
        <w14:ligatures w14:val="none"/>
      </w:rPr>
      <w:br/>
    </w:r>
    <w:r w:rsidRPr="00A819DB">
      <w:rPr>
        <w:rFonts w:ascii="VIC" w:hAnsi="VIC" w:eastAsia="VIC" w:cs="Times New Roman"/>
        <w:color w:val="0A3C73"/>
        <w:kern w:val="0"/>
        <w:sz w:val="18"/>
        <w:szCs w:val="22"/>
        <w:lang w:eastAsia="en-US" w:bidi="ar-SA"/>
        <w14:ligatures w14:val="none"/>
      </w:rPr>
      <w:t>1300 372 842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B93" w:rsidP="00CF0921" w:rsidRDefault="00775B93" w14:paraId="559883BF" w14:textId="77777777">
      <w:pPr>
        <w:spacing w:after="0" w:line="240" w:lineRule="auto"/>
      </w:pPr>
      <w:r>
        <w:separator/>
      </w:r>
    </w:p>
  </w:footnote>
  <w:footnote w:type="continuationSeparator" w:id="0">
    <w:p w:rsidR="00775B93" w:rsidP="00CF0921" w:rsidRDefault="00775B93" w14:paraId="2BAC31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F0921" w:rsidRDefault="00CF0921" w14:paraId="2B379D40" w14:textId="23D4C80D">
    <w:pPr>
      <w:pStyle w:val="Header"/>
    </w:pPr>
    <w:r>
      <w:rPr>
        <w:noProof/>
      </w:rPr>
      <mc:AlternateContent>
        <mc:Choice Requires="wps">
          <w:drawing>
            <wp:anchor distT="0" distB="0" distL="0" distR="0" simplePos="0" relativeHeight="251658241" behindDoc="0" locked="0" layoutInCell="1" allowOverlap="1" wp14:anchorId="350B5A7D" wp14:editId="59ADCBC3">
              <wp:simplePos x="635" y="635"/>
              <wp:positionH relativeFrom="page">
                <wp:align>center</wp:align>
              </wp:positionH>
              <wp:positionV relativeFrom="page">
                <wp:align>top</wp:align>
              </wp:positionV>
              <wp:extent cx="518795" cy="370205"/>
              <wp:effectExtent l="0" t="0" r="14605" b="10795"/>
              <wp:wrapNone/>
              <wp:docPr id="283348021" name="Text Box 2"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CF0921" w:rsidR="00CF0921" w:rsidP="00CF0921" w:rsidRDefault="00CF0921" w14:paraId="2969FBDA" w14:textId="61EFA3D9">
                          <w:pPr>
                            <w:spacing w:after="0"/>
                            <w:rPr>
                              <w:rFonts w:ascii="Aptos" w:hAnsi="Aptos" w:eastAsia="Aptos" w:cs="Aptos"/>
                              <w:noProof/>
                              <w:color w:val="000000"/>
                              <w:sz w:val="20"/>
                              <w:szCs w:val="20"/>
                            </w:rPr>
                          </w:pPr>
                          <w:r w:rsidRPr="00CF0921">
                            <w:rPr>
                              <w:rFonts w:ascii="Aptos" w:hAnsi="Aptos" w:eastAsia="Aptos" w:cs="Aptos"/>
                              <w:noProof/>
                              <w:color w:val="000000"/>
                              <w:sz w:val="2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367816F">
            <v:shapetype id="_x0000_t202" coordsize="21600,21600" o:spt="202" path="m,l,21600r21600,l21600,xe" w14:anchorId="350B5A7D">
              <v:stroke joinstyle="miter"/>
              <v:path gradientshapeok="t" o:connecttype="rect"/>
            </v:shapetype>
            <v:shape id="Text Box 2" style="position:absolute;margin-left:0;margin-top:0;width:40.85pt;height:29.15pt;z-index:251659264;visibility:visible;mso-wrap-style:none;mso-wrap-distance-left:0;mso-wrap-distance-top:0;mso-wrap-distance-right:0;mso-wrap-distance-bottom:0;mso-position-horizontal:center;mso-position-horizontal-relative:page;mso-position-vertical:top;mso-position-vertical-relative:page;v-text-anchor:top" alt="OFFICI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v:textbox style="mso-fit-shape-to-text:t" inset="0,15pt,0,0">
                <w:txbxContent>
                  <w:p w:rsidRPr="00CF0921" w:rsidR="00CF0921" w:rsidP="00CF0921" w:rsidRDefault="00CF0921" w14:paraId="1391C272" w14:textId="61EFA3D9">
                    <w:pPr>
                      <w:spacing w:after="0"/>
                      <w:rPr>
                        <w:rFonts w:ascii="Aptos" w:hAnsi="Aptos" w:eastAsia="Aptos" w:cs="Aptos"/>
                        <w:noProof/>
                        <w:color w:val="000000"/>
                        <w:sz w:val="20"/>
                        <w:szCs w:val="20"/>
                      </w:rPr>
                    </w:pPr>
                    <w:r w:rsidRPr="00CF0921">
                      <w:rPr>
                        <w:rFonts w:ascii="Aptos" w:hAnsi="Aptos" w:eastAsia="Aptos" w:cs="Aptos"/>
                        <w:noProof/>
                        <w:color w:val="000000"/>
                        <w:sz w:val="2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9F" w:rsidRDefault="00A7299F" w14:paraId="06B1C7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006A0FA9" w:rsidP="006A0FA9" w:rsidRDefault="006A0FA9" w14:paraId="49EE4A91" w14:textId="77777777">
    <w:pPr>
      <w:pStyle w:val="Header"/>
      <w:jc w:val="right"/>
    </w:pPr>
    <w:r w:rsidRPr="00594774">
      <w:rPr>
        <w:noProof/>
      </w:rPr>
      <w:drawing>
        <wp:inline distT="0" distB="0" distL="0" distR="0" wp14:anchorId="459C4C0F" wp14:editId="181EB3CB">
          <wp:extent cx="1518920" cy="628015"/>
          <wp:effectExtent l="0" t="0" r="5080" b="635"/>
          <wp:docPr id="990472222" name="EPA Logo" descr="EPA Victoria logo">
            <a:extLst xmlns:a="http://schemas.openxmlformats.org/drawingml/2006/main">
              <a:ext uri="{FF2B5EF4-FFF2-40B4-BE49-F238E27FC236}">
                <a16:creationId xmlns:a16="http://schemas.microsoft.com/office/drawing/2014/main" id="{C7B23E34-0BCB-577B-6DBC-360C107818B2}"/>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A Logo" descr="EPA Victoria logo">
                    <a:extLst>
                      <a:ext uri="{FF2B5EF4-FFF2-40B4-BE49-F238E27FC236}">
                        <a16:creationId xmlns:a16="http://schemas.microsoft.com/office/drawing/2014/main" id="{C7B23E34-0BCB-577B-6DBC-360C107818B2}"/>
                      </a:ex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8920" cy="628015"/>
                  </a:xfrm>
                  <a:prstGeom prst="rect">
                    <a:avLst/>
                  </a:prstGeom>
                </pic:spPr>
              </pic:pic>
            </a:graphicData>
          </a:graphic>
        </wp:inline>
      </w:drawing>
    </w:r>
  </w:p>
  <w:p w:rsidR="006A0FA9" w:rsidP="006A0FA9" w:rsidRDefault="006A0FA9" w14:paraId="55AF6AA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83A4B"/>
    <w:multiLevelType w:val="hybridMultilevel"/>
    <w:tmpl w:val="8CAE8F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4309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21"/>
    <w:rsid w:val="00003EE3"/>
    <w:rsid w:val="000D57F8"/>
    <w:rsid w:val="00104940"/>
    <w:rsid w:val="00115591"/>
    <w:rsid w:val="002832ED"/>
    <w:rsid w:val="002F2959"/>
    <w:rsid w:val="0030646C"/>
    <w:rsid w:val="003341D9"/>
    <w:rsid w:val="003C73A5"/>
    <w:rsid w:val="00524307"/>
    <w:rsid w:val="00653D5D"/>
    <w:rsid w:val="00675CC6"/>
    <w:rsid w:val="006A0FA9"/>
    <w:rsid w:val="006F215B"/>
    <w:rsid w:val="00775B93"/>
    <w:rsid w:val="00814EFB"/>
    <w:rsid w:val="0088567B"/>
    <w:rsid w:val="00993C49"/>
    <w:rsid w:val="009978EE"/>
    <w:rsid w:val="00A023DA"/>
    <w:rsid w:val="00A7299F"/>
    <w:rsid w:val="00AC0429"/>
    <w:rsid w:val="00B660F3"/>
    <w:rsid w:val="00C01455"/>
    <w:rsid w:val="00C13CC9"/>
    <w:rsid w:val="00CF0921"/>
    <w:rsid w:val="00D511C7"/>
    <w:rsid w:val="00DF59E0"/>
    <w:rsid w:val="00E77AA2"/>
    <w:rsid w:val="00EC2300"/>
    <w:rsid w:val="00F554DE"/>
    <w:rsid w:val="00F614CC"/>
    <w:rsid w:val="0368CD8A"/>
    <w:rsid w:val="2C68735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C41F"/>
  <w15:chartTrackingRefBased/>
  <w15:docId w15:val="{F9EBCD73-C4C6-4F08-B063-64AA0C213B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14CC"/>
    <w:pPr>
      <w:keepNext/>
      <w:keepLines/>
      <w:spacing w:before="360" w:after="80"/>
      <w:outlineLvl w:val="0"/>
    </w:pPr>
    <w:rPr>
      <w:rFonts w:ascii="VIC Medium" w:hAnsi="VIC Medium" w:eastAsiaTheme="majorEastAsia" w:cstheme="majorBidi"/>
      <w:color w:val="0F4761" w:themeColor="accent1" w:themeShade="BF"/>
      <w:sz w:val="40"/>
      <w:szCs w:val="50"/>
      <w:lang w:eastAsia="en-US" w:bidi="ar-SA"/>
    </w:rPr>
  </w:style>
  <w:style w:type="paragraph" w:styleId="Heading2">
    <w:name w:val="heading 2"/>
    <w:basedOn w:val="Normal"/>
    <w:next w:val="Normal"/>
    <w:link w:val="Heading2Char"/>
    <w:uiPriority w:val="9"/>
    <w:unhideWhenUsed/>
    <w:qFormat/>
    <w:rsid w:val="000D57F8"/>
    <w:pPr>
      <w:keepNext/>
      <w:keepLines/>
      <w:spacing w:before="160" w:after="80"/>
      <w:outlineLvl w:val="1"/>
    </w:pPr>
    <w:rPr>
      <w:rFonts w:ascii="VIC Medium" w:hAnsi="VIC Medium" w:eastAsiaTheme="majorEastAsia" w:cstheme="majorBidi"/>
      <w:color w:val="0F4761" w:themeColor="accent1" w:themeShade="BF"/>
      <w:sz w:val="32"/>
      <w:szCs w:val="40"/>
      <w:lang w:eastAsia="en-US" w:bidi="ar-SA"/>
    </w:rPr>
  </w:style>
  <w:style w:type="paragraph" w:styleId="Heading3">
    <w:name w:val="heading 3"/>
    <w:basedOn w:val="Normal"/>
    <w:next w:val="Normal"/>
    <w:link w:val="Heading3Char"/>
    <w:uiPriority w:val="9"/>
    <w:semiHidden/>
    <w:unhideWhenUsed/>
    <w:qFormat/>
    <w:rsid w:val="00CF092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F0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9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14CC"/>
    <w:rPr>
      <w:rFonts w:ascii="VIC Medium" w:hAnsi="VIC Medium" w:eastAsiaTheme="majorEastAsia" w:cstheme="majorBidi"/>
      <w:color w:val="0F4761" w:themeColor="accent1" w:themeShade="BF"/>
      <w:sz w:val="40"/>
      <w:szCs w:val="50"/>
      <w:lang w:eastAsia="en-US" w:bidi="ar-SA"/>
    </w:rPr>
  </w:style>
  <w:style w:type="character" w:styleId="Heading2Char" w:customStyle="1">
    <w:name w:val="Heading 2 Char"/>
    <w:basedOn w:val="DefaultParagraphFont"/>
    <w:link w:val="Heading2"/>
    <w:uiPriority w:val="9"/>
    <w:rsid w:val="000D57F8"/>
    <w:rPr>
      <w:rFonts w:ascii="VIC Medium" w:hAnsi="VIC Medium" w:eastAsiaTheme="majorEastAsia" w:cstheme="majorBidi"/>
      <w:color w:val="0F4761" w:themeColor="accent1" w:themeShade="BF"/>
      <w:sz w:val="32"/>
      <w:szCs w:val="40"/>
      <w:lang w:eastAsia="en-US" w:bidi="ar-SA"/>
    </w:rPr>
  </w:style>
  <w:style w:type="character" w:styleId="Heading3Char" w:customStyle="1">
    <w:name w:val="Heading 3 Char"/>
    <w:basedOn w:val="DefaultParagraphFont"/>
    <w:link w:val="Heading3"/>
    <w:uiPriority w:val="9"/>
    <w:semiHidden/>
    <w:rsid w:val="00CF0921"/>
    <w:rPr>
      <w:rFonts w:eastAsiaTheme="majorEastAsia" w:cstheme="majorBidi"/>
      <w:color w:val="0F4761" w:themeColor="accent1" w:themeShade="BF"/>
      <w:sz w:val="28"/>
      <w:szCs w:val="35"/>
    </w:rPr>
  </w:style>
  <w:style w:type="character" w:styleId="Heading4Char" w:customStyle="1">
    <w:name w:val="Heading 4 Char"/>
    <w:basedOn w:val="DefaultParagraphFont"/>
    <w:link w:val="Heading4"/>
    <w:uiPriority w:val="9"/>
    <w:semiHidden/>
    <w:rsid w:val="00CF092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092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09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09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09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0921"/>
    <w:rPr>
      <w:rFonts w:eastAsiaTheme="majorEastAsia" w:cstheme="majorBidi"/>
      <w:color w:val="272727" w:themeColor="text1" w:themeTint="D8"/>
    </w:rPr>
  </w:style>
  <w:style w:type="paragraph" w:styleId="Title">
    <w:name w:val="Title"/>
    <w:basedOn w:val="Normal"/>
    <w:next w:val="Normal"/>
    <w:link w:val="TitleChar"/>
    <w:uiPriority w:val="10"/>
    <w:qFormat/>
    <w:rsid w:val="00F614CC"/>
    <w:pPr>
      <w:spacing w:after="0" w:line="240" w:lineRule="auto"/>
      <w:contextualSpacing/>
    </w:pPr>
    <w:rPr>
      <w:rFonts w:ascii="VIC Medium" w:hAnsi="VIC Medium" w:eastAsiaTheme="majorEastAsia" w:cstheme="majorBidi"/>
      <w:spacing w:val="-10"/>
      <w:kern w:val="28"/>
      <w:sz w:val="56"/>
      <w:szCs w:val="71"/>
      <w:lang w:eastAsia="en-US" w:bidi="ar-SA"/>
    </w:rPr>
  </w:style>
  <w:style w:type="character" w:styleId="TitleChar" w:customStyle="1">
    <w:name w:val="Title Char"/>
    <w:basedOn w:val="DefaultParagraphFont"/>
    <w:link w:val="Title"/>
    <w:uiPriority w:val="10"/>
    <w:rsid w:val="00F614CC"/>
    <w:rPr>
      <w:rFonts w:ascii="VIC Medium" w:hAnsi="VIC Medium" w:eastAsiaTheme="majorEastAsia" w:cstheme="majorBidi"/>
      <w:spacing w:val="-10"/>
      <w:kern w:val="28"/>
      <w:sz w:val="56"/>
      <w:szCs w:val="71"/>
      <w:lang w:eastAsia="en-US" w:bidi="ar-SA"/>
    </w:rPr>
  </w:style>
  <w:style w:type="paragraph" w:styleId="Subtitle">
    <w:name w:val="Subtitle"/>
    <w:basedOn w:val="Normal"/>
    <w:next w:val="Normal"/>
    <w:link w:val="SubtitleChar"/>
    <w:uiPriority w:val="11"/>
    <w:qFormat/>
    <w:rsid w:val="00CF0921"/>
    <w:pPr>
      <w:numPr>
        <w:ilvl w:val="1"/>
      </w:numPr>
    </w:pPr>
    <w:rPr>
      <w:rFonts w:eastAsiaTheme="majorEastAsia" w:cstheme="majorBidi"/>
      <w:color w:val="595959" w:themeColor="text1" w:themeTint="A6"/>
      <w:spacing w:val="15"/>
      <w:sz w:val="28"/>
      <w:szCs w:val="35"/>
    </w:rPr>
  </w:style>
  <w:style w:type="character" w:styleId="SubtitleChar" w:customStyle="1">
    <w:name w:val="Subtitle Char"/>
    <w:basedOn w:val="DefaultParagraphFont"/>
    <w:link w:val="Subtitle"/>
    <w:uiPriority w:val="11"/>
    <w:rsid w:val="00CF092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0921"/>
    <w:pPr>
      <w:spacing w:before="160"/>
      <w:jc w:val="center"/>
    </w:pPr>
    <w:rPr>
      <w:i/>
      <w:iCs/>
      <w:color w:val="404040" w:themeColor="text1" w:themeTint="BF"/>
    </w:rPr>
  </w:style>
  <w:style w:type="character" w:styleId="QuoteChar" w:customStyle="1">
    <w:name w:val="Quote Char"/>
    <w:basedOn w:val="DefaultParagraphFont"/>
    <w:link w:val="Quote"/>
    <w:uiPriority w:val="29"/>
    <w:rsid w:val="00CF0921"/>
    <w:rPr>
      <w:i/>
      <w:iCs/>
      <w:color w:val="404040" w:themeColor="text1" w:themeTint="BF"/>
    </w:rPr>
  </w:style>
  <w:style w:type="paragraph" w:styleId="ListParagraph">
    <w:name w:val="List Paragraph"/>
    <w:basedOn w:val="Normal"/>
    <w:uiPriority w:val="34"/>
    <w:qFormat/>
    <w:rsid w:val="00CF0921"/>
    <w:pPr>
      <w:ind w:left="720"/>
      <w:contextualSpacing/>
    </w:pPr>
  </w:style>
  <w:style w:type="character" w:styleId="IntenseEmphasis">
    <w:name w:val="Intense Emphasis"/>
    <w:basedOn w:val="DefaultParagraphFont"/>
    <w:uiPriority w:val="21"/>
    <w:qFormat/>
    <w:rsid w:val="00CF0921"/>
    <w:rPr>
      <w:i/>
      <w:iCs/>
      <w:color w:val="0F4761" w:themeColor="accent1" w:themeShade="BF"/>
    </w:rPr>
  </w:style>
  <w:style w:type="paragraph" w:styleId="IntenseQuote">
    <w:name w:val="Intense Quote"/>
    <w:basedOn w:val="Normal"/>
    <w:next w:val="Normal"/>
    <w:link w:val="IntenseQuoteChar"/>
    <w:uiPriority w:val="30"/>
    <w:qFormat/>
    <w:rsid w:val="00CF092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0921"/>
    <w:rPr>
      <w:i/>
      <w:iCs/>
      <w:color w:val="0F4761" w:themeColor="accent1" w:themeShade="BF"/>
    </w:rPr>
  </w:style>
  <w:style w:type="character" w:styleId="IntenseReference">
    <w:name w:val="Intense Reference"/>
    <w:basedOn w:val="DefaultParagraphFont"/>
    <w:uiPriority w:val="32"/>
    <w:qFormat/>
    <w:rsid w:val="00CF0921"/>
    <w:rPr>
      <w:b/>
      <w:bCs/>
      <w:smallCaps/>
      <w:color w:val="0F4761" w:themeColor="accent1" w:themeShade="BF"/>
      <w:spacing w:val="5"/>
    </w:rPr>
  </w:style>
  <w:style w:type="table" w:styleId="TableGrid1" w:customStyle="1">
    <w:name w:val="Table Grid1"/>
    <w:basedOn w:val="TableNormal"/>
    <w:next w:val="TableGrid"/>
    <w:uiPriority w:val="39"/>
    <w:rsid w:val="00CF0921"/>
    <w:pPr>
      <w:spacing w:after="0" w:line="240" w:lineRule="auto"/>
    </w:pPr>
    <w:rPr>
      <w:rFonts w:eastAsia="VIC"/>
      <w:kern w:val="0"/>
      <w:sz w:val="22"/>
      <w:szCs w:val="22"/>
      <w:lang w:eastAsia="en-US" w:bidi="ar-S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PA" w:customStyle="1">
    <w:name w:val="EPA"/>
    <w:basedOn w:val="TableNormal"/>
    <w:uiPriority w:val="99"/>
    <w:rsid w:val="00E77AA2"/>
    <w:pPr>
      <w:spacing w:after="0" w:line="240" w:lineRule="auto"/>
    </w:pPr>
    <w:rPr>
      <w:rFonts w:eastAsia="VIC"/>
      <w:kern w:val="0"/>
      <w:sz w:val="22"/>
      <w:szCs w:val="22"/>
      <w:lang w:eastAsia="en-US" w:bidi="ar-SA"/>
      <w14:ligatures w14:val="none"/>
    </w:rPr>
    <w:tblPr>
      <w:tblStyleRowBandSize w:val="1"/>
      <w:tblBorders>
        <w:top w:val="single" w:color="auto" w:sz="4" w:space="0"/>
        <w:bottom w:val="single" w:color="auto" w:sz="4" w:space="0"/>
        <w:insideH w:val="single" w:color="005FB4" w:sz="8" w:space="0"/>
      </w:tblBorders>
      <w:tblCellMar>
        <w:top w:w="170" w:type="dxa"/>
        <w:left w:w="0" w:type="dxa"/>
        <w:bottom w:w="170" w:type="dxa"/>
        <w:right w:w="85" w:type="dxa"/>
      </w:tblCellMar>
    </w:tblPr>
    <w:tblStylePr w:type="firstRow">
      <w:rPr>
        <w:rFonts w:ascii="VIC Medium" w:hAnsi="VIC Medium"/>
        <w:color w:val="005FB4"/>
      </w:rPr>
      <w:tblPr/>
      <w:tcPr>
        <w:tcBorders>
          <w:top w:val="single" w:color="auto" w:sz="4" w:space="0"/>
          <w:bottom w:val="single" w:color="auto" w:sz="4" w:space="0"/>
        </w:tcBorders>
      </w:tcPr>
    </w:tblStylePr>
    <w:tblStylePr w:type="firstCol">
      <w:rPr>
        <w:rFonts w:ascii="VIC Medium" w:hAnsi="VIC Medium"/>
        <w:color w:val="005FB4"/>
      </w:rPr>
    </w:tblStylePr>
    <w:tblStylePr w:type="band1Horz">
      <w:tblPr/>
      <w:tcPr>
        <w:tcBorders>
          <w:top w:val="single" w:color="auto" w:sz="4" w:space="0"/>
          <w:bottom w:val="single" w:color="auto" w:sz="4" w:space="0"/>
        </w:tcBorders>
      </w:tcPr>
    </w:tblStylePr>
    <w:tblStylePr w:type="band2Horz">
      <w:tblPr/>
      <w:tcPr>
        <w:tcBorders>
          <w:top w:val="single" w:color="auto" w:sz="4" w:space="0"/>
          <w:bottom w:val="single" w:color="auto" w:sz="4" w:space="0"/>
        </w:tcBorders>
      </w:tcPr>
    </w:tblStylePr>
  </w:style>
  <w:style w:type="table" w:styleId="TableGrid">
    <w:name w:val="Table Grid"/>
    <w:basedOn w:val="TableNormal"/>
    <w:uiPriority w:val="39"/>
    <w:rsid w:val="00CF09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F092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0921"/>
  </w:style>
  <w:style w:type="paragraph" w:styleId="Footer">
    <w:name w:val="footer"/>
    <w:basedOn w:val="Normal"/>
    <w:link w:val="FooterChar"/>
    <w:uiPriority w:val="99"/>
    <w:unhideWhenUsed/>
    <w:rsid w:val="001155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epa.vic.gov.au/background-levels-methodology-guidance-203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2F46315BCED4AB36FA09AE5CD690C" ma:contentTypeVersion="23" ma:contentTypeDescription="Create a new document." ma:contentTypeScope="" ma:versionID="107042c6572de7d6150cd35dfed5728f">
  <xsd:schema xmlns:xsd="http://www.w3.org/2001/XMLSchema" xmlns:xs="http://www.w3.org/2001/XMLSchema" xmlns:p="http://schemas.microsoft.com/office/2006/metadata/properties" xmlns:ns1="http://schemas.microsoft.com/sharepoint/v3" xmlns:ns2="4a98220f-8b12-4a83-abcc-efccc704d85e" xmlns:ns3="73e88e38-8bca-4aa4-a1d1-18c680c401c2" xmlns:ns4="a6d3a7d7-5bbf-4e15-8086-1a83efe325b1" targetNamespace="http://schemas.microsoft.com/office/2006/metadata/properties" ma:root="true" ma:fieldsID="2b6f057233f3c555a39f64c15df52546" ns1:_="" ns2:_="" ns3:_="" ns4:_="">
    <xsd:import namespace="http://schemas.microsoft.com/sharepoint/v3"/>
    <xsd:import namespace="4a98220f-8b12-4a83-abcc-efccc704d85e"/>
    <xsd:import namespace="73e88e38-8bca-4aa4-a1d1-18c680c401c2"/>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98220f-8b12-4a83-abcc-efccc704d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Location" ma:index="12" nillable="true" ma:displayName="Location" ma:hidden="true" ma:internalName="MediaServiceLocatio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88e38-8bca-4aa4-a1d1-18c680c401c2"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65da2d5-150e-4ea9-b8f1-9dcff8c76d49}" ma:internalName="TaxCatchAll" ma:showField="CatchAllData" ma:web="73e88e38-8bca-4aa4-a1d1-18c680c4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6d3a7d7-5bbf-4e15-8086-1a83efe325b1" xsi:nil="true"/>
    <_ip_UnifiedCompliancePolicyProperties xmlns="http://schemas.microsoft.com/sharepoint/v3" xsi:nil="true"/>
    <lcf76f155ced4ddcb4097134ff3c332f xmlns="4a98220f-8b12-4a83-abcc-efccc704d8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2A8E09-5820-44C0-82E2-60C696062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98220f-8b12-4a83-abcc-efccc704d85e"/>
    <ds:schemaRef ds:uri="73e88e38-8bca-4aa4-a1d1-18c680c401c2"/>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1C25C-8669-4421-8F46-61DE102A728A}">
  <ds:schemaRefs>
    <ds:schemaRef ds:uri="http://schemas.microsoft.com/office/2006/metadata/properties"/>
    <ds:schemaRef ds:uri="http://schemas.microsoft.com/office/infopath/2007/PartnerControls"/>
    <ds:schemaRef ds:uri="http://schemas.microsoft.com/sharepoint/v3"/>
    <ds:schemaRef ds:uri="a6d3a7d7-5bbf-4e15-8086-1a83efe325b1"/>
    <ds:schemaRef ds:uri="4a98220f-8b12-4a83-abcc-efccc704d85e"/>
  </ds:schemaRefs>
</ds:datastoreItem>
</file>

<file path=customXml/itemProps3.xml><?xml version="1.0" encoding="utf-8"?>
<ds:datastoreItem xmlns:ds="http://schemas.openxmlformats.org/officeDocument/2006/customXml" ds:itemID="{1A54BC46-4DD1-4F0C-B20D-FCC3D7D08A5E}">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Lena Chang</dc:creator>
  <keywords/>
  <dc:description/>
  <lastModifiedBy>Lucy Gentile</lastModifiedBy>
  <revision>17</revision>
  <dcterms:created xsi:type="dcterms:W3CDTF">2026-04-27T04:19:00.0000000Z</dcterms:created>
  <dcterms:modified xsi:type="dcterms:W3CDTF">2026-06-10T04:59:15.5871582Z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32d76313,10e38c35,494a57e5</vt:lpwstr>
  </property>
  <property fmtid="{D5CDD505-2E9C-101B-9397-08002B2CF9AE}" pid="3" name="ClassificationContentMarkingHeaderFontProps">
    <vt:lpwstr>#000000,10,Aptos</vt:lpwstr>
  </property>
  <property fmtid="{D5CDD505-2E9C-101B-9397-08002B2CF9AE}" pid="4" name="ClassificationContentMarkingHeaderText">
    <vt:lpwstr>OFFICIAL </vt:lpwstr>
  </property>
  <property fmtid="{D5CDD505-2E9C-101B-9397-08002B2CF9AE}" pid="5" name="ContentTypeId">
    <vt:lpwstr>0x01010034E2F46315BCED4AB36FA09AE5CD690C</vt:lpwstr>
  </property>
  <property fmtid="{D5CDD505-2E9C-101B-9397-08002B2CF9AE}" pid="6" name="MediaServiceImageTags">
    <vt:lpwstr/>
  </property>
  <property fmtid="{D5CDD505-2E9C-101B-9397-08002B2CF9AE}" pid="7" name="docLang">
    <vt:lpwstr>en</vt:lpwstr>
  </property>
</Properties>
</file>